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387985</wp:posOffset>
            </wp:positionH>
            <wp:positionV relativeFrom="page">
              <wp:posOffset>343535</wp:posOffset>
            </wp:positionV>
            <wp:extent cx="2331085" cy="91255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31085" cy="91255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100"/>
        <w:spacing w:after="0"/>
        <w:rPr>
          <w:sz w:val="20"/>
          <w:szCs w:val="20"/>
          <w:color w:val="auto"/>
        </w:rPr>
      </w:pPr>
      <w:r>
        <w:rPr>
          <w:rFonts w:ascii="Arial" w:cs="Arial" w:eastAsia="Arial" w:hAnsi="Arial"/>
          <w:sz w:val="33"/>
          <w:szCs w:val="33"/>
          <w:color w:val="FFFFFF"/>
        </w:rPr>
        <w:t>FORM 10-K</w:t>
      </w:r>
    </w:p>
    <w:p>
      <w:pPr>
        <w:sectPr>
          <w:pgSz w:w="11880" w:h="15480" w:orient="portrait"/>
          <w:cols w:equalWidth="0" w:num="1">
            <w:col w:w="9000"/>
          </w:cols>
          <w:pgMar w:left="1440" w:top="1440" w:right="1440" w:bottom="1440" w:gutter="0" w:footer="0" w:header="0"/>
        </w:sectPr>
      </w:pPr>
    </w:p>
    <w:bookmarkStart w:id="1" w:name="page2"/>
    <w:bookmarkEnd w:id="1"/>
    <w:p>
      <w:pPr>
        <w:spacing w:after="0"/>
        <w:rPr>
          <w:sz w:val="20"/>
          <w:szCs w:val="20"/>
          <w:color w:val="auto"/>
        </w:rPr>
      </w:pPr>
      <w:r>
        <w:rPr>
          <w:rFonts w:ascii="Arial" w:cs="Arial" w:eastAsia="Arial" w:hAnsi="Arial"/>
          <w:sz w:val="46"/>
          <w:szCs w:val="46"/>
          <w:color w:val="00002E"/>
        </w:rPr>
        <w:t>NRG Board of Directors and Officers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00002E"/>
        </w:rPr>
        <w:t>(AS OF MARCH 15,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0002E"/>
        </w:rPr>
        <w:t>BOARD OF DIRECTORS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00002E"/>
        </w:rPr>
        <w:t>Lawrence S. Coben - President, Chief Executive Officer, and Chair of the Board</w:t>
      </w:r>
    </w:p>
    <w:p>
      <w:pPr>
        <w:spacing w:after="0" w:line="148" w:lineRule="exact"/>
        <w:rPr>
          <w:sz w:val="20"/>
          <w:szCs w:val="20"/>
          <w:color w:val="auto"/>
        </w:rPr>
      </w:pPr>
    </w:p>
    <w:p>
      <w:pPr>
        <w:jc w:val="both"/>
        <w:ind w:right="4320"/>
        <w:spacing w:after="0" w:line="368" w:lineRule="auto"/>
        <w:rPr>
          <w:sz w:val="20"/>
          <w:szCs w:val="20"/>
          <w:color w:val="auto"/>
        </w:rPr>
      </w:pPr>
      <w:r>
        <w:rPr>
          <w:rFonts w:ascii="Arial" w:cs="Arial" w:eastAsia="Arial" w:hAnsi="Arial"/>
          <w:sz w:val="17"/>
          <w:szCs w:val="17"/>
          <w:color w:val="00002E"/>
        </w:rPr>
        <w:t>E. Spencer Abraham - Chairman and Chief Executive Officer, The Abraham Group Antonio Carrillo - President and Chief Executive Officer and Director, Arcosa, Inc. Matthew Carter, Jr. - Chief Executive Officer, Intrado Life &amp; Safety, Inc.</w:t>
      </w:r>
    </w:p>
    <w:p>
      <w:pPr>
        <w:spacing w:after="0" w:line="1" w:lineRule="exact"/>
        <w:rPr>
          <w:sz w:val="20"/>
          <w:szCs w:val="20"/>
          <w:color w:val="auto"/>
        </w:rPr>
      </w:pPr>
    </w:p>
    <w:p>
      <w:pPr>
        <w:ind w:right="5000"/>
        <w:spacing w:after="0" w:line="368" w:lineRule="auto"/>
        <w:rPr>
          <w:sz w:val="20"/>
          <w:szCs w:val="20"/>
          <w:color w:val="auto"/>
        </w:rPr>
      </w:pPr>
      <w:r>
        <w:rPr>
          <w:rFonts w:ascii="Arial" w:cs="Arial" w:eastAsia="Arial" w:hAnsi="Arial"/>
          <w:sz w:val="17"/>
          <w:szCs w:val="17"/>
          <w:color w:val="00002E"/>
        </w:rPr>
        <w:t>Heather Cox - President, Insights &amp; Empowerment, Zelis Healthcare, Inc. Elisabeth B. Donohue - Former Chief Executive Officer, Publicis Spine Marwan Fawaz - Former Executive Advisor, Google and Alphabet Kevin T. Howell - Former Chief Operating Officer, Dynegy Inc.</w:t>
      </w:r>
    </w:p>
    <w:p>
      <w:pPr>
        <w:spacing w:after="0" w:line="1" w:lineRule="exact"/>
        <w:rPr>
          <w:sz w:val="20"/>
          <w:szCs w:val="20"/>
          <w:color w:val="auto"/>
        </w:rPr>
      </w:pPr>
    </w:p>
    <w:p>
      <w:pPr>
        <w:ind w:right="3020"/>
        <w:spacing w:after="0" w:line="345" w:lineRule="auto"/>
        <w:rPr>
          <w:sz w:val="20"/>
          <w:szCs w:val="20"/>
          <w:color w:val="auto"/>
        </w:rPr>
      </w:pPr>
      <w:r>
        <w:rPr>
          <w:rFonts w:ascii="Arial" w:cs="Arial" w:eastAsia="Arial" w:hAnsi="Arial"/>
          <w:sz w:val="18"/>
          <w:szCs w:val="18"/>
          <w:color w:val="00002E"/>
        </w:rPr>
        <w:t>Alex Pourbaix - Executive Chair and Former President and Chief Executive Officer, Cenovus Energy Alexandra Pruner - Senior Advisor, Perella Weinberg Partners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00002E"/>
        </w:rPr>
        <w:t>Marcie C. Zlotnik - Co-Founder, Former Chief Operating Officer and Chair, StarTex Power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00002E"/>
        </w:rPr>
        <w:t>OFFICERS</w:t>
      </w:r>
    </w:p>
    <w:p>
      <w:pPr>
        <w:spacing w:after="0" w:line="41" w:lineRule="exact"/>
        <w:rPr>
          <w:sz w:val="20"/>
          <w:szCs w:val="20"/>
          <w:color w:val="auto"/>
        </w:rPr>
      </w:pPr>
    </w:p>
    <w:p>
      <w:pPr>
        <w:ind w:right="4620"/>
        <w:spacing w:after="0" w:line="379" w:lineRule="auto"/>
        <w:rPr>
          <w:sz w:val="20"/>
          <w:szCs w:val="20"/>
          <w:color w:val="auto"/>
        </w:rPr>
      </w:pPr>
      <w:r>
        <w:rPr>
          <w:rFonts w:ascii="Arial" w:cs="Arial" w:eastAsia="Arial" w:hAnsi="Arial"/>
          <w:sz w:val="18"/>
          <w:szCs w:val="18"/>
          <w:color w:val="00002E"/>
        </w:rPr>
        <w:t>Lawrence S. Coben - President, Chief Executive Officer, and Chair of the Board Bruce Chung - Executive Vice President and Chief Financial Officer</w:t>
      </w:r>
    </w:p>
    <w:p>
      <w:pPr>
        <w:spacing w:after="0"/>
        <w:rPr>
          <w:sz w:val="20"/>
          <w:szCs w:val="20"/>
          <w:color w:val="auto"/>
        </w:rPr>
      </w:pPr>
      <w:r>
        <w:rPr>
          <w:rFonts w:ascii="Arial" w:cs="Arial" w:eastAsia="Arial" w:hAnsi="Arial"/>
          <w:sz w:val="18"/>
          <w:szCs w:val="18"/>
          <w:color w:val="00002E"/>
        </w:rPr>
        <w:t>Brian Curci - Executive Vice President and General Counsel</w:t>
      </w:r>
    </w:p>
    <w:p>
      <w:pPr>
        <w:spacing w:after="0" w:line="39" w:lineRule="exact"/>
        <w:rPr>
          <w:sz w:val="20"/>
          <w:szCs w:val="20"/>
          <w:color w:val="auto"/>
        </w:rPr>
      </w:pPr>
    </w:p>
    <w:p>
      <w:pPr>
        <w:ind w:right="3880"/>
        <w:spacing w:after="0" w:line="379" w:lineRule="auto"/>
        <w:rPr>
          <w:sz w:val="20"/>
          <w:szCs w:val="20"/>
          <w:color w:val="auto"/>
        </w:rPr>
      </w:pPr>
      <w:r>
        <w:rPr>
          <w:rFonts w:ascii="Arial" w:cs="Arial" w:eastAsia="Arial" w:hAnsi="Arial"/>
          <w:sz w:val="18"/>
          <w:szCs w:val="18"/>
          <w:color w:val="00002E"/>
        </w:rPr>
        <w:t>Robert J. Gaudette - Executive Vice President, NRG Business and Wholesale Operations Gin Kinney - Executive Vice President and Chief Administrative Officer</w:t>
      </w:r>
    </w:p>
    <w:p>
      <w:pPr>
        <w:spacing w:after="0" w:line="1" w:lineRule="exact"/>
        <w:rPr>
          <w:sz w:val="20"/>
          <w:szCs w:val="20"/>
          <w:color w:val="auto"/>
        </w:rPr>
      </w:pPr>
    </w:p>
    <w:p>
      <w:pPr>
        <w:ind w:right="4720"/>
        <w:spacing w:after="0" w:line="347" w:lineRule="auto"/>
        <w:rPr>
          <w:sz w:val="20"/>
          <w:szCs w:val="20"/>
          <w:color w:val="auto"/>
        </w:rPr>
      </w:pPr>
      <w:r>
        <w:rPr>
          <w:rFonts w:ascii="Arial" w:cs="Arial" w:eastAsia="Arial" w:hAnsi="Arial"/>
          <w:sz w:val="18"/>
          <w:szCs w:val="18"/>
          <w:color w:val="00002E"/>
        </w:rPr>
        <w:t>Dak Liyanearachchi - Executive Vice President and Chief Technology Officer Rasesh Patel - Executive Vice President, NRG Consumer</w:t>
      </w:r>
    </w:p>
    <w:p>
      <w:pPr>
        <w:spacing w:after="0"/>
        <w:rPr>
          <w:sz w:val="20"/>
          <w:szCs w:val="20"/>
          <w:color w:val="auto"/>
        </w:rPr>
      </w:pPr>
      <w:r>
        <w:rPr>
          <w:rFonts w:ascii="Arial" w:cs="Arial" w:eastAsia="Arial" w:hAnsi="Arial"/>
          <w:sz w:val="18"/>
          <w:szCs w:val="18"/>
          <w:color w:val="00002E"/>
        </w:rPr>
        <w:t>G. Alfred Spencer - Senior Vice President and Chief Accounting Officer</w:t>
      </w:r>
    </w:p>
    <w:p>
      <w:pPr>
        <w:sectPr>
          <w:pgSz w:w="11880" w:h="15480" w:orient="portrait"/>
          <w:cols w:equalWidth="0" w:num="1">
            <w:col w:w="10580"/>
          </w:cols>
          <w:pgMar w:left="540" w:top="898" w:right="760"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46"/>
          <w:szCs w:val="46"/>
          <w:color w:val="00002E"/>
        </w:rPr>
        <w:t>Stockholder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00002E"/>
        </w:rPr>
        <w:t>STOCK TRANSFER AGENT AND REGISTRAR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00002E"/>
        </w:rPr>
        <w:t>Shareholder correspondence should be mailed to:</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002E"/>
        </w:rPr>
        <w:t>Computershare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002E"/>
        </w:rPr>
        <w:t>P.O. BOX 43006</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002E"/>
        </w:rPr>
        <w:t>Providence, RI 02940-3006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0002E"/>
        </w:rPr>
        <w:t>STOCKHOLDER INQUIRIES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00002E"/>
        </w:rPr>
        <w:t>Overnight correspondence should be sent to:</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00002E"/>
        </w:rPr>
        <w:t>Computershare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00002E"/>
        </w:rPr>
        <w:t>150 Royall St., Suite 101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00002E"/>
        </w:rPr>
        <w:t>Canton, MA 02021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00002E"/>
        </w:rPr>
        <w:t>1.866.214.2213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00002E"/>
        </w:rPr>
        <w:t>Email: shareholder@computershare.com</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00002E"/>
        </w:rPr>
        <w:t>Online inquires: www-us.computershare.com/investor/Contact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00002E"/>
        </w:rPr>
        <w:t>Website: www.computershare.com/investor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00002E"/>
        </w:rPr>
        <w:t>Send certificates for transfer and address changes to:</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00002E"/>
        </w:rPr>
        <w:t>Computershare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00002E"/>
        </w:rPr>
        <w:t>P.O. BOX 43006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00002E"/>
        </w:rPr>
        <w:t>Providence, RI 02940-3006</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00002E"/>
        </w:rPr>
        <w:t>STOCK LISTING</w:t>
      </w:r>
    </w:p>
    <w:p>
      <w:pPr>
        <w:spacing w:after="0" w:line="99" w:lineRule="exact"/>
        <w:rPr>
          <w:sz w:val="20"/>
          <w:szCs w:val="20"/>
          <w:color w:val="auto"/>
        </w:rPr>
      </w:pPr>
    </w:p>
    <w:p>
      <w:pPr>
        <w:ind w:right="420"/>
        <w:spacing w:after="0" w:line="341" w:lineRule="auto"/>
        <w:rPr>
          <w:sz w:val="20"/>
          <w:szCs w:val="20"/>
          <w:color w:val="auto"/>
        </w:rPr>
      </w:pPr>
      <w:r>
        <w:rPr>
          <w:rFonts w:ascii="Arial" w:cs="Arial" w:eastAsia="Arial" w:hAnsi="Arial"/>
          <w:sz w:val="18"/>
          <w:szCs w:val="18"/>
          <w:color w:val="00002E"/>
        </w:rPr>
        <w:t>NRG’s common stock is listed on the New York Stock Exchange under the ticker symbol NRG.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00002E"/>
        </w:rPr>
        <w:t>FINANCIAL INFORMATION</w:t>
      </w:r>
    </w:p>
    <w:p>
      <w:pPr>
        <w:spacing w:after="0" w:line="99" w:lineRule="exact"/>
        <w:rPr>
          <w:sz w:val="20"/>
          <w:szCs w:val="20"/>
          <w:color w:val="auto"/>
        </w:rPr>
      </w:pPr>
    </w:p>
    <w:p>
      <w:pPr>
        <w:spacing w:after="0" w:line="413" w:lineRule="auto"/>
        <w:rPr>
          <w:sz w:val="20"/>
          <w:szCs w:val="20"/>
          <w:color w:val="auto"/>
        </w:rPr>
      </w:pPr>
      <w:r>
        <w:rPr>
          <w:rFonts w:ascii="Arial" w:cs="Arial" w:eastAsia="Arial" w:hAnsi="Arial"/>
          <w:sz w:val="16"/>
          <w:szCs w:val="16"/>
          <w:color w:val="00002E"/>
        </w:rPr>
        <w:t>NRG’s Annual Report on Form 10-K, Proxy Statement and other SEC Filings are available at www.nrg.com under the Investors section.</w:t>
      </w:r>
    </w:p>
    <w:p>
      <w:pPr>
        <w:sectPr>
          <w:pgSz w:w="11880" w:h="15480" w:orient="portrait"/>
          <w:cols w:equalWidth="0" w:num="2">
            <w:col w:w="4860" w:space="580"/>
            <w:col w:w="5140"/>
          </w:cols>
          <w:pgMar w:left="540" w:top="898" w:right="760" w:bottom="115"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636270</wp:posOffset>
                </wp:positionH>
                <wp:positionV relativeFrom="page">
                  <wp:posOffset>429895</wp:posOffset>
                </wp:positionV>
                <wp:extent cx="627062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06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0.1pt,33.85pt" to="543.85pt,33.85pt" o:allowincell="f" strokecolor="#000000" strokeweight="1pt">
                <w10:wrap anchorx="page" anchory="page"/>
              </v:line>
            </w:pict>
          </mc:Fallback>
        </mc:AlternateContent>
        <mc:AlternateContent>
          <mc:Choice Requires="wps">
            <w:drawing>
              <wp:anchor simplePos="0" relativeHeight="251657728" behindDoc="1" locked="0" layoutInCell="0" allowOverlap="1">
                <wp:simplePos x="0" y="0"/>
                <wp:positionH relativeFrom="page">
                  <wp:posOffset>636270</wp:posOffset>
                </wp:positionH>
                <wp:positionV relativeFrom="page">
                  <wp:posOffset>477520</wp:posOffset>
                </wp:positionV>
                <wp:extent cx="627062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06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0.1pt,37.6pt" to="543.85pt,37.6pt" o:allowincell="f" strokecolor="#000000" strokeweight="1pt">
                <w10:wrap anchorx="page" anchory="page"/>
              </v:line>
            </w:pict>
          </mc:Fallback>
        </mc:AlternateContent>
        <w:t>UNITED STATES SECURITIES AND EXCHANGE COMMISSION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83" w:lineRule="exact"/>
        <w:rPr>
          <w:sz w:val="20"/>
          <w:szCs w:val="20"/>
          <w:color w:val="auto"/>
        </w:rPr>
      </w:pPr>
    </w:p>
    <w:p>
      <w:pPr>
        <w:ind w:left="460" w:right="920" w:hanging="371"/>
        <w:spacing w:after="0"/>
        <w:tabs>
          <w:tab w:leader="none" w:pos="460" w:val="left"/>
        </w:tabs>
        <w:numPr>
          <w:ilvl w:val="0"/>
          <w:numId w:val="1"/>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ANNUAL REPORT PURSUANT TO SECTION 13 OR 15(d) OF THE SECURITIES EXCHANGE ACT OF 1934 For the Fiscal Year ended December 31, 2024.</w:t>
      </w:r>
    </w:p>
    <w:p>
      <w:pPr>
        <w:spacing w:after="0" w:line="84" w:lineRule="exact"/>
        <w:rPr>
          <w:sz w:val="20"/>
          <w:szCs w:val="20"/>
          <w:color w:val="auto"/>
        </w:rPr>
      </w:pPr>
    </w:p>
    <w:p>
      <w:pPr>
        <w:ind w:left="460" w:hanging="371"/>
        <w:spacing w:after="0"/>
        <w:tabs>
          <w:tab w:leader="none" w:pos="460" w:val="left"/>
        </w:tabs>
        <w:numPr>
          <w:ilvl w:val="0"/>
          <w:numId w:val="2"/>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ind w:left="460"/>
        <w:spacing w:after="0"/>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For the Transition period fromto.</w:t>
      </w:r>
    </w:p>
    <w:p>
      <w:pPr>
        <w:spacing w:after="0" w:line="56"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Commission file No. 001-15891</w:t>
      </w:r>
    </w:p>
    <w:p>
      <w:pPr>
        <w:spacing w:after="0" w:line="30"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NRG Energy, Inc.</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83"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5140" w:type="dxa"/>
            <w:vAlign w:val="bottom"/>
          </w:tcPr>
          <w:p>
            <w:pPr>
              <w:jc w:val="center"/>
              <w:ind w:right="651"/>
              <w:spacing w:after="0"/>
              <w:rPr>
                <w:sz w:val="20"/>
                <w:szCs w:val="20"/>
                <w:color w:val="auto"/>
              </w:rPr>
            </w:pPr>
            <w:r>
              <w:rPr>
                <w:rFonts w:ascii="Arial" w:cs="Arial" w:eastAsia="Arial" w:hAnsi="Arial"/>
                <w:sz w:val="18"/>
                <w:szCs w:val="18"/>
                <w:b w:val="1"/>
                <w:bCs w:val="1"/>
                <w:color w:val="auto"/>
                <w:w w:val="91"/>
              </w:rPr>
              <w:t>Delaware</w:t>
            </w:r>
          </w:p>
        </w:tc>
        <w:tc>
          <w:tcPr>
            <w:tcW w:w="3360" w:type="dxa"/>
            <w:vAlign w:val="bottom"/>
          </w:tcPr>
          <w:p>
            <w:pPr>
              <w:jc w:val="right"/>
              <w:ind w:right="731"/>
              <w:spacing w:after="0"/>
              <w:rPr>
                <w:sz w:val="20"/>
                <w:szCs w:val="20"/>
                <w:color w:val="auto"/>
              </w:rPr>
            </w:pPr>
            <w:r>
              <w:rPr>
                <w:rFonts w:ascii="Arial" w:cs="Arial" w:eastAsia="Arial" w:hAnsi="Arial"/>
                <w:sz w:val="18"/>
                <w:szCs w:val="18"/>
                <w:b w:val="1"/>
                <w:bCs w:val="1"/>
                <w:color w:val="auto"/>
              </w:rPr>
              <w:t>41-1724239</w:t>
            </w:r>
          </w:p>
        </w:tc>
      </w:tr>
      <w:tr>
        <w:trPr>
          <w:trHeight w:val="235"/>
        </w:trPr>
        <w:tc>
          <w:tcPr>
            <w:tcW w:w="5140" w:type="dxa"/>
            <w:vAlign w:val="bottom"/>
          </w:tcPr>
          <w:p>
            <w:pPr>
              <w:jc w:val="center"/>
              <w:ind w:right="711"/>
              <w:spacing w:after="0"/>
              <w:rPr>
                <w:sz w:val="20"/>
                <w:szCs w:val="20"/>
                <w:color w:val="auto"/>
              </w:rPr>
            </w:pPr>
            <w:r>
              <w:rPr>
                <w:rFonts w:ascii="Arial" w:cs="Arial" w:eastAsia="Arial" w:hAnsi="Arial"/>
                <w:sz w:val="18"/>
                <w:szCs w:val="18"/>
                <w:b w:val="1"/>
                <w:bCs w:val="1"/>
                <w:i w:val="1"/>
                <w:iCs w:val="1"/>
                <w:color w:val="auto"/>
                <w:w w:val="85"/>
              </w:rPr>
              <w:t>(State or other jurisdiction of incorporation or organization)</w:t>
            </w:r>
          </w:p>
        </w:tc>
        <w:tc>
          <w:tcPr>
            <w:tcW w:w="3360" w:type="dxa"/>
            <w:vAlign w:val="bottom"/>
          </w:tcPr>
          <w:p>
            <w:pPr>
              <w:jc w:val="center"/>
              <w:ind w:left="731"/>
              <w:spacing w:after="0"/>
              <w:rPr>
                <w:sz w:val="20"/>
                <w:szCs w:val="20"/>
                <w:color w:val="auto"/>
              </w:rPr>
            </w:pPr>
            <w:r>
              <w:rPr>
                <w:rFonts w:ascii="Arial" w:cs="Arial" w:eastAsia="Arial" w:hAnsi="Arial"/>
                <w:sz w:val="18"/>
                <w:szCs w:val="18"/>
                <w:b w:val="1"/>
                <w:bCs w:val="1"/>
                <w:i w:val="1"/>
                <w:iCs w:val="1"/>
                <w:color w:val="auto"/>
                <w:w w:val="86"/>
              </w:rPr>
              <w:t>(I.R.S. Employer Identification No.)</w:t>
            </w:r>
          </w:p>
        </w:tc>
      </w:tr>
      <w:tr>
        <w:trPr>
          <w:trHeight w:val="270"/>
        </w:trPr>
        <w:tc>
          <w:tcPr>
            <w:tcW w:w="5140" w:type="dxa"/>
            <w:vAlign w:val="bottom"/>
          </w:tcPr>
          <w:p>
            <w:pPr>
              <w:ind w:left="760"/>
              <w:spacing w:after="0"/>
              <w:rPr>
                <w:sz w:val="20"/>
                <w:szCs w:val="20"/>
                <w:color w:val="auto"/>
              </w:rPr>
            </w:pPr>
            <w:r>
              <w:rPr>
                <w:rFonts w:ascii="Arial" w:cs="Arial" w:eastAsia="Arial" w:hAnsi="Arial"/>
                <w:sz w:val="18"/>
                <w:szCs w:val="18"/>
                <w:b w:val="1"/>
                <w:bCs w:val="1"/>
                <w:color w:val="auto"/>
              </w:rPr>
              <w:t>910 Louisiana Street, Houston, Texas</w:t>
            </w:r>
          </w:p>
        </w:tc>
        <w:tc>
          <w:tcPr>
            <w:tcW w:w="3360" w:type="dxa"/>
            <w:vAlign w:val="bottom"/>
          </w:tcPr>
          <w:p>
            <w:pPr>
              <w:jc w:val="right"/>
              <w:ind w:right="951"/>
              <w:spacing w:after="0"/>
              <w:rPr>
                <w:sz w:val="20"/>
                <w:szCs w:val="20"/>
                <w:color w:val="auto"/>
              </w:rPr>
            </w:pPr>
            <w:r>
              <w:rPr>
                <w:rFonts w:ascii="Arial" w:cs="Arial" w:eastAsia="Arial" w:hAnsi="Arial"/>
                <w:sz w:val="18"/>
                <w:szCs w:val="18"/>
                <w:b w:val="1"/>
                <w:bCs w:val="1"/>
                <w:color w:val="auto"/>
              </w:rPr>
              <w:t>77002</w:t>
            </w:r>
          </w:p>
        </w:tc>
      </w:tr>
      <w:tr>
        <w:trPr>
          <w:trHeight w:val="235"/>
        </w:trPr>
        <w:tc>
          <w:tcPr>
            <w:tcW w:w="5140" w:type="dxa"/>
            <w:vAlign w:val="bottom"/>
          </w:tcPr>
          <w:p>
            <w:pPr>
              <w:jc w:val="center"/>
              <w:ind w:right="691"/>
              <w:spacing w:after="0"/>
              <w:rPr>
                <w:sz w:val="20"/>
                <w:szCs w:val="20"/>
                <w:color w:val="auto"/>
              </w:rPr>
            </w:pPr>
            <w:r>
              <w:rPr>
                <w:rFonts w:ascii="Arial" w:cs="Arial" w:eastAsia="Arial" w:hAnsi="Arial"/>
                <w:sz w:val="18"/>
                <w:szCs w:val="18"/>
                <w:b w:val="1"/>
                <w:bCs w:val="1"/>
                <w:i w:val="1"/>
                <w:iCs w:val="1"/>
                <w:color w:val="auto"/>
                <w:w w:val="83"/>
              </w:rPr>
              <w:t>(Address of principal executive offices)</w:t>
            </w:r>
          </w:p>
        </w:tc>
        <w:tc>
          <w:tcPr>
            <w:tcW w:w="3360" w:type="dxa"/>
            <w:vAlign w:val="bottom"/>
          </w:tcPr>
          <w:p>
            <w:pPr>
              <w:jc w:val="center"/>
              <w:ind w:left="731"/>
              <w:spacing w:after="0"/>
              <w:rPr>
                <w:sz w:val="20"/>
                <w:szCs w:val="20"/>
                <w:color w:val="auto"/>
              </w:rPr>
            </w:pPr>
            <w:r>
              <w:rPr>
                <w:rFonts w:ascii="Arial" w:cs="Arial" w:eastAsia="Arial" w:hAnsi="Arial"/>
                <w:sz w:val="18"/>
                <w:szCs w:val="18"/>
                <w:b w:val="1"/>
                <w:bCs w:val="1"/>
                <w:i w:val="1"/>
                <w:iCs w:val="1"/>
                <w:color w:val="auto"/>
                <w:w w:val="87"/>
              </w:rPr>
              <w:t>(Zip Code)</w:t>
            </w:r>
          </w:p>
        </w:tc>
      </w:tr>
    </w:tbl>
    <w:p>
      <w:pPr>
        <w:spacing w:after="0" w:line="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(713) 537-3000</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41" w:lineRule="exact"/>
        <w:rPr>
          <w:sz w:val="20"/>
          <w:szCs w:val="20"/>
          <w:color w:val="auto"/>
        </w:rPr>
      </w:pPr>
    </w:p>
    <w:tbl>
      <w:tblPr>
        <w:tblLayout w:type="fixed"/>
        <w:tblInd w:w="1700" w:type="dxa"/>
        <w:tblCellMar>
          <w:top w:w="0" w:type="dxa"/>
          <w:left w:w="0" w:type="dxa"/>
          <w:bottom w:w="0" w:type="dxa"/>
          <w:right w:w="0" w:type="dxa"/>
        </w:tblCellMar>
      </w:tblPr>
      <w:tr>
        <w:trPr>
          <w:trHeight w:val="227"/>
        </w:trPr>
        <w:tc>
          <w:tcPr>
            <w:tcW w:w="44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Title of Each Class</w:t>
            </w:r>
          </w:p>
        </w:tc>
        <w:tc>
          <w:tcPr>
            <w:tcW w:w="1160" w:type="dxa"/>
            <w:vAlign w:val="bottom"/>
          </w:tcPr>
          <w:p>
            <w:pPr>
              <w:spacing w:after="0"/>
              <w:rPr>
                <w:sz w:val="19"/>
                <w:szCs w:val="19"/>
                <w:color w:val="auto"/>
              </w:rPr>
            </w:pPr>
          </w:p>
        </w:tc>
        <w:tc>
          <w:tcPr>
            <w:tcW w:w="15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9"/>
              </w:rPr>
              <w:t>Trading Symbol(s)</w:t>
            </w:r>
          </w:p>
        </w:tc>
        <w:tc>
          <w:tcPr>
            <w:tcW w:w="360" w:type="dxa"/>
            <w:vAlign w:val="bottom"/>
            <w:vMerge w:val="restart"/>
          </w:tcPr>
          <w:p>
            <w:pPr>
              <w:spacing w:after="0"/>
              <w:rPr>
                <w:sz w:val="19"/>
                <w:szCs w:val="19"/>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Exchange on Which Registered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020" w:type="dxa"/>
            <w:vAlign w:val="bottom"/>
            <w:gridSpan w:val="3"/>
            <w:vMerge w:val="restart"/>
          </w:tcPr>
          <w:p>
            <w:pPr>
              <w:jc w:val="center"/>
              <w:ind w:right="720"/>
              <w:spacing w:after="0"/>
              <w:rPr>
                <w:sz w:val="20"/>
                <w:szCs w:val="20"/>
                <w:color w:val="auto"/>
              </w:rPr>
            </w:pPr>
            <w:r>
              <w:rPr>
                <w:rFonts w:ascii="Arial" w:cs="Arial" w:eastAsia="Arial" w:hAnsi="Arial"/>
                <w:sz w:val="18"/>
                <w:szCs w:val="18"/>
                <w:color w:val="auto"/>
                <w:w w:val="89"/>
              </w:rPr>
              <w:t>Common Stock, par value $0.01</w:t>
            </w:r>
          </w:p>
        </w:tc>
        <w:tc>
          <w:tcPr>
            <w:tcW w:w="1580" w:type="dxa"/>
            <w:vAlign w:val="bottom"/>
            <w:tcBorders>
              <w:bottom w:val="single" w:sz="8" w:color="auto"/>
            </w:tcBorders>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308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line="20" w:lineRule="exact"/>
              <w:rPr>
                <w:sz w:val="1"/>
                <w:szCs w:val="1"/>
                <w:color w:val="auto"/>
              </w:rPr>
            </w:pPr>
          </w:p>
        </w:tc>
      </w:tr>
      <w:tr>
        <w:trPr>
          <w:trHeight w:val="265"/>
        </w:trPr>
        <w:tc>
          <w:tcPr>
            <w:tcW w:w="3020" w:type="dxa"/>
            <w:vAlign w:val="bottom"/>
            <w:gridSpan w:val="3"/>
            <w:vMerge w:val="continue"/>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auto"/>
                <w:w w:val="89"/>
              </w:rPr>
              <w:t>NRG</w:t>
            </w:r>
          </w:p>
        </w:tc>
        <w:tc>
          <w:tcPr>
            <w:tcW w:w="360" w:type="dxa"/>
            <w:vAlign w:val="bottom"/>
          </w:tcPr>
          <w:p>
            <w:pPr>
              <w:spacing w:after="0"/>
              <w:rPr>
                <w:sz w:val="23"/>
                <w:szCs w:val="23"/>
                <w:color w:val="auto"/>
              </w:rPr>
            </w:pPr>
          </w:p>
        </w:tc>
        <w:tc>
          <w:tcPr>
            <w:tcW w:w="30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5" w:lineRule="exact"/>
        <w:rPr>
          <w:sz w:val="20"/>
          <w:szCs w:val="20"/>
          <w:color w:val="auto"/>
        </w:rPr>
      </w:pPr>
    </w:p>
    <w:p>
      <w:pPr>
        <w:ind w:left="300"/>
        <w:spacing w:after="0" w:line="207" w:lineRule="exact"/>
        <w:tabs>
          <w:tab w:leader="none" w:pos="8960" w:val="left"/>
        </w:tabs>
        <w:rPr>
          <w:sz w:val="20"/>
          <w:szCs w:val="20"/>
          <w:color w:val="auto"/>
        </w:rPr>
      </w:pPr>
      <w:r>
        <w:rPr>
          <w:rFonts w:ascii="Arial" w:cs="Arial" w:eastAsia="Arial" w:hAnsi="Arial"/>
          <w:sz w:val="18"/>
          <w:szCs w:val="18"/>
          <w:color w:val="auto"/>
        </w:rPr>
        <w:t>I</w:t>
      </w:r>
      <w:r>
        <w:rPr>
          <w:rFonts w:ascii="Arial" w:cs="Arial" w:eastAsia="Arial" w:hAnsi="Arial"/>
          <w:sz w:val="16"/>
          <w:szCs w:val="16"/>
          <w:color w:val="auto"/>
        </w:rPr>
        <w:t>ndicate by check mark if the registrant is a well-known seasoned issuer, as defined in Rule 405 of the Securities Act.  Yes</w:t>
      </w:r>
      <w:r>
        <w:rPr>
          <w:rFonts w:ascii="Arial" w:cs="Arial" w:eastAsia="Arial" w:hAnsi="Arial"/>
          <w:sz w:val="18"/>
          <w:szCs w:val="18"/>
          <w:color w:val="auto"/>
        </w:rPr>
        <w:t xml:space="preserve"> </w:t>
      </w:r>
      <w:r>
        <w:rPr>
          <w:rFonts w:ascii="MS PGothic" w:cs="MS PGothic" w:eastAsia="MS PGothic" w:hAnsi="MS PGothic"/>
          <w:sz w:val="16"/>
          <w:szCs w:val="16"/>
          <w:b w:val="1"/>
          <w:bCs w:val="1"/>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b w:val="1"/>
          <w:bCs w:val="1"/>
          <w:color w:val="auto"/>
        </w:rPr>
        <w:t>☐</w:t>
      </w:r>
    </w:p>
    <w:p>
      <w:pPr>
        <w:spacing w:after="0" w:line="43" w:lineRule="exact"/>
        <w:rPr>
          <w:sz w:val="20"/>
          <w:szCs w:val="20"/>
          <w:color w:val="auto"/>
        </w:rPr>
      </w:pPr>
    </w:p>
    <w:p>
      <w:pPr>
        <w:ind w:left="300"/>
        <w:spacing w:after="0" w:line="196" w:lineRule="exact"/>
        <w:tabs>
          <w:tab w:leader="none" w:pos="9220" w:val="left"/>
          <w:tab w:leader="none" w:pos="982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b w:val="1"/>
          <w:bCs w:val="1"/>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b w:val="1"/>
          <w:bCs w:val="1"/>
          <w:color w:val="auto"/>
        </w:rPr>
        <w:t>☒</w:t>
      </w:r>
    </w:p>
    <w:p>
      <w:pPr>
        <w:spacing w:after="0" w:line="78" w:lineRule="exact"/>
        <w:rPr>
          <w:sz w:val="20"/>
          <w:szCs w:val="20"/>
          <w:color w:val="auto"/>
        </w:rPr>
      </w:pPr>
    </w:p>
    <w:p>
      <w:pPr>
        <w:jc w:val="both"/>
        <w:ind w:right="20" w:firstLine="312"/>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b w:val="1"/>
          <w:bCs w:val="1"/>
          <w:color w:val="auto"/>
        </w:rPr>
        <w:t>☒</w:t>
      </w:r>
      <w:r>
        <w:rPr>
          <w:rFonts w:ascii="Arial" w:cs="Arial" w:eastAsia="Arial" w:hAnsi="Arial"/>
          <w:sz w:val="17"/>
          <w:szCs w:val="17"/>
          <w:color w:val="auto"/>
        </w:rPr>
        <w:t xml:space="preserve"> No </w:t>
      </w:r>
      <w:r>
        <w:rPr>
          <w:rFonts w:ascii="MS PGothic" w:cs="MS PGothic" w:eastAsia="MS PGothic" w:hAnsi="MS PGothic"/>
          <w:sz w:val="17"/>
          <w:szCs w:val="17"/>
          <w:b w:val="1"/>
          <w:bCs w:val="1"/>
          <w:color w:val="auto"/>
        </w:rPr>
        <w:t>☐</w:t>
      </w:r>
    </w:p>
    <w:p>
      <w:pPr>
        <w:spacing w:after="0" w:line="30" w:lineRule="exact"/>
        <w:rPr>
          <w:sz w:val="20"/>
          <w:szCs w:val="20"/>
          <w:color w:val="auto"/>
        </w:rPr>
      </w:pPr>
    </w:p>
    <w:p>
      <w:pPr>
        <w:jc w:val="both"/>
        <w:ind w:right="20" w:firstLine="312"/>
        <w:spacing w:after="0" w:line="212"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b w:val="1"/>
          <w:bCs w:val="1"/>
          <w:color w:val="auto"/>
        </w:rPr>
        <w:t>☒</w:t>
      </w:r>
      <w:r>
        <w:rPr>
          <w:rFonts w:ascii="Arial" w:cs="Arial" w:eastAsia="Arial" w:hAnsi="Arial"/>
          <w:sz w:val="17"/>
          <w:szCs w:val="17"/>
          <w:color w:val="auto"/>
        </w:rPr>
        <w:t xml:space="preserve"> No </w:t>
      </w:r>
      <w:r>
        <w:rPr>
          <w:rFonts w:ascii="MS PGothic" w:cs="MS PGothic" w:eastAsia="MS PGothic" w:hAnsi="MS PGothic"/>
          <w:sz w:val="17"/>
          <w:szCs w:val="17"/>
          <w:b w:val="1"/>
          <w:bCs w:val="1"/>
          <w:color w:val="auto"/>
        </w:rPr>
        <w:t>☐</w:t>
      </w:r>
    </w:p>
    <w:p>
      <w:pPr>
        <w:spacing w:after="0" w:line="30" w:lineRule="exact"/>
        <w:rPr>
          <w:sz w:val="20"/>
          <w:szCs w:val="20"/>
          <w:color w:val="auto"/>
        </w:rPr>
      </w:pPr>
    </w:p>
    <w:p>
      <w:pPr>
        <w:jc w:val="both"/>
        <w:ind w:right="20" w:firstLine="312"/>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880" w:h="15480" w:orient="portrait"/>
          <w:cols w:equalWidth="0" w:num="1">
            <w:col w:w="11060"/>
          </w:cols>
          <w:pgMar w:left="420" w:top="926" w:right="400" w:bottom="0" w:gutter="0" w:footer="0" w:header="0"/>
        </w:sectPr>
      </w:pPr>
    </w:p>
    <w:p>
      <w:pPr>
        <w:spacing w:after="0" w:line="109" w:lineRule="exact"/>
        <w:rPr>
          <w:sz w:val="20"/>
          <w:szCs w:val="20"/>
          <w:color w:val="auto"/>
        </w:rPr>
      </w:pPr>
    </w:p>
    <w:p>
      <w:pPr>
        <w:ind w:left="5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b w:val="1"/>
          <w:bCs w:val="1"/>
          <w:color w:val="auto"/>
        </w:rPr>
        <w:t>☒</w:t>
      </w:r>
    </w:p>
    <w:p>
      <w:pPr>
        <w:spacing w:after="0" w:line="91" w:lineRule="exact"/>
        <w:rPr>
          <w:sz w:val="20"/>
          <w:szCs w:val="20"/>
          <w:color w:val="auto"/>
        </w:rPr>
      </w:pPr>
    </w:p>
    <w:p>
      <w:pPr>
        <w:ind w:left="66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b w:val="1"/>
          <w:bCs w:val="1"/>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Accelerated filer</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01" w:lineRule="exact"/>
        <w:rPr>
          <w:sz w:val="20"/>
          <w:szCs w:val="20"/>
          <w:color w:val="auto"/>
        </w:rPr>
      </w:pPr>
      <w:r>
        <w:rPr>
          <w:rFonts w:ascii="MS PGothic" w:cs="MS PGothic" w:eastAsia="MS PGothic" w:hAnsi="MS PGothic"/>
          <w:sz w:val="10"/>
          <w:szCs w:val="10"/>
          <w:b w:val="1"/>
          <w:bCs w:val="1"/>
          <w:color w:val="auto"/>
        </w:rPr>
        <w:t>☐</w:t>
      </w:r>
    </w:p>
    <w:p>
      <w:pPr>
        <w:spacing w:after="0" w:line="123" w:lineRule="exact"/>
        <w:rPr>
          <w:sz w:val="20"/>
          <w:szCs w:val="20"/>
          <w:color w:val="auto"/>
        </w:rPr>
      </w:pPr>
    </w:p>
    <w:p>
      <w:pPr>
        <w:spacing w:after="0" w:line="101" w:lineRule="exact"/>
        <w:rPr>
          <w:sz w:val="20"/>
          <w:szCs w:val="20"/>
          <w:color w:val="auto"/>
        </w:rPr>
      </w:pPr>
      <w:r>
        <w:rPr>
          <w:rFonts w:ascii="MS PGothic" w:cs="MS PGothic" w:eastAsia="MS PGothic" w:hAnsi="MS PGothic"/>
          <w:sz w:val="10"/>
          <w:szCs w:val="10"/>
          <w:b w:val="1"/>
          <w:bCs w:val="1"/>
          <w:color w:val="auto"/>
        </w:rPr>
        <w:t>☐</w:t>
      </w:r>
    </w:p>
    <w:p>
      <w:pPr>
        <w:spacing w:after="0" w:line="152" w:lineRule="exact"/>
        <w:rPr>
          <w:sz w:val="20"/>
          <w:szCs w:val="20"/>
          <w:color w:val="auto"/>
        </w:rPr>
      </w:pPr>
    </w:p>
    <w:p>
      <w:pPr>
        <w:sectPr>
          <w:pgSz w:w="11880" w:h="15480" w:orient="portrait"/>
          <w:cols w:equalWidth="0" w:num="3">
            <w:col w:w="7160" w:space="720"/>
            <w:col w:w="1740" w:space="440"/>
            <w:col w:w="1000"/>
          </w:cols>
          <w:pgMar w:left="420" w:top="926" w:right="400" w:bottom="0" w:gutter="0" w:footer="0" w:header="0"/>
          <w:type w:val="continuous"/>
        </w:sectPr>
      </w:pPr>
    </w:p>
    <w:p>
      <w:pPr>
        <w:spacing w:after="0" w:line="7" w:lineRule="exact"/>
        <w:rPr>
          <w:sz w:val="20"/>
          <w:szCs w:val="20"/>
          <w:color w:val="auto"/>
        </w:rPr>
      </w:pPr>
    </w:p>
    <w:p>
      <w:pPr>
        <w:ind w:left="7880"/>
        <w:spacing w:after="0"/>
        <w:rPr>
          <w:sz w:val="20"/>
          <w:szCs w:val="20"/>
          <w:color w:val="auto"/>
        </w:rPr>
      </w:pPr>
      <w:r>
        <w:rPr>
          <w:rFonts w:ascii="Arial" w:cs="Arial" w:eastAsia="Arial" w:hAnsi="Arial"/>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r>
        <w:rPr>
          <w:rFonts w:ascii="MS PGothic" w:cs="MS PGothic" w:eastAsia="MS PGothic" w:hAnsi="MS PGothic"/>
          <w:sz w:val="10"/>
          <w:szCs w:val="10"/>
          <w:b w:val="1"/>
          <w:bCs w:val="1"/>
          <w:color w:val="auto"/>
        </w:rPr>
        <w:t>☐</w:t>
      </w:r>
    </w:p>
    <w:p>
      <w:pPr>
        <w:spacing w:after="0" w:line="234" w:lineRule="exact"/>
        <w:rPr>
          <w:sz w:val="20"/>
          <w:szCs w:val="20"/>
          <w:color w:val="auto"/>
        </w:rPr>
      </w:pPr>
    </w:p>
    <w:p>
      <w:pPr>
        <w:sectPr>
          <w:pgSz w:w="11880" w:h="15480" w:orient="portrait"/>
          <w:cols w:equalWidth="0" w:num="2">
            <w:col w:w="9620" w:space="440"/>
            <w:col w:w="1000"/>
          </w:cols>
          <w:pgMar w:left="420" w:top="926" w:right="400" w:bottom="0" w:gutter="0" w:footer="0" w:header="0"/>
          <w:type w:val="continuous"/>
        </w:sectPr>
      </w:pPr>
    </w:p>
    <w:p>
      <w:pPr>
        <w:jc w:val="both"/>
        <w:ind w:right="20" w:firstLine="312"/>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b w:val="1"/>
          <w:bCs w:val="1"/>
          <w:color w:val="auto"/>
        </w:rPr>
        <w:t>☐</w:t>
      </w:r>
    </w:p>
    <w:p>
      <w:pPr>
        <w:spacing w:after="0" w:line="27" w:lineRule="exact"/>
        <w:rPr>
          <w:sz w:val="20"/>
          <w:szCs w:val="20"/>
          <w:color w:val="auto"/>
        </w:rPr>
      </w:pPr>
    </w:p>
    <w:p>
      <w:pPr>
        <w:jc w:val="both"/>
        <w:ind w:right="20" w:firstLine="312"/>
        <w:spacing w:after="0" w:line="22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b w:val="1"/>
          <w:bCs w:val="1"/>
          <w:color w:val="auto"/>
        </w:rPr>
        <w:t>☒</w:t>
      </w:r>
    </w:p>
    <w:p>
      <w:pPr>
        <w:spacing w:after="0" w:line="28" w:lineRule="exact"/>
        <w:rPr>
          <w:sz w:val="20"/>
          <w:szCs w:val="20"/>
          <w:color w:val="auto"/>
        </w:rPr>
      </w:pPr>
    </w:p>
    <w:p>
      <w:pPr>
        <w:jc w:val="both"/>
        <w:ind w:firstLine="362"/>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b w:val="1"/>
          <w:bCs w:val="1"/>
          <w:color w:val="auto"/>
        </w:rPr>
        <w:t>☐</w:t>
      </w:r>
    </w:p>
    <w:p>
      <w:pPr>
        <w:spacing w:after="0" w:line="21" w:lineRule="exact"/>
        <w:rPr>
          <w:sz w:val="20"/>
          <w:szCs w:val="20"/>
          <w:color w:val="auto"/>
        </w:rPr>
      </w:pPr>
    </w:p>
    <w:p>
      <w:pPr>
        <w:jc w:val="both"/>
        <w:ind w:right="20" w:firstLine="312"/>
        <w:spacing w:after="0" w:line="231"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b w:val="1"/>
          <w:bCs w:val="1"/>
          <w:color w:val="auto"/>
        </w:rPr>
        <w:t>☐</w:t>
      </w:r>
    </w:p>
    <w:p>
      <w:pPr>
        <w:spacing w:after="0" w:line="13" w:lineRule="exact"/>
        <w:rPr>
          <w:sz w:val="20"/>
          <w:szCs w:val="20"/>
          <w:color w:val="auto"/>
        </w:rPr>
      </w:pPr>
    </w:p>
    <w:p>
      <w:pPr>
        <w:ind w:left="300"/>
        <w:spacing w:after="0" w:line="207" w:lineRule="exact"/>
        <w:tabs>
          <w:tab w:leader="none" w:pos="7820" w:val="left"/>
          <w:tab w:leader="none" w:pos="84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b w:val="1"/>
          <w:bCs w:val="1"/>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b w:val="1"/>
          <w:bCs w:val="1"/>
          <w:color w:val="auto"/>
        </w:rPr>
        <w:t>☒</w:t>
      </w:r>
    </w:p>
    <w:p>
      <w:pPr>
        <w:spacing w:after="0" w:line="80" w:lineRule="exact"/>
        <w:rPr>
          <w:sz w:val="20"/>
          <w:szCs w:val="20"/>
          <w:color w:val="auto"/>
        </w:rPr>
      </w:pPr>
    </w:p>
    <w:p>
      <w:pPr>
        <w:jc w:val="both"/>
        <w:ind w:right="20" w:firstLine="312"/>
        <w:spacing w:after="0" w:line="317" w:lineRule="auto"/>
        <w:rPr>
          <w:sz w:val="20"/>
          <w:szCs w:val="20"/>
          <w:color w:val="auto"/>
        </w:rPr>
      </w:pPr>
      <w:r>
        <w:rPr>
          <w:rFonts w:ascii="Arial" w:cs="Arial" w:eastAsia="Arial" w:hAnsi="Arial"/>
          <w:sz w:val="16"/>
          <w:szCs w:val="16"/>
          <w:color w:val="auto"/>
        </w:rPr>
        <w:t>As of the last business day of the most recently completed second fiscal quarter, the aggregate market value of the common stock of the registrant held by non-affiliates was approximately $12,225,722,798 based on the closing sale price of $77.86 as reported on the New York Stock Exchange.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39" w:lineRule="exact"/>
        <w:rPr>
          <w:sz w:val="20"/>
          <w:szCs w:val="20"/>
          <w:color w:val="auto"/>
        </w:rPr>
      </w:pPr>
    </w:p>
    <w:tbl>
      <w:tblPr>
        <w:tblLayout w:type="fixed"/>
        <w:tblInd w:w="206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Class</w:t>
            </w:r>
          </w:p>
        </w:tc>
        <w:tc>
          <w:tcPr>
            <w:tcW w:w="1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 at January 31, 2025</w:t>
            </w:r>
          </w:p>
        </w:tc>
      </w:tr>
      <w:tr>
        <w:trPr>
          <w:trHeight w:val="257"/>
        </w:trPr>
        <w:tc>
          <w:tcPr>
            <w:tcW w:w="3580" w:type="dxa"/>
            <w:vAlign w:val="bottom"/>
            <w:gridSpan w:val="3"/>
          </w:tcPr>
          <w:p>
            <w:pPr>
              <w:jc w:val="center"/>
              <w:ind w:right="580"/>
              <w:spacing w:after="0"/>
              <w:rPr>
                <w:sz w:val="20"/>
                <w:szCs w:val="20"/>
                <w:color w:val="auto"/>
              </w:rPr>
            </w:pPr>
            <w:r>
              <w:rPr>
                <w:rFonts w:ascii="Arial" w:cs="Arial" w:eastAsia="Arial" w:hAnsi="Arial"/>
                <w:sz w:val="18"/>
                <w:szCs w:val="18"/>
                <w:color w:val="auto"/>
                <w:w w:val="88"/>
              </w:rPr>
              <w:t>Common Stock, par value $0.01 per share</w:t>
            </w:r>
          </w:p>
        </w:tc>
        <w:tc>
          <w:tcPr>
            <w:tcW w:w="3100" w:type="dxa"/>
            <w:vAlign w:val="bottom"/>
            <w:gridSpan w:val="2"/>
          </w:tcPr>
          <w:p>
            <w:pPr>
              <w:jc w:val="right"/>
              <w:ind w:right="691"/>
              <w:spacing w:after="0"/>
              <w:rPr>
                <w:sz w:val="20"/>
                <w:szCs w:val="20"/>
                <w:color w:val="auto"/>
              </w:rPr>
            </w:pPr>
            <w:r>
              <w:rPr>
                <w:rFonts w:ascii="Arial" w:cs="Arial" w:eastAsia="Arial" w:hAnsi="Arial"/>
                <w:sz w:val="18"/>
                <w:szCs w:val="18"/>
                <w:color w:val="auto"/>
              </w:rPr>
              <w:t>198,068,576</w:t>
            </w:r>
          </w:p>
        </w:tc>
      </w:tr>
    </w:tbl>
    <w:p>
      <w:pPr>
        <w:spacing w:after="0" w:line="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Portions of the Registrant's definitive Proxy Statement relating to its 2025 Annual Meeting of Stockholders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are incorporated by reference into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369570</wp:posOffset>
                </wp:positionH>
                <wp:positionV relativeFrom="paragraph">
                  <wp:posOffset>29210</wp:posOffset>
                </wp:positionV>
                <wp:extent cx="627062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06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pt,2.3pt" to="522.85pt,2.3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369570</wp:posOffset>
                </wp:positionH>
                <wp:positionV relativeFrom="paragraph">
                  <wp:posOffset>76200</wp:posOffset>
                </wp:positionV>
                <wp:extent cx="627062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06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pt,6pt" to="522.85pt,6pt" o:allowincell="f" strokecolor="#000000" strokeweight="1pt"/>
            </w:pict>
          </mc:Fallback>
        </mc:AlternateContent>
      </w: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w:t>
      </w:r>
    </w:p>
    <w:p>
      <w:pPr>
        <w:sectPr>
          <w:pgSz w:w="11880" w:h="15480" w:orient="portrait"/>
          <w:cols w:equalWidth="0" w:num="1">
            <w:col w:w="11060"/>
          </w:cols>
          <w:pgMar w:left="420" w:top="926" w:right="400" w:bottom="0" w:gutter="0" w:footer="0" w:header="0"/>
          <w:type w:val="continuous"/>
        </w:sectPr>
      </w:pPr>
    </w:p>
    <w:bookmarkStart w:id="3" w:name="page4"/>
    <w:bookmarkEnd w:id="3"/>
    <w:p>
      <w:pPr>
        <w:ind w:left="3820"/>
        <w:spacing w:after="0"/>
        <w:rPr>
          <w:sz w:val="20"/>
          <w:szCs w:val="20"/>
          <w:color w:val="auto"/>
        </w:rPr>
      </w:pPr>
      <w:r>
        <w:rPr>
          <w:rFonts w:ascii="Arial" w:cs="Arial" w:eastAsia="Arial" w:hAnsi="Arial"/>
          <w:sz w:val="20"/>
          <w:szCs w:val="20"/>
          <w:b w:val="1"/>
          <w:bCs w:val="1"/>
          <w:color w:val="auto"/>
        </w:rPr>
        <w:t>TABLE OF CONTENTS</w:t>
      </w:r>
    </w:p>
    <w:p>
      <w:pPr>
        <w:spacing w:after="0" w:line="89" w:lineRule="exact"/>
        <w:rPr>
          <w:sz w:val="20"/>
          <w:szCs w:val="20"/>
          <w:color w:val="auto"/>
        </w:rPr>
      </w:pPr>
    </w:p>
    <w:p>
      <w:pPr>
        <w:ind w:left="120"/>
        <w:spacing w:after="0"/>
        <w:tabs>
          <w:tab w:leader="none" w:pos="9640" w:val="left"/>
        </w:tabs>
        <w:rPr>
          <w:sz w:val="20"/>
          <w:szCs w:val="20"/>
          <w:color w:val="auto"/>
        </w:rPr>
      </w:pPr>
      <w:r>
        <w:rPr>
          <w:rFonts w:ascii="Arial" w:cs="Arial" w:eastAsia="Arial" w:hAnsi="Arial"/>
          <w:sz w:val="19"/>
          <w:szCs w:val="19"/>
          <w:color w:val="auto"/>
        </w:rPr>
        <w:t xml:space="preserve">GLOSSARY OF TERMS </w:t>
      </w:r>
      <w:r>
        <w:rPr>
          <w:rFonts w:ascii="Arial" w:cs="Arial" w:eastAsia="Arial" w:hAnsi="Arial"/>
          <w:sz w:val="19"/>
          <w:szCs w:val="19"/>
          <w:color w:val="B4B4B4"/>
        </w:rPr>
        <w:t>. . . . . . . . . . . . . . . . . . . . . . . . . . . . . . . . . . . . . . . . . . . . . . . . . . . . . . . . . . . . . . . . . . . . . .</w:t>
      </w:r>
      <w:r>
        <w:rPr>
          <w:sz w:val="20"/>
          <w:szCs w:val="20"/>
          <w:color w:val="auto"/>
        </w:rPr>
        <w:tab/>
      </w:r>
      <w:r>
        <w:rPr>
          <w:rFonts w:ascii="Arial" w:cs="Arial" w:eastAsia="Arial" w:hAnsi="Arial"/>
          <w:sz w:val="16"/>
          <w:szCs w:val="16"/>
          <w:color w:val="auto"/>
        </w:rPr>
        <w:t>3</w:t>
      </w:r>
    </w:p>
    <w:p>
      <w:pPr>
        <w:spacing w:after="0" w:line="71" w:lineRule="exact"/>
        <w:rPr>
          <w:sz w:val="20"/>
          <w:szCs w:val="20"/>
          <w:color w:val="auto"/>
        </w:rPr>
      </w:pPr>
    </w:p>
    <w:p>
      <w:pPr>
        <w:spacing w:after="0"/>
        <w:tabs>
          <w:tab w:leader="none" w:pos="9640" w:val="left"/>
        </w:tabs>
        <w:rPr>
          <w:sz w:val="20"/>
          <w:szCs w:val="20"/>
          <w:color w:val="auto"/>
        </w:rPr>
      </w:pPr>
      <w:r>
        <w:rPr>
          <w:rFonts w:ascii="Arial" w:cs="Arial" w:eastAsia="Arial" w:hAnsi="Arial"/>
          <w:sz w:val="19"/>
          <w:szCs w:val="19"/>
          <w:b w:val="1"/>
          <w:bCs w:val="1"/>
          <w:u w:val="single" w:color="auto"/>
          <w:color w:val="auto"/>
        </w:rPr>
        <w:t>PART I</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B4B4B4"/>
        </w:rPr>
        <w:t>. . . . . . . . . . . . . . . . . . . . . . . . . . . . . . . . . . . . . . . . . . . . . . . . . . . . . . . . . . . . . . . . . . . . . . . . . . . . . . . . . . . . .</w:t>
      </w:r>
      <w:r>
        <w:rPr>
          <w:sz w:val="20"/>
          <w:szCs w:val="20"/>
          <w:color w:val="auto"/>
        </w:rPr>
        <w:tab/>
      </w:r>
      <w:r>
        <w:rPr>
          <w:rFonts w:ascii="Arial" w:cs="Arial" w:eastAsia="Arial" w:hAnsi="Arial"/>
          <w:sz w:val="16"/>
          <w:szCs w:val="16"/>
          <w:color w:val="auto"/>
        </w:rPr>
        <w:t>7</w:t>
      </w:r>
    </w:p>
    <w:p>
      <w:pPr>
        <w:spacing w:after="0" w:line="86" w:lineRule="exact"/>
        <w:rPr>
          <w:sz w:val="20"/>
          <w:szCs w:val="20"/>
          <w:color w:val="auto"/>
        </w:rPr>
      </w:pPr>
    </w:p>
    <w:p>
      <w:pPr>
        <w:ind w:left="120"/>
        <w:spacing w:after="0"/>
        <w:tabs>
          <w:tab w:leader="none" w:pos="9640" w:val="left"/>
        </w:tabs>
        <w:rPr>
          <w:sz w:val="20"/>
          <w:szCs w:val="20"/>
          <w:color w:val="auto"/>
        </w:rPr>
      </w:pPr>
      <w:r>
        <w:rPr>
          <w:rFonts w:ascii="Arial" w:cs="Arial" w:eastAsia="Arial" w:hAnsi="Arial"/>
          <w:sz w:val="19"/>
          <w:szCs w:val="19"/>
          <w:color w:val="auto"/>
        </w:rPr>
        <w:t xml:space="preserve">Item 1 — Business </w:t>
      </w:r>
      <w:r>
        <w:rPr>
          <w:rFonts w:ascii="Arial" w:cs="Arial" w:eastAsia="Arial" w:hAnsi="Arial"/>
          <w:sz w:val="19"/>
          <w:szCs w:val="19"/>
          <w:color w:val="B4B4B4"/>
        </w:rPr>
        <w:t>. . . . . . . . . . . . . . . . . . . . . . . . . . . . . . . . . . . . . . . . . . . . . . . . . . . . . . . . . . . . . . . . . . . . . . . . . . . .</w:t>
      </w:r>
      <w:r>
        <w:rPr>
          <w:sz w:val="20"/>
          <w:szCs w:val="20"/>
          <w:color w:val="auto"/>
        </w:rPr>
        <w:tab/>
      </w:r>
      <w:r>
        <w:rPr>
          <w:rFonts w:ascii="Arial" w:cs="Arial" w:eastAsia="Arial" w:hAnsi="Arial"/>
          <w:sz w:val="16"/>
          <w:szCs w:val="16"/>
          <w:color w:val="auto"/>
        </w:rPr>
        <w:t>7</w:t>
      </w:r>
    </w:p>
    <w:p>
      <w:pPr>
        <w:spacing w:after="0" w:line="79" w:lineRule="exact"/>
        <w:rPr>
          <w:sz w:val="20"/>
          <w:szCs w:val="20"/>
          <w:color w:val="auto"/>
        </w:rPr>
      </w:pPr>
    </w:p>
    <w:p>
      <w:pPr>
        <w:ind w:left="120"/>
        <w:spacing w:after="0"/>
        <w:tabs>
          <w:tab w:leader="none" w:pos="9540" w:val="left"/>
        </w:tabs>
        <w:rPr>
          <w:sz w:val="20"/>
          <w:szCs w:val="20"/>
          <w:color w:val="auto"/>
        </w:rPr>
      </w:pPr>
      <w:r>
        <w:rPr>
          <w:rFonts w:ascii="Arial" w:cs="Arial" w:eastAsia="Arial" w:hAnsi="Arial"/>
          <w:sz w:val="19"/>
          <w:szCs w:val="19"/>
          <w:color w:val="auto"/>
        </w:rPr>
        <w:t xml:space="preserve">Item 1A — Risk Factors </w:t>
      </w:r>
      <w:r>
        <w:rPr>
          <w:rFonts w:ascii="Arial" w:cs="Arial" w:eastAsia="Arial" w:hAnsi="Arial"/>
          <w:sz w:val="19"/>
          <w:szCs w:val="19"/>
          <w:color w:val="B4B4B4"/>
        </w:rPr>
        <w:t>. . . . . . . . . . . . . . . . . . . . . . . . . . . . . . . . . . . . . . . . . . . . . . . . . . . . . . . . . . . . . . . . . . . . . . .</w:t>
      </w:r>
      <w:r>
        <w:rPr>
          <w:sz w:val="20"/>
          <w:szCs w:val="20"/>
          <w:color w:val="auto"/>
        </w:rPr>
        <w:tab/>
      </w:r>
      <w:r>
        <w:rPr>
          <w:rFonts w:ascii="Arial" w:cs="Arial" w:eastAsia="Arial" w:hAnsi="Arial"/>
          <w:sz w:val="16"/>
          <w:szCs w:val="16"/>
          <w:color w:val="auto"/>
        </w:rPr>
        <w:t>24</w:t>
      </w:r>
    </w:p>
    <w:p>
      <w:pPr>
        <w:spacing w:after="0" w:line="79" w:lineRule="exact"/>
        <w:rPr>
          <w:sz w:val="20"/>
          <w:szCs w:val="20"/>
          <w:color w:val="auto"/>
        </w:rPr>
      </w:pPr>
    </w:p>
    <w:p>
      <w:pPr>
        <w:ind w:left="120"/>
        <w:spacing w:after="0"/>
        <w:tabs>
          <w:tab w:leader="none" w:pos="9540" w:val="left"/>
        </w:tabs>
        <w:rPr>
          <w:sz w:val="20"/>
          <w:szCs w:val="20"/>
          <w:color w:val="auto"/>
        </w:rPr>
      </w:pPr>
      <w:r>
        <w:rPr>
          <w:rFonts w:ascii="Arial" w:cs="Arial" w:eastAsia="Arial" w:hAnsi="Arial"/>
          <w:sz w:val="19"/>
          <w:szCs w:val="19"/>
          <w:color w:val="auto"/>
        </w:rPr>
        <w:t xml:space="preserve">Item 1B — Unresolved Staff Comments </w:t>
      </w:r>
      <w:r>
        <w:rPr>
          <w:rFonts w:ascii="Arial" w:cs="Arial" w:eastAsia="Arial" w:hAnsi="Arial"/>
          <w:sz w:val="19"/>
          <w:szCs w:val="19"/>
          <w:color w:val="B4B4B4"/>
        </w:rPr>
        <w:t>. . . . . . . . . . . . . . . . . . . . . . . . . . . . . . . . . . . . . . . . . . . . . . . . . . . . . . . . . . .</w:t>
      </w:r>
      <w:r>
        <w:rPr>
          <w:sz w:val="20"/>
          <w:szCs w:val="20"/>
          <w:color w:val="auto"/>
        </w:rPr>
        <w:tab/>
      </w:r>
      <w:r>
        <w:rPr>
          <w:rFonts w:ascii="Arial" w:cs="Arial" w:eastAsia="Arial" w:hAnsi="Arial"/>
          <w:sz w:val="16"/>
          <w:szCs w:val="16"/>
          <w:color w:val="auto"/>
        </w:rPr>
        <w:t>40</w:t>
      </w:r>
    </w:p>
    <w:p>
      <w:pPr>
        <w:spacing w:after="0" w:line="79" w:lineRule="exact"/>
        <w:rPr>
          <w:sz w:val="20"/>
          <w:szCs w:val="20"/>
          <w:color w:val="auto"/>
        </w:rPr>
      </w:pPr>
    </w:p>
    <w:p>
      <w:pPr>
        <w:ind w:left="120"/>
        <w:spacing w:after="0"/>
        <w:tabs>
          <w:tab w:leader="none" w:pos="9540" w:val="left"/>
        </w:tabs>
        <w:rPr>
          <w:sz w:val="20"/>
          <w:szCs w:val="20"/>
          <w:color w:val="auto"/>
        </w:rPr>
      </w:pPr>
      <w:r>
        <w:rPr>
          <w:rFonts w:ascii="Arial" w:cs="Arial" w:eastAsia="Arial" w:hAnsi="Arial"/>
          <w:sz w:val="19"/>
          <w:szCs w:val="19"/>
          <w:color w:val="auto"/>
        </w:rPr>
        <w:t xml:space="preserve">Item 1C — Cybersecurity </w:t>
      </w:r>
      <w:r>
        <w:rPr>
          <w:rFonts w:ascii="Arial" w:cs="Arial" w:eastAsia="Arial" w:hAnsi="Arial"/>
          <w:sz w:val="19"/>
          <w:szCs w:val="19"/>
          <w:color w:val="B4B4B4"/>
        </w:rPr>
        <w:t>. . . . . . . . . . . . . . . . . . . . . . . . . . . . . . . . . . . . . . . . . . . . . . . . . . . . . . . . . . . . . . . . . . . . . .</w:t>
      </w:r>
      <w:r>
        <w:rPr>
          <w:sz w:val="20"/>
          <w:szCs w:val="20"/>
          <w:color w:val="auto"/>
        </w:rPr>
        <w:tab/>
      </w:r>
      <w:r>
        <w:rPr>
          <w:rFonts w:ascii="Arial" w:cs="Arial" w:eastAsia="Arial" w:hAnsi="Arial"/>
          <w:sz w:val="16"/>
          <w:szCs w:val="16"/>
          <w:color w:val="auto"/>
        </w:rPr>
        <w:t>40</w:t>
      </w:r>
    </w:p>
    <w:p>
      <w:pPr>
        <w:spacing w:after="0" w:line="79" w:lineRule="exact"/>
        <w:rPr>
          <w:sz w:val="20"/>
          <w:szCs w:val="20"/>
          <w:color w:val="auto"/>
        </w:rPr>
      </w:pPr>
    </w:p>
    <w:p>
      <w:pPr>
        <w:ind w:left="120"/>
        <w:spacing w:after="0"/>
        <w:tabs>
          <w:tab w:leader="none" w:pos="9540" w:val="left"/>
        </w:tabs>
        <w:rPr>
          <w:sz w:val="20"/>
          <w:szCs w:val="20"/>
          <w:color w:val="auto"/>
        </w:rPr>
      </w:pPr>
      <w:r>
        <w:rPr>
          <w:rFonts w:ascii="Arial" w:cs="Arial" w:eastAsia="Arial" w:hAnsi="Arial"/>
          <w:sz w:val="19"/>
          <w:szCs w:val="19"/>
          <w:color w:val="auto"/>
        </w:rPr>
        <w:t xml:space="preserve">Item 2 — Properties </w:t>
      </w:r>
      <w:r>
        <w:rPr>
          <w:rFonts w:ascii="Arial" w:cs="Arial" w:eastAsia="Arial" w:hAnsi="Arial"/>
          <w:sz w:val="19"/>
          <w:szCs w:val="19"/>
          <w:color w:val="B4B4B4"/>
        </w:rPr>
        <w:t>. . . . . . . . . . . . . . . . . . . . . . . . . . . . . . . . . . . . . . . . . . . . . . . . . . . . . . . . . . . . . . . . . . . . . . . . . . .</w:t>
      </w:r>
      <w:r>
        <w:rPr>
          <w:sz w:val="20"/>
          <w:szCs w:val="20"/>
          <w:color w:val="auto"/>
        </w:rPr>
        <w:tab/>
      </w:r>
      <w:r>
        <w:rPr>
          <w:rFonts w:ascii="Arial" w:cs="Arial" w:eastAsia="Arial" w:hAnsi="Arial"/>
          <w:sz w:val="16"/>
          <w:szCs w:val="16"/>
          <w:color w:val="auto"/>
        </w:rPr>
        <w:t>42</w:t>
      </w:r>
    </w:p>
    <w:p>
      <w:pPr>
        <w:spacing w:after="0" w:line="79" w:lineRule="exact"/>
        <w:rPr>
          <w:sz w:val="20"/>
          <w:szCs w:val="20"/>
          <w:color w:val="auto"/>
        </w:rPr>
      </w:pPr>
    </w:p>
    <w:p>
      <w:pPr>
        <w:ind w:left="120"/>
        <w:spacing w:after="0"/>
        <w:tabs>
          <w:tab w:leader="none" w:pos="9540" w:val="left"/>
        </w:tabs>
        <w:rPr>
          <w:sz w:val="20"/>
          <w:szCs w:val="20"/>
          <w:color w:val="auto"/>
        </w:rPr>
      </w:pPr>
      <w:r>
        <w:rPr>
          <w:rFonts w:ascii="Arial" w:cs="Arial" w:eastAsia="Arial" w:hAnsi="Arial"/>
          <w:sz w:val="19"/>
          <w:szCs w:val="19"/>
          <w:color w:val="auto"/>
        </w:rPr>
        <w:t xml:space="preserve">Item 3 — Legal Proceedings </w:t>
      </w:r>
      <w:r>
        <w:rPr>
          <w:rFonts w:ascii="Arial" w:cs="Arial" w:eastAsia="Arial" w:hAnsi="Arial"/>
          <w:sz w:val="19"/>
          <w:szCs w:val="19"/>
          <w:color w:val="B4B4B4"/>
        </w:rPr>
        <w:t>. . . . . . . . . . . . . . . . . . . . . . . . . . . . . . . . . . . . . . . . . . . . . . . . . . . . . . . . . . . . . . . . . . . .</w:t>
      </w:r>
      <w:r>
        <w:rPr>
          <w:sz w:val="20"/>
          <w:szCs w:val="20"/>
          <w:color w:val="auto"/>
        </w:rPr>
        <w:tab/>
      </w:r>
      <w:r>
        <w:rPr>
          <w:rFonts w:ascii="Arial" w:cs="Arial" w:eastAsia="Arial" w:hAnsi="Arial"/>
          <w:sz w:val="16"/>
          <w:szCs w:val="16"/>
          <w:color w:val="auto"/>
        </w:rPr>
        <w:t>43</w:t>
      </w:r>
    </w:p>
    <w:p>
      <w:pPr>
        <w:spacing w:after="0" w:line="79" w:lineRule="exact"/>
        <w:rPr>
          <w:sz w:val="20"/>
          <w:szCs w:val="20"/>
          <w:color w:val="auto"/>
        </w:rPr>
      </w:pPr>
    </w:p>
    <w:p>
      <w:pPr>
        <w:ind w:left="120"/>
        <w:spacing w:after="0"/>
        <w:tabs>
          <w:tab w:leader="none" w:pos="9540" w:val="left"/>
        </w:tabs>
        <w:rPr>
          <w:sz w:val="20"/>
          <w:szCs w:val="20"/>
          <w:color w:val="auto"/>
        </w:rPr>
      </w:pPr>
      <w:r>
        <w:rPr>
          <w:rFonts w:ascii="Arial" w:cs="Arial" w:eastAsia="Arial" w:hAnsi="Arial"/>
          <w:sz w:val="19"/>
          <w:szCs w:val="19"/>
          <w:color w:val="auto"/>
        </w:rPr>
        <w:t xml:space="preserve">Item 4 — Mine Safety Disclosures </w:t>
      </w:r>
      <w:r>
        <w:rPr>
          <w:rFonts w:ascii="Arial" w:cs="Arial" w:eastAsia="Arial" w:hAnsi="Arial"/>
          <w:sz w:val="19"/>
          <w:szCs w:val="19"/>
          <w:color w:val="B4B4B4"/>
        </w:rPr>
        <w:t>. . . . . . . . . . . . . . . . . . . . . . . . . . . . . . . . . . . . . . . . . . . . . . . . . . . . . . . . . . . . . . .</w:t>
      </w:r>
      <w:r>
        <w:rPr>
          <w:sz w:val="20"/>
          <w:szCs w:val="20"/>
          <w:color w:val="auto"/>
        </w:rPr>
        <w:tab/>
      </w:r>
      <w:r>
        <w:rPr>
          <w:rFonts w:ascii="Arial" w:cs="Arial" w:eastAsia="Arial" w:hAnsi="Arial"/>
          <w:sz w:val="16"/>
          <w:szCs w:val="16"/>
          <w:color w:val="auto"/>
        </w:rPr>
        <w:t>43</w:t>
      </w:r>
    </w:p>
    <w:p>
      <w:pPr>
        <w:spacing w:after="0" w:line="71" w:lineRule="exact"/>
        <w:rPr>
          <w:sz w:val="20"/>
          <w:szCs w:val="20"/>
          <w:color w:val="auto"/>
        </w:rPr>
      </w:pPr>
    </w:p>
    <w:p>
      <w:pPr>
        <w:spacing w:after="0"/>
        <w:tabs>
          <w:tab w:leader="none" w:pos="9540" w:val="left"/>
        </w:tabs>
        <w:rPr>
          <w:sz w:val="20"/>
          <w:szCs w:val="20"/>
          <w:color w:val="auto"/>
        </w:rPr>
      </w:pPr>
      <w:r>
        <w:rPr>
          <w:rFonts w:ascii="Arial" w:cs="Arial" w:eastAsia="Arial" w:hAnsi="Arial"/>
          <w:sz w:val="19"/>
          <w:szCs w:val="19"/>
          <w:b w:val="1"/>
          <w:bCs w:val="1"/>
          <w:u w:val="single" w:color="auto"/>
          <w:color w:val="auto"/>
        </w:rPr>
        <w:t>PART II</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B4B4B4"/>
        </w:rPr>
        <w:t>. . . . . . . . . . . . . . . . . . . . . . . . . . . . . . . . . . . . . . . . . . . . . . . . . . . . . . . . . . . . . . . . . . . . . . . . . . . . . . . . . . . . .</w:t>
      </w:r>
      <w:r>
        <w:rPr>
          <w:sz w:val="20"/>
          <w:szCs w:val="20"/>
          <w:color w:val="auto"/>
        </w:rPr>
        <w:tab/>
      </w:r>
      <w:r>
        <w:rPr>
          <w:rFonts w:ascii="Arial" w:cs="Arial" w:eastAsia="Arial" w:hAnsi="Arial"/>
          <w:sz w:val="16"/>
          <w:szCs w:val="16"/>
          <w:color w:val="auto"/>
        </w:rPr>
        <w:t>44</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9"/>
          <w:szCs w:val="19"/>
          <w:color w:val="auto"/>
        </w:rPr>
        <w:t>Item 5 — Market for Registrant's Common Equity, Related Stockholder Matters and Issuer Purchases of Equity</w:t>
      </w:r>
    </w:p>
    <w:p>
      <w:pPr>
        <w:spacing w:after="0" w:line="2" w:lineRule="exact"/>
        <w:rPr>
          <w:sz w:val="20"/>
          <w:szCs w:val="20"/>
          <w:color w:val="auto"/>
        </w:rPr>
      </w:pPr>
    </w:p>
    <w:p>
      <w:pPr>
        <w:ind w:left="120"/>
        <w:spacing w:after="0"/>
        <w:tabs>
          <w:tab w:leader="none" w:pos="9540" w:val="left"/>
        </w:tabs>
        <w:rPr>
          <w:sz w:val="20"/>
          <w:szCs w:val="20"/>
          <w:color w:val="auto"/>
        </w:rPr>
      </w:pPr>
      <w:r>
        <w:rPr>
          <w:rFonts w:ascii="Arial" w:cs="Arial" w:eastAsia="Arial" w:hAnsi="Arial"/>
          <w:sz w:val="19"/>
          <w:szCs w:val="19"/>
          <w:color w:val="auto"/>
        </w:rPr>
        <w:t xml:space="preserve">Securities </w:t>
      </w:r>
      <w:r>
        <w:rPr>
          <w:rFonts w:ascii="Arial" w:cs="Arial" w:eastAsia="Arial" w:hAnsi="Arial"/>
          <w:sz w:val="19"/>
          <w:szCs w:val="19"/>
          <w:color w:val="B4B4B4"/>
        </w:rPr>
        <w:t>. . . . . . . . . . . . . . . . . . . . . . . . . . . . . . . . . . . . . . . . . . . . . . . . . . . . . . . . . . . . . . . . . . . . . . . . . . . . . . . . . . .</w:t>
      </w:r>
      <w:r>
        <w:rPr>
          <w:sz w:val="20"/>
          <w:szCs w:val="20"/>
          <w:color w:val="auto"/>
        </w:rPr>
        <w:tab/>
      </w:r>
      <w:r>
        <w:rPr>
          <w:rFonts w:ascii="Arial" w:cs="Arial" w:eastAsia="Arial" w:hAnsi="Arial"/>
          <w:sz w:val="16"/>
          <w:szCs w:val="16"/>
          <w:color w:val="auto"/>
        </w:rPr>
        <w:t>44</w:t>
      </w:r>
    </w:p>
    <w:p>
      <w:pPr>
        <w:spacing w:after="0" w:line="52" w:lineRule="exact"/>
        <w:rPr>
          <w:sz w:val="20"/>
          <w:szCs w:val="20"/>
          <w:color w:val="auto"/>
        </w:rPr>
      </w:pPr>
    </w:p>
    <w:p>
      <w:pPr>
        <w:ind w:left="120"/>
        <w:spacing w:after="0"/>
        <w:tabs>
          <w:tab w:leader="none" w:pos="9540" w:val="left"/>
        </w:tabs>
        <w:rPr>
          <w:sz w:val="20"/>
          <w:szCs w:val="20"/>
          <w:color w:val="auto"/>
        </w:rPr>
      </w:pPr>
      <w:r>
        <w:rPr>
          <w:rFonts w:ascii="Arial" w:cs="Arial" w:eastAsia="Arial" w:hAnsi="Arial"/>
          <w:sz w:val="19"/>
          <w:szCs w:val="19"/>
          <w:color w:val="auto"/>
        </w:rPr>
        <w:t xml:space="preserve">Item 6 — Reserved </w:t>
      </w:r>
      <w:r>
        <w:rPr>
          <w:rFonts w:ascii="Arial" w:cs="Arial" w:eastAsia="Arial" w:hAnsi="Arial"/>
          <w:sz w:val="19"/>
          <w:szCs w:val="19"/>
          <w:color w:val="B4B4B4"/>
        </w:rPr>
        <w:t>. . . . . . . . . . . . . . . . . . . . . . . . . . . . . . . . . . . . . . . . . . . . . . . . . . . . . . . . . . . . . . . . . . . . . . . . . . .</w:t>
      </w:r>
      <w:r>
        <w:rPr>
          <w:sz w:val="20"/>
          <w:szCs w:val="20"/>
          <w:color w:val="auto"/>
        </w:rPr>
        <w:tab/>
      </w:r>
      <w:r>
        <w:rPr>
          <w:rFonts w:ascii="Arial" w:cs="Arial" w:eastAsia="Arial" w:hAnsi="Arial"/>
          <w:sz w:val="16"/>
          <w:szCs w:val="16"/>
          <w:color w:val="auto"/>
        </w:rPr>
        <w:t>45</w:t>
      </w:r>
    </w:p>
    <w:p>
      <w:pPr>
        <w:spacing w:after="0" w:line="93" w:lineRule="exact"/>
        <w:rPr>
          <w:sz w:val="20"/>
          <w:szCs w:val="20"/>
          <w:color w:val="auto"/>
        </w:rPr>
      </w:pPr>
    </w:p>
    <w:p>
      <w:pPr>
        <w:ind w:left="120"/>
        <w:spacing w:after="0"/>
        <w:tabs>
          <w:tab w:leader="none" w:pos="9540" w:val="left"/>
        </w:tabs>
        <w:rPr>
          <w:sz w:val="20"/>
          <w:szCs w:val="20"/>
          <w:color w:val="auto"/>
        </w:rPr>
      </w:pPr>
      <w:r>
        <w:rPr>
          <w:rFonts w:ascii="Arial" w:cs="Arial" w:eastAsia="Arial" w:hAnsi="Arial"/>
          <w:sz w:val="19"/>
          <w:szCs w:val="19"/>
          <w:color w:val="auto"/>
        </w:rPr>
        <w:t xml:space="preserve">Item 7 — Management's Discussion and Analysis of Financial Condition and Results of Operations </w:t>
      </w:r>
      <w:r>
        <w:rPr>
          <w:rFonts w:ascii="Arial" w:cs="Arial" w:eastAsia="Arial" w:hAnsi="Arial"/>
          <w:sz w:val="19"/>
          <w:szCs w:val="19"/>
          <w:color w:val="B4B4B4"/>
        </w:rPr>
        <w:t>. . . . . . . . . . .</w:t>
      </w:r>
      <w:r>
        <w:rPr>
          <w:sz w:val="20"/>
          <w:szCs w:val="20"/>
          <w:color w:val="auto"/>
        </w:rPr>
        <w:tab/>
      </w:r>
      <w:r>
        <w:rPr>
          <w:rFonts w:ascii="Arial" w:cs="Arial" w:eastAsia="Arial" w:hAnsi="Arial"/>
          <w:sz w:val="16"/>
          <w:szCs w:val="16"/>
          <w:color w:val="auto"/>
        </w:rPr>
        <w:t>46</w:t>
      </w:r>
    </w:p>
    <w:p>
      <w:pPr>
        <w:spacing w:after="0" w:line="79" w:lineRule="exact"/>
        <w:rPr>
          <w:sz w:val="20"/>
          <w:szCs w:val="20"/>
          <w:color w:val="auto"/>
        </w:rPr>
      </w:pPr>
    </w:p>
    <w:p>
      <w:pPr>
        <w:ind w:left="120"/>
        <w:spacing w:after="0"/>
        <w:tabs>
          <w:tab w:leader="none" w:pos="9540" w:val="left"/>
        </w:tabs>
        <w:rPr>
          <w:sz w:val="20"/>
          <w:szCs w:val="20"/>
          <w:color w:val="auto"/>
        </w:rPr>
      </w:pPr>
      <w:r>
        <w:rPr>
          <w:rFonts w:ascii="Arial" w:cs="Arial" w:eastAsia="Arial" w:hAnsi="Arial"/>
          <w:sz w:val="19"/>
          <w:szCs w:val="19"/>
          <w:color w:val="auto"/>
        </w:rPr>
        <w:t xml:space="preserve">Item 7A — Quantitative and Qualitative Disclosures About Market Risk </w:t>
      </w:r>
      <w:r>
        <w:rPr>
          <w:rFonts w:ascii="Arial" w:cs="Arial" w:eastAsia="Arial" w:hAnsi="Arial"/>
          <w:sz w:val="19"/>
          <w:szCs w:val="19"/>
          <w:color w:val="B4B4B4"/>
        </w:rPr>
        <w:t>. . . . . . . . . . . . . . . . . . . . . . . . . . . . . . . . .</w:t>
      </w:r>
      <w:r>
        <w:rPr>
          <w:sz w:val="20"/>
          <w:szCs w:val="20"/>
          <w:color w:val="auto"/>
        </w:rPr>
        <w:tab/>
      </w:r>
      <w:r>
        <w:rPr>
          <w:rFonts w:ascii="Arial" w:cs="Arial" w:eastAsia="Arial" w:hAnsi="Arial"/>
          <w:sz w:val="16"/>
          <w:szCs w:val="16"/>
          <w:color w:val="auto"/>
        </w:rPr>
        <w:t>77</w:t>
      </w:r>
    </w:p>
    <w:p>
      <w:pPr>
        <w:spacing w:after="0" w:line="79" w:lineRule="exact"/>
        <w:rPr>
          <w:sz w:val="20"/>
          <w:szCs w:val="20"/>
          <w:color w:val="auto"/>
        </w:rPr>
      </w:pPr>
    </w:p>
    <w:p>
      <w:pPr>
        <w:ind w:left="120"/>
        <w:spacing w:after="0"/>
        <w:tabs>
          <w:tab w:leader="none" w:pos="9540" w:val="left"/>
        </w:tabs>
        <w:rPr>
          <w:sz w:val="20"/>
          <w:szCs w:val="20"/>
          <w:color w:val="auto"/>
        </w:rPr>
      </w:pPr>
      <w:r>
        <w:rPr>
          <w:rFonts w:ascii="Arial" w:cs="Arial" w:eastAsia="Arial" w:hAnsi="Arial"/>
          <w:sz w:val="19"/>
          <w:szCs w:val="19"/>
          <w:color w:val="auto"/>
        </w:rPr>
        <w:t xml:space="preserve">Item 8 — Financial Statements and Supplementary Data </w:t>
      </w:r>
      <w:r>
        <w:rPr>
          <w:rFonts w:ascii="Arial" w:cs="Arial" w:eastAsia="Arial" w:hAnsi="Arial"/>
          <w:sz w:val="19"/>
          <w:szCs w:val="19"/>
          <w:color w:val="B4B4B4"/>
        </w:rPr>
        <w:t>. . . . . . . . . . . . . . . . . . . . . . . . . . . . . . . . . . . . . . . . . . . . . .</w:t>
      </w:r>
      <w:r>
        <w:rPr>
          <w:sz w:val="20"/>
          <w:szCs w:val="20"/>
          <w:color w:val="auto"/>
        </w:rPr>
        <w:tab/>
      </w:r>
      <w:r>
        <w:rPr>
          <w:rFonts w:ascii="Arial" w:cs="Arial" w:eastAsia="Arial" w:hAnsi="Arial"/>
          <w:sz w:val="16"/>
          <w:szCs w:val="16"/>
          <w:color w:val="auto"/>
        </w:rPr>
        <w:t>79</w:t>
      </w:r>
    </w:p>
    <w:p>
      <w:pPr>
        <w:spacing w:after="0" w:line="79" w:lineRule="exact"/>
        <w:rPr>
          <w:sz w:val="20"/>
          <w:szCs w:val="20"/>
          <w:color w:val="auto"/>
        </w:rPr>
      </w:pPr>
    </w:p>
    <w:p>
      <w:pPr>
        <w:ind w:left="120"/>
        <w:spacing w:after="0"/>
        <w:tabs>
          <w:tab w:leader="none" w:pos="9540" w:val="left"/>
        </w:tabs>
        <w:rPr>
          <w:sz w:val="20"/>
          <w:szCs w:val="20"/>
          <w:color w:val="auto"/>
        </w:rPr>
      </w:pPr>
      <w:r>
        <w:rPr>
          <w:rFonts w:ascii="Arial" w:cs="Arial" w:eastAsia="Arial" w:hAnsi="Arial"/>
          <w:sz w:val="19"/>
          <w:szCs w:val="19"/>
          <w:color w:val="auto"/>
        </w:rPr>
        <w:t xml:space="preserve">Item 9 — Changes in and Disagreements With Accountants on Accounting and Financial Disclosure </w:t>
      </w:r>
      <w:r>
        <w:rPr>
          <w:rFonts w:ascii="Arial" w:cs="Arial" w:eastAsia="Arial" w:hAnsi="Arial"/>
          <w:sz w:val="19"/>
          <w:szCs w:val="19"/>
          <w:color w:val="B4B4B4"/>
        </w:rPr>
        <w:t>. . . . . . . . . .</w:t>
      </w:r>
      <w:r>
        <w:rPr>
          <w:sz w:val="20"/>
          <w:szCs w:val="20"/>
          <w:color w:val="auto"/>
        </w:rPr>
        <w:tab/>
      </w:r>
      <w:r>
        <w:rPr>
          <w:rFonts w:ascii="Arial" w:cs="Arial" w:eastAsia="Arial" w:hAnsi="Arial"/>
          <w:sz w:val="16"/>
          <w:szCs w:val="16"/>
          <w:color w:val="auto"/>
        </w:rPr>
        <w:t>79</w:t>
      </w:r>
    </w:p>
    <w:p>
      <w:pPr>
        <w:spacing w:after="0" w:line="79" w:lineRule="exact"/>
        <w:rPr>
          <w:sz w:val="20"/>
          <w:szCs w:val="20"/>
          <w:color w:val="auto"/>
        </w:rPr>
      </w:pPr>
    </w:p>
    <w:p>
      <w:pPr>
        <w:ind w:left="120"/>
        <w:spacing w:after="0"/>
        <w:tabs>
          <w:tab w:leader="none" w:pos="9540" w:val="left"/>
        </w:tabs>
        <w:rPr>
          <w:sz w:val="20"/>
          <w:szCs w:val="20"/>
          <w:color w:val="auto"/>
        </w:rPr>
      </w:pPr>
      <w:r>
        <w:rPr>
          <w:rFonts w:ascii="Arial" w:cs="Arial" w:eastAsia="Arial" w:hAnsi="Arial"/>
          <w:sz w:val="19"/>
          <w:szCs w:val="19"/>
          <w:color w:val="auto"/>
        </w:rPr>
        <w:t xml:space="preserve">Item 9A — Controls and Procedures </w:t>
      </w:r>
      <w:r>
        <w:rPr>
          <w:rFonts w:ascii="Arial" w:cs="Arial" w:eastAsia="Arial" w:hAnsi="Arial"/>
          <w:sz w:val="19"/>
          <w:szCs w:val="19"/>
          <w:color w:val="B4B4B4"/>
        </w:rPr>
        <w:t>. . . . . . . . . . . . . . . . . . . . . . . . . . . . . . . . . . . . . . . . . . . . . . . . . . . . . . . . . . . . . .</w:t>
      </w:r>
      <w:r>
        <w:rPr>
          <w:sz w:val="20"/>
          <w:szCs w:val="20"/>
          <w:color w:val="auto"/>
        </w:rPr>
        <w:tab/>
      </w:r>
      <w:r>
        <w:rPr>
          <w:rFonts w:ascii="Arial" w:cs="Arial" w:eastAsia="Arial" w:hAnsi="Arial"/>
          <w:sz w:val="16"/>
          <w:szCs w:val="16"/>
          <w:color w:val="auto"/>
        </w:rPr>
        <w:t>80</w:t>
      </w:r>
    </w:p>
    <w:p>
      <w:pPr>
        <w:spacing w:after="0" w:line="79" w:lineRule="exact"/>
        <w:rPr>
          <w:sz w:val="20"/>
          <w:szCs w:val="20"/>
          <w:color w:val="auto"/>
        </w:rPr>
      </w:pPr>
    </w:p>
    <w:p>
      <w:pPr>
        <w:ind w:left="120"/>
        <w:spacing w:after="0"/>
        <w:tabs>
          <w:tab w:leader="none" w:pos="9540" w:val="left"/>
        </w:tabs>
        <w:rPr>
          <w:sz w:val="20"/>
          <w:szCs w:val="20"/>
          <w:color w:val="auto"/>
        </w:rPr>
      </w:pPr>
      <w:r>
        <w:rPr>
          <w:rFonts w:ascii="Arial" w:cs="Arial" w:eastAsia="Arial" w:hAnsi="Arial"/>
          <w:sz w:val="19"/>
          <w:szCs w:val="19"/>
          <w:color w:val="auto"/>
        </w:rPr>
        <w:t xml:space="preserve">Item 9B — Other Information </w:t>
      </w:r>
      <w:r>
        <w:rPr>
          <w:rFonts w:ascii="Arial" w:cs="Arial" w:eastAsia="Arial" w:hAnsi="Arial"/>
          <w:sz w:val="19"/>
          <w:szCs w:val="19"/>
          <w:color w:val="B4B4B4"/>
        </w:rPr>
        <w:t>. . . . . . . . . . . . . . . . . . . . . . . . . . . . . . . . . . . . . . . . . . . . . . . . . . . . . . . . . . . . . . . . . . .</w:t>
      </w:r>
      <w:r>
        <w:rPr>
          <w:sz w:val="20"/>
          <w:szCs w:val="20"/>
          <w:color w:val="auto"/>
        </w:rPr>
        <w:tab/>
      </w:r>
      <w:r>
        <w:rPr>
          <w:rFonts w:ascii="Arial" w:cs="Arial" w:eastAsia="Arial" w:hAnsi="Arial"/>
          <w:sz w:val="16"/>
          <w:szCs w:val="16"/>
          <w:color w:val="auto"/>
        </w:rPr>
        <w:t>82</w:t>
      </w:r>
    </w:p>
    <w:p>
      <w:pPr>
        <w:spacing w:after="0" w:line="79" w:lineRule="exact"/>
        <w:rPr>
          <w:sz w:val="20"/>
          <w:szCs w:val="20"/>
          <w:color w:val="auto"/>
        </w:rPr>
      </w:pPr>
    </w:p>
    <w:p>
      <w:pPr>
        <w:ind w:left="120"/>
        <w:spacing w:after="0"/>
        <w:tabs>
          <w:tab w:leader="none" w:pos="9540" w:val="left"/>
        </w:tabs>
        <w:rPr>
          <w:sz w:val="20"/>
          <w:szCs w:val="20"/>
          <w:color w:val="auto"/>
        </w:rPr>
      </w:pPr>
      <w:r>
        <w:rPr>
          <w:rFonts w:ascii="Arial" w:cs="Arial" w:eastAsia="Arial" w:hAnsi="Arial"/>
          <w:sz w:val="19"/>
          <w:szCs w:val="19"/>
          <w:color w:val="auto"/>
        </w:rPr>
        <w:t xml:space="preserve">Item 9C— Disclosure Regarding Foreign Jurisdictions that Prevent Inspections  </w:t>
      </w:r>
      <w:r>
        <w:rPr>
          <w:rFonts w:ascii="Arial" w:cs="Arial" w:eastAsia="Arial" w:hAnsi="Arial"/>
          <w:sz w:val="19"/>
          <w:szCs w:val="19"/>
          <w:color w:val="B4B4B4"/>
        </w:rPr>
        <w:t>. . . . . . . . . . . . . . . . . . . . . . . . . . .</w:t>
      </w:r>
      <w:r>
        <w:rPr>
          <w:sz w:val="20"/>
          <w:szCs w:val="20"/>
          <w:color w:val="auto"/>
        </w:rPr>
        <w:tab/>
      </w:r>
      <w:r>
        <w:rPr>
          <w:rFonts w:ascii="Arial" w:cs="Arial" w:eastAsia="Arial" w:hAnsi="Arial"/>
          <w:sz w:val="16"/>
          <w:szCs w:val="16"/>
          <w:color w:val="auto"/>
        </w:rPr>
        <w:t>82</w:t>
      </w:r>
    </w:p>
    <w:p>
      <w:pPr>
        <w:spacing w:after="0" w:line="71" w:lineRule="exact"/>
        <w:rPr>
          <w:sz w:val="20"/>
          <w:szCs w:val="20"/>
          <w:color w:val="auto"/>
        </w:rPr>
      </w:pPr>
    </w:p>
    <w:p>
      <w:pPr>
        <w:spacing w:after="0"/>
        <w:tabs>
          <w:tab w:leader="none" w:pos="9540" w:val="left"/>
        </w:tabs>
        <w:rPr>
          <w:sz w:val="20"/>
          <w:szCs w:val="20"/>
          <w:color w:val="auto"/>
        </w:rPr>
      </w:pPr>
      <w:r>
        <w:rPr>
          <w:rFonts w:ascii="Arial" w:cs="Arial" w:eastAsia="Arial" w:hAnsi="Arial"/>
          <w:sz w:val="19"/>
          <w:szCs w:val="19"/>
          <w:b w:val="1"/>
          <w:bCs w:val="1"/>
          <w:u w:val="single" w:color="auto"/>
          <w:color w:val="auto"/>
        </w:rPr>
        <w:t>PART III</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B4B4B4"/>
        </w:rPr>
        <w:t>. . . . . . . . . . . . . . . . . . . . . . . . . . . . . . . . . . . . . . . . . . . . . . . . . . . . . . . . . . . . . . . . . . . . . . . . . . . . . . . . . . . .</w:t>
      </w:r>
      <w:r>
        <w:rPr>
          <w:sz w:val="20"/>
          <w:szCs w:val="20"/>
          <w:color w:val="auto"/>
        </w:rPr>
        <w:tab/>
      </w:r>
      <w:r>
        <w:rPr>
          <w:rFonts w:ascii="Arial" w:cs="Arial" w:eastAsia="Arial" w:hAnsi="Arial"/>
          <w:sz w:val="16"/>
          <w:szCs w:val="16"/>
          <w:color w:val="auto"/>
        </w:rPr>
        <w:t>83</w:t>
      </w:r>
    </w:p>
    <w:p>
      <w:pPr>
        <w:spacing w:after="0" w:line="86" w:lineRule="exact"/>
        <w:rPr>
          <w:sz w:val="20"/>
          <w:szCs w:val="20"/>
          <w:color w:val="auto"/>
        </w:rPr>
      </w:pPr>
    </w:p>
    <w:p>
      <w:pPr>
        <w:ind w:left="120"/>
        <w:spacing w:after="0"/>
        <w:tabs>
          <w:tab w:leader="none" w:pos="9540" w:val="left"/>
        </w:tabs>
        <w:rPr>
          <w:sz w:val="20"/>
          <w:szCs w:val="20"/>
          <w:color w:val="auto"/>
        </w:rPr>
      </w:pPr>
      <w:r>
        <w:rPr>
          <w:rFonts w:ascii="Arial" w:cs="Arial" w:eastAsia="Arial" w:hAnsi="Arial"/>
          <w:sz w:val="19"/>
          <w:szCs w:val="19"/>
          <w:color w:val="auto"/>
        </w:rPr>
        <w:t xml:space="preserve">Item 10 — Directors, Executive Officers and Corporate Governance </w:t>
      </w:r>
      <w:r>
        <w:rPr>
          <w:rFonts w:ascii="Arial" w:cs="Arial" w:eastAsia="Arial" w:hAnsi="Arial"/>
          <w:sz w:val="19"/>
          <w:szCs w:val="19"/>
          <w:color w:val="B4B4B4"/>
        </w:rPr>
        <w:t>. . . . . . . . . . . . . . . . . . . . . . . . . . . . . . . . . . . .</w:t>
      </w:r>
      <w:r>
        <w:rPr>
          <w:sz w:val="20"/>
          <w:szCs w:val="20"/>
          <w:color w:val="auto"/>
        </w:rPr>
        <w:tab/>
      </w:r>
      <w:r>
        <w:rPr>
          <w:rFonts w:ascii="Arial" w:cs="Arial" w:eastAsia="Arial" w:hAnsi="Arial"/>
          <w:sz w:val="16"/>
          <w:szCs w:val="16"/>
          <w:color w:val="auto"/>
        </w:rPr>
        <w:t>83</w:t>
      </w:r>
    </w:p>
    <w:p>
      <w:pPr>
        <w:spacing w:after="0" w:line="79" w:lineRule="exact"/>
        <w:rPr>
          <w:sz w:val="20"/>
          <w:szCs w:val="20"/>
          <w:color w:val="auto"/>
        </w:rPr>
      </w:pPr>
    </w:p>
    <w:p>
      <w:pPr>
        <w:ind w:left="120"/>
        <w:spacing w:after="0"/>
        <w:tabs>
          <w:tab w:leader="none" w:pos="9540" w:val="left"/>
        </w:tabs>
        <w:rPr>
          <w:sz w:val="20"/>
          <w:szCs w:val="20"/>
          <w:color w:val="auto"/>
        </w:rPr>
      </w:pPr>
      <w:r>
        <w:rPr>
          <w:rFonts w:ascii="Arial" w:cs="Arial" w:eastAsia="Arial" w:hAnsi="Arial"/>
          <w:sz w:val="19"/>
          <w:szCs w:val="19"/>
          <w:color w:val="auto"/>
        </w:rPr>
        <w:t xml:space="preserve">Item 11 — Executive Compensation </w:t>
      </w:r>
      <w:r>
        <w:rPr>
          <w:rFonts w:ascii="Arial" w:cs="Arial" w:eastAsia="Arial" w:hAnsi="Arial"/>
          <w:sz w:val="19"/>
          <w:szCs w:val="19"/>
          <w:color w:val="B4B4B4"/>
        </w:rPr>
        <w:t>. . . . . . . . . . . . . . . . . . . . . . . . . . . . . . . . . . . . . . . . . . . . . . . . . . . . . . . . . . . . . .</w:t>
      </w:r>
      <w:r>
        <w:rPr>
          <w:sz w:val="20"/>
          <w:szCs w:val="20"/>
          <w:color w:val="auto"/>
        </w:rPr>
        <w:tab/>
      </w:r>
      <w:r>
        <w:rPr>
          <w:rFonts w:ascii="Arial" w:cs="Arial" w:eastAsia="Arial" w:hAnsi="Arial"/>
          <w:sz w:val="16"/>
          <w:szCs w:val="16"/>
          <w:color w:val="auto"/>
        </w:rPr>
        <w:t>83</w:t>
      </w:r>
    </w:p>
    <w:p>
      <w:pPr>
        <w:spacing w:after="0" w:line="79" w:lineRule="exact"/>
        <w:rPr>
          <w:sz w:val="20"/>
          <w:szCs w:val="20"/>
          <w:color w:val="auto"/>
        </w:rPr>
      </w:pPr>
    </w:p>
    <w:p>
      <w:pPr>
        <w:ind w:left="120"/>
        <w:spacing w:after="0"/>
        <w:tabs>
          <w:tab w:leader="none" w:pos="9540" w:val="left"/>
        </w:tabs>
        <w:rPr>
          <w:sz w:val="20"/>
          <w:szCs w:val="20"/>
          <w:color w:val="auto"/>
        </w:rPr>
      </w:pPr>
      <w:r>
        <w:rPr>
          <w:rFonts w:ascii="Arial" w:cs="Arial" w:eastAsia="Arial" w:hAnsi="Arial"/>
          <w:sz w:val="19"/>
          <w:szCs w:val="19"/>
          <w:color w:val="auto"/>
        </w:rPr>
        <w:t xml:space="preserve">Item 12 — Security Ownership of Certain Beneficial Owners and Management and Related Stockholder Matters </w:t>
      </w:r>
      <w:r>
        <w:rPr>
          <w:rFonts w:ascii="Arial" w:cs="Arial" w:eastAsia="Arial" w:hAnsi="Arial"/>
          <w:sz w:val="19"/>
          <w:szCs w:val="19"/>
          <w:color w:val="B4B4B4"/>
        </w:rPr>
        <w:t>.</w:t>
      </w:r>
      <w:r>
        <w:rPr>
          <w:sz w:val="20"/>
          <w:szCs w:val="20"/>
          <w:color w:val="auto"/>
        </w:rPr>
        <w:tab/>
      </w:r>
      <w:r>
        <w:rPr>
          <w:rFonts w:ascii="Arial" w:cs="Arial" w:eastAsia="Arial" w:hAnsi="Arial"/>
          <w:sz w:val="16"/>
          <w:szCs w:val="16"/>
          <w:color w:val="auto"/>
        </w:rPr>
        <w:t>83</w:t>
      </w:r>
    </w:p>
    <w:p>
      <w:pPr>
        <w:spacing w:after="0" w:line="79" w:lineRule="exact"/>
        <w:rPr>
          <w:sz w:val="20"/>
          <w:szCs w:val="20"/>
          <w:color w:val="auto"/>
        </w:rPr>
      </w:pPr>
    </w:p>
    <w:p>
      <w:pPr>
        <w:ind w:left="120"/>
        <w:spacing w:after="0"/>
        <w:tabs>
          <w:tab w:leader="none" w:pos="9540" w:val="left"/>
        </w:tabs>
        <w:rPr>
          <w:sz w:val="20"/>
          <w:szCs w:val="20"/>
          <w:color w:val="auto"/>
        </w:rPr>
      </w:pPr>
      <w:r>
        <w:rPr>
          <w:rFonts w:ascii="Arial" w:cs="Arial" w:eastAsia="Arial" w:hAnsi="Arial"/>
          <w:sz w:val="19"/>
          <w:szCs w:val="19"/>
          <w:color w:val="auto"/>
        </w:rPr>
        <w:t xml:space="preserve">Item 13 — Certain Relationships and Related Transactions, and Director Independence </w:t>
      </w:r>
      <w:r>
        <w:rPr>
          <w:rFonts w:ascii="Arial" w:cs="Arial" w:eastAsia="Arial" w:hAnsi="Arial"/>
          <w:sz w:val="19"/>
          <w:szCs w:val="19"/>
          <w:color w:val="B4B4B4"/>
        </w:rPr>
        <w:t>. . . . . . . . . . . . . . . . . . . . .</w:t>
      </w:r>
      <w:r>
        <w:rPr>
          <w:sz w:val="20"/>
          <w:szCs w:val="20"/>
          <w:color w:val="auto"/>
        </w:rPr>
        <w:tab/>
      </w:r>
      <w:r>
        <w:rPr>
          <w:rFonts w:ascii="Arial" w:cs="Arial" w:eastAsia="Arial" w:hAnsi="Arial"/>
          <w:sz w:val="16"/>
          <w:szCs w:val="16"/>
          <w:color w:val="auto"/>
        </w:rPr>
        <w:t>84</w:t>
      </w:r>
    </w:p>
    <w:p>
      <w:pPr>
        <w:spacing w:after="0" w:line="79" w:lineRule="exact"/>
        <w:rPr>
          <w:sz w:val="20"/>
          <w:szCs w:val="20"/>
          <w:color w:val="auto"/>
        </w:rPr>
      </w:pPr>
    </w:p>
    <w:p>
      <w:pPr>
        <w:ind w:left="120"/>
        <w:spacing w:after="0"/>
        <w:tabs>
          <w:tab w:leader="none" w:pos="9540" w:val="left"/>
        </w:tabs>
        <w:rPr>
          <w:sz w:val="20"/>
          <w:szCs w:val="20"/>
          <w:color w:val="auto"/>
        </w:rPr>
      </w:pPr>
      <w:r>
        <w:rPr>
          <w:rFonts w:ascii="Arial" w:cs="Arial" w:eastAsia="Arial" w:hAnsi="Arial"/>
          <w:sz w:val="19"/>
          <w:szCs w:val="19"/>
          <w:color w:val="auto"/>
        </w:rPr>
        <w:t xml:space="preserve">Item 14 — Principal Accounting Fees and Services </w:t>
      </w:r>
      <w:r>
        <w:rPr>
          <w:rFonts w:ascii="Arial" w:cs="Arial" w:eastAsia="Arial" w:hAnsi="Arial"/>
          <w:sz w:val="19"/>
          <w:szCs w:val="19"/>
          <w:color w:val="B4B4B4"/>
        </w:rPr>
        <w:t>. . . . . . . . . . . . . . . . . . . . . . . . . . . . . . . . . . . . . . . . . . . . . . . . . .</w:t>
      </w:r>
      <w:r>
        <w:rPr>
          <w:sz w:val="20"/>
          <w:szCs w:val="20"/>
          <w:color w:val="auto"/>
        </w:rPr>
        <w:tab/>
      </w:r>
      <w:r>
        <w:rPr>
          <w:rFonts w:ascii="Arial" w:cs="Arial" w:eastAsia="Arial" w:hAnsi="Arial"/>
          <w:sz w:val="16"/>
          <w:szCs w:val="16"/>
          <w:color w:val="auto"/>
        </w:rPr>
        <w:t>84</w:t>
      </w:r>
    </w:p>
    <w:p>
      <w:pPr>
        <w:spacing w:after="0" w:line="71" w:lineRule="exact"/>
        <w:rPr>
          <w:sz w:val="20"/>
          <w:szCs w:val="20"/>
          <w:color w:val="auto"/>
        </w:rPr>
      </w:pPr>
    </w:p>
    <w:p>
      <w:pPr>
        <w:spacing w:after="0"/>
        <w:tabs>
          <w:tab w:leader="none" w:pos="9540" w:val="left"/>
        </w:tabs>
        <w:rPr>
          <w:sz w:val="20"/>
          <w:szCs w:val="20"/>
          <w:color w:val="auto"/>
        </w:rPr>
      </w:pPr>
      <w:r>
        <w:rPr>
          <w:rFonts w:ascii="Arial" w:cs="Arial" w:eastAsia="Arial" w:hAnsi="Arial"/>
          <w:sz w:val="19"/>
          <w:szCs w:val="19"/>
          <w:b w:val="1"/>
          <w:bCs w:val="1"/>
          <w:u w:val="single" w:color="auto"/>
          <w:color w:val="auto"/>
        </w:rPr>
        <w:t>PART IV</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B4B4B4"/>
        </w:rPr>
        <w:t>. . . . . . . . . . . . . . . . . . . . . . . . . . . . . . . . . . . . . . . . . . . . . . . . . . . . . . . . . . . . . . . . . . . . . . . . . . . . . . . . . . . .</w:t>
      </w:r>
      <w:r>
        <w:rPr>
          <w:sz w:val="20"/>
          <w:szCs w:val="20"/>
          <w:color w:val="auto"/>
        </w:rPr>
        <w:tab/>
      </w:r>
      <w:r>
        <w:rPr>
          <w:rFonts w:ascii="Arial" w:cs="Arial" w:eastAsia="Arial" w:hAnsi="Arial"/>
          <w:sz w:val="16"/>
          <w:szCs w:val="16"/>
          <w:color w:val="auto"/>
        </w:rPr>
        <w:t>85</w:t>
      </w:r>
    </w:p>
    <w:p>
      <w:pPr>
        <w:spacing w:after="0" w:line="86" w:lineRule="exact"/>
        <w:rPr>
          <w:sz w:val="20"/>
          <w:szCs w:val="20"/>
          <w:color w:val="auto"/>
        </w:rPr>
      </w:pPr>
    </w:p>
    <w:p>
      <w:pPr>
        <w:ind w:left="120"/>
        <w:spacing w:after="0"/>
        <w:tabs>
          <w:tab w:leader="none" w:pos="9540" w:val="left"/>
        </w:tabs>
        <w:rPr>
          <w:sz w:val="20"/>
          <w:szCs w:val="20"/>
          <w:color w:val="auto"/>
        </w:rPr>
      </w:pPr>
      <w:r>
        <w:rPr>
          <w:rFonts w:ascii="Arial" w:cs="Arial" w:eastAsia="Arial" w:hAnsi="Arial"/>
          <w:sz w:val="19"/>
          <w:szCs w:val="19"/>
          <w:color w:val="auto"/>
        </w:rPr>
        <w:t xml:space="preserve">Item 15 — Exhibits, Financial Statement Schedules </w:t>
      </w:r>
      <w:r>
        <w:rPr>
          <w:rFonts w:ascii="Arial" w:cs="Arial" w:eastAsia="Arial" w:hAnsi="Arial"/>
          <w:sz w:val="19"/>
          <w:szCs w:val="19"/>
          <w:color w:val="B4B4B4"/>
        </w:rPr>
        <w:t>. . . . . . . . . . . . . . . . . . . . . . . . . . . . . . . . . . . . . . . . . . . . . . . . . .</w:t>
      </w:r>
      <w:r>
        <w:rPr>
          <w:sz w:val="20"/>
          <w:szCs w:val="20"/>
          <w:color w:val="auto"/>
        </w:rPr>
        <w:tab/>
      </w:r>
      <w:r>
        <w:rPr>
          <w:rFonts w:ascii="Arial" w:cs="Arial" w:eastAsia="Arial" w:hAnsi="Arial"/>
          <w:sz w:val="16"/>
          <w:szCs w:val="16"/>
          <w:color w:val="auto"/>
        </w:rPr>
        <w:t>85</w:t>
      </w:r>
    </w:p>
    <w:p>
      <w:pPr>
        <w:spacing w:after="0" w:line="71" w:lineRule="exact"/>
        <w:rPr>
          <w:sz w:val="20"/>
          <w:szCs w:val="20"/>
          <w:color w:val="auto"/>
        </w:rPr>
      </w:pPr>
    </w:p>
    <w:p>
      <w:pPr>
        <w:spacing w:after="0"/>
        <w:tabs>
          <w:tab w:leader="none" w:pos="9440" w:val="left"/>
        </w:tabs>
        <w:rPr>
          <w:sz w:val="20"/>
          <w:szCs w:val="20"/>
          <w:color w:val="auto"/>
        </w:rPr>
      </w:pPr>
      <w:r>
        <w:rPr>
          <w:rFonts w:ascii="Arial" w:cs="Arial" w:eastAsia="Arial" w:hAnsi="Arial"/>
          <w:sz w:val="19"/>
          <w:szCs w:val="19"/>
          <w:b w:val="1"/>
          <w:bCs w:val="1"/>
          <w:u w:val="single" w:color="auto"/>
          <w:color w:val="auto"/>
        </w:rPr>
        <w:t>EXHIBIT INDEX</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B4B4B4"/>
        </w:rPr>
        <w:t>. . . . . . . . . . . . . . . . . . . . . . . . . . . . . . . . . . . . . . . . . . . . . . . . . . . . . . . . . . . . . . . . . . . . . . . . . . . . .</w:t>
      </w:r>
      <w:r>
        <w:rPr>
          <w:sz w:val="20"/>
          <w:szCs w:val="20"/>
          <w:color w:val="auto"/>
        </w:rPr>
        <w:tab/>
      </w:r>
      <w:r>
        <w:rPr>
          <w:rFonts w:ascii="Arial" w:cs="Arial" w:eastAsia="Arial" w:hAnsi="Arial"/>
          <w:sz w:val="16"/>
          <w:szCs w:val="16"/>
          <w:color w:val="auto"/>
        </w:rPr>
        <w:t>164</w:t>
      </w:r>
    </w:p>
    <w:p>
      <w:pPr>
        <w:spacing w:after="0" w:line="86" w:lineRule="exact"/>
        <w:rPr>
          <w:sz w:val="20"/>
          <w:szCs w:val="20"/>
          <w:color w:val="auto"/>
        </w:rPr>
      </w:pPr>
    </w:p>
    <w:p>
      <w:pPr>
        <w:ind w:left="120"/>
        <w:spacing w:after="0"/>
        <w:tabs>
          <w:tab w:leader="none" w:pos="9440" w:val="left"/>
        </w:tabs>
        <w:rPr>
          <w:sz w:val="20"/>
          <w:szCs w:val="20"/>
          <w:color w:val="auto"/>
        </w:rPr>
      </w:pPr>
      <w:r>
        <w:rPr>
          <w:rFonts w:ascii="Arial" w:cs="Arial" w:eastAsia="Arial" w:hAnsi="Arial"/>
          <w:sz w:val="19"/>
          <w:szCs w:val="19"/>
          <w:color w:val="auto"/>
        </w:rPr>
        <w:t xml:space="preserve">Item 16 — Form 10-K Summary  </w:t>
      </w:r>
      <w:r>
        <w:rPr>
          <w:rFonts w:ascii="Arial" w:cs="Arial" w:eastAsia="Arial" w:hAnsi="Arial"/>
          <w:sz w:val="19"/>
          <w:szCs w:val="19"/>
          <w:color w:val="B4B4B4"/>
        </w:rPr>
        <w:t>. . . . . . . . . . . . . . . . . . . . . . . . . . . . . . . . . . . . . . . . . . . . . . . . . . . . . . . . . . . . . . . .</w:t>
      </w:r>
      <w:r>
        <w:rPr>
          <w:sz w:val="20"/>
          <w:szCs w:val="20"/>
          <w:color w:val="auto"/>
        </w:rPr>
        <w:tab/>
      </w:r>
      <w:r>
        <w:rPr>
          <w:rFonts w:ascii="Arial" w:cs="Arial" w:eastAsia="Arial" w:hAnsi="Arial"/>
          <w:sz w:val="16"/>
          <w:szCs w:val="16"/>
          <w:color w:val="auto"/>
        </w:rPr>
        <w:t>169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880" w:h="15480" w:orient="portrait"/>
          <w:cols w:equalWidth="0" w:num="1">
            <w:col w:w="9760"/>
          </w:cols>
          <w:pgMar w:left="1060" w:top="1392" w:right="1060" w:bottom="0" w:gutter="0" w:footer="0" w:header="0"/>
        </w:sectPr>
      </w:pPr>
    </w:p>
    <w:bookmarkStart w:id="4" w:name="page5"/>
    <w:bookmarkEnd w:id="4"/>
    <w:p>
      <w:pPr>
        <w:spacing w:after="0" w:line="204" w:lineRule="auto"/>
        <w:framePr w:w="460" w:h="176" w:wrap="auto" w:vAnchor="page" w:hAnchor="page" w:x="880" w:y="3218"/>
        <w:rPr>
          <w:rFonts w:ascii="Arial" w:cs="Arial" w:eastAsia="Arial" w:hAnsi="Arial"/>
          <w:sz w:val="18"/>
          <w:szCs w:val="18"/>
          <w:color w:val="auto"/>
        </w:rPr>
      </w:pPr>
      <w:r>
        <w:rPr>
          <w:rFonts w:ascii="Arial" w:cs="Arial" w:eastAsia="Arial" w:hAnsi="Arial"/>
          <w:sz w:val="18"/>
          <w:szCs w:val="18"/>
          <w:color w:val="auto"/>
        </w:rPr>
        <w:t>ASR</w:t>
      </w:r>
    </w:p>
    <w:p>
      <w:pPr>
        <w:spacing w:after="0" w:line="193" w:lineRule="auto"/>
        <w:framePr w:w="480" w:h="176" w:wrap="auto" w:vAnchor="page" w:hAnchor="page" w:x="880" w:y="3515"/>
        <w:rPr>
          <w:rFonts w:ascii="Arial" w:cs="Arial" w:eastAsia="Arial" w:hAnsi="Arial"/>
          <w:sz w:val="19"/>
          <w:szCs w:val="19"/>
          <w:color w:val="auto"/>
        </w:rPr>
      </w:pPr>
      <w:r>
        <w:rPr>
          <w:rFonts w:ascii="Arial" w:cs="Arial" w:eastAsia="Arial" w:hAnsi="Arial"/>
          <w:sz w:val="19"/>
          <w:szCs w:val="19"/>
          <w:color w:val="auto"/>
        </w:rPr>
        <w:t>ASU</w:t>
      </w:r>
    </w:p>
    <w:p>
      <w:pPr>
        <w:spacing w:after="0" w:line="193" w:lineRule="auto"/>
        <w:framePr w:w="500" w:h="176" w:wrap="auto" w:vAnchor="page" w:hAnchor="page" w:x="880" w:y="3812"/>
        <w:rPr>
          <w:rFonts w:ascii="Arial" w:cs="Arial" w:eastAsia="Arial" w:hAnsi="Arial"/>
          <w:sz w:val="19"/>
          <w:szCs w:val="19"/>
          <w:color w:val="auto"/>
        </w:rPr>
      </w:pPr>
      <w:r>
        <w:rPr>
          <w:rFonts w:ascii="Arial" w:cs="Arial" w:eastAsia="Arial" w:hAnsi="Arial"/>
          <w:sz w:val="19"/>
          <w:szCs w:val="19"/>
          <w:color w:val="auto"/>
        </w:rPr>
        <w:t>AUC</w:t>
      </w:r>
    </w:p>
    <w:p>
      <w:pPr>
        <w:spacing w:after="0" w:line="308" w:lineRule="auto"/>
        <w:framePr w:w="780" w:h="473" w:wrap="auto" w:vAnchor="page" w:hAnchor="page" w:x="880" w:y="4109"/>
        <w:rPr>
          <w:rFonts w:ascii="Arial" w:cs="Arial" w:eastAsia="Arial" w:hAnsi="Arial"/>
          <w:sz w:val="16"/>
          <w:szCs w:val="16"/>
          <w:color w:val="auto"/>
        </w:rPr>
      </w:pPr>
      <w:r>
        <w:rPr>
          <w:rFonts w:ascii="Arial" w:cs="Arial" w:eastAsia="Arial" w:hAnsi="Arial"/>
          <w:sz w:val="16"/>
          <w:szCs w:val="16"/>
          <w:color w:val="auto"/>
        </w:rPr>
        <w:t>BTU Business</w:t>
      </w:r>
    </w:p>
    <w:p>
      <w:pPr>
        <w:spacing w:after="0" w:line="184" w:lineRule="auto"/>
        <w:framePr w:w="500" w:h="176" w:wrap="auto" w:vAnchor="page" w:hAnchor="page" w:x="880" w:y="4703"/>
        <w:rPr>
          <w:rFonts w:ascii="Arial" w:cs="Arial" w:eastAsia="Arial" w:hAnsi="Arial"/>
          <w:sz w:val="20"/>
          <w:szCs w:val="20"/>
          <w:color w:val="auto"/>
        </w:rPr>
      </w:pPr>
      <w:r>
        <w:rPr>
          <w:rFonts w:ascii="Arial" w:cs="Arial" w:eastAsia="Arial" w:hAnsi="Arial"/>
          <w:sz w:val="20"/>
          <w:szCs w:val="20"/>
          <w:color w:val="auto"/>
        </w:rPr>
        <w:t>CAA</w:t>
      </w:r>
    </w:p>
    <w:p>
      <w:pPr>
        <w:spacing w:after="0" w:line="193" w:lineRule="auto"/>
        <w:framePr w:w="680" w:h="176" w:wrap="auto" w:vAnchor="page" w:hAnchor="page" w:x="880" w:y="5000"/>
        <w:rPr>
          <w:rFonts w:ascii="Arial" w:cs="Arial" w:eastAsia="Arial" w:hAnsi="Arial"/>
          <w:sz w:val="19"/>
          <w:szCs w:val="19"/>
          <w:color w:val="auto"/>
        </w:rPr>
      </w:pPr>
      <w:r>
        <w:rPr>
          <w:rFonts w:ascii="Arial" w:cs="Arial" w:eastAsia="Arial" w:hAnsi="Arial"/>
          <w:sz w:val="19"/>
          <w:szCs w:val="19"/>
          <w:color w:val="auto"/>
        </w:rPr>
        <w:t>CAISO</w:t>
      </w:r>
    </w:p>
    <w:p>
      <w:pPr>
        <w:spacing w:after="0" w:line="184" w:lineRule="auto"/>
        <w:framePr w:w="660" w:h="176" w:wrap="auto" w:vAnchor="page" w:hAnchor="page" w:x="880" w:y="5297"/>
        <w:rPr>
          <w:rFonts w:ascii="Arial" w:cs="Arial" w:eastAsia="Arial" w:hAnsi="Arial"/>
          <w:sz w:val="20"/>
          <w:szCs w:val="20"/>
          <w:color w:val="auto"/>
        </w:rPr>
      </w:pPr>
      <w:r>
        <w:rPr>
          <w:rFonts w:ascii="Arial" w:cs="Arial" w:eastAsia="Arial" w:hAnsi="Arial"/>
          <w:sz w:val="20"/>
          <w:szCs w:val="20"/>
          <w:color w:val="auto"/>
        </w:rPr>
        <w:t>CAMT</w:t>
      </w:r>
    </w:p>
    <w:p>
      <w:pPr>
        <w:spacing w:after="0" w:line="193" w:lineRule="auto"/>
        <w:framePr w:w="500" w:h="176" w:wrap="auto" w:vAnchor="page" w:hAnchor="page" w:x="880" w:y="5594"/>
        <w:rPr>
          <w:rFonts w:ascii="Arial" w:cs="Arial" w:eastAsia="Arial" w:hAnsi="Arial"/>
          <w:sz w:val="19"/>
          <w:szCs w:val="19"/>
          <w:color w:val="auto"/>
        </w:rPr>
      </w:pPr>
      <w:r>
        <w:rPr>
          <w:rFonts w:ascii="Arial" w:cs="Arial" w:eastAsia="Arial" w:hAnsi="Arial"/>
          <w:sz w:val="19"/>
          <w:szCs w:val="19"/>
          <w:color w:val="auto"/>
        </w:rPr>
        <w:t>CDD</w:t>
      </w:r>
    </w:p>
    <w:p>
      <w:pPr>
        <w:spacing w:after="0" w:line="204" w:lineRule="auto"/>
        <w:framePr w:w="580" w:h="176" w:wrap="auto" w:vAnchor="page" w:hAnchor="page" w:x="880" w:y="5891"/>
        <w:rPr>
          <w:rFonts w:ascii="Arial" w:cs="Arial" w:eastAsia="Arial" w:hAnsi="Arial"/>
          <w:sz w:val="18"/>
          <w:szCs w:val="18"/>
          <w:color w:val="auto"/>
        </w:rPr>
      </w:pPr>
      <w:r>
        <w:rPr>
          <w:rFonts w:ascii="Arial" w:cs="Arial" w:eastAsia="Arial" w:hAnsi="Arial"/>
          <w:sz w:val="18"/>
          <w:szCs w:val="18"/>
          <w:color w:val="auto"/>
        </w:rPr>
        <w:t>CFTC</w:t>
      </w:r>
    </w:p>
    <w:p>
      <w:pPr>
        <w:spacing w:after="0" w:line="272" w:lineRule="auto"/>
        <w:framePr w:w="860" w:h="770" w:wrap="auto" w:vAnchor="page" w:hAnchor="page" w:x="880" w:y="6201"/>
        <w:rPr>
          <w:rFonts w:ascii="Arial" w:cs="Arial" w:eastAsia="Arial" w:hAnsi="Arial"/>
          <w:sz w:val="18"/>
          <w:szCs w:val="18"/>
          <w:color w:val="auto"/>
        </w:rPr>
      </w:pPr>
      <w:r>
        <w:rPr>
          <w:rFonts w:ascii="Arial" w:cs="Arial" w:eastAsia="Arial" w:hAnsi="Arial"/>
          <w:sz w:val="18"/>
          <w:szCs w:val="18"/>
          <w:color w:val="auto"/>
        </w:rPr>
        <w:t>CO</w:t>
      </w:r>
      <w:r>
        <w:rPr>
          <w:rFonts w:ascii="Arial" w:cs="Arial" w:eastAsia="Arial" w:hAnsi="Arial"/>
          <w:sz w:val="18"/>
          <w:szCs w:val="18"/>
          <w:color w:val="auto"/>
          <w:vertAlign w:val="subscript"/>
        </w:rPr>
        <w:t>2</w:t>
      </w:r>
      <w:r>
        <w:rPr>
          <w:rFonts w:ascii="Arial" w:cs="Arial" w:eastAsia="Arial" w:hAnsi="Arial"/>
          <w:sz w:val="18"/>
          <w:szCs w:val="18"/>
          <w:color w:val="auto"/>
        </w:rPr>
        <w:t xml:space="preserve"> CO</w:t>
      </w:r>
      <w:r>
        <w:rPr>
          <w:rFonts w:ascii="Arial" w:cs="Arial" w:eastAsia="Arial" w:hAnsi="Arial"/>
          <w:sz w:val="23"/>
          <w:szCs w:val="23"/>
          <w:color w:val="auto"/>
          <w:vertAlign w:val="subscript"/>
        </w:rPr>
        <w:t>2</w:t>
      </w:r>
      <w:r>
        <w:rPr>
          <w:rFonts w:ascii="Arial" w:cs="Arial" w:eastAsia="Arial" w:hAnsi="Arial"/>
          <w:sz w:val="18"/>
          <w:szCs w:val="18"/>
          <w:color w:val="auto"/>
        </w:rPr>
        <w:t>e Company</w:t>
      </w:r>
    </w:p>
    <w:p>
      <w:pPr>
        <w:spacing w:after="0" w:line="204" w:lineRule="auto"/>
        <w:framePr w:w="620" w:h="176" w:wrap="auto" w:vAnchor="page" w:hAnchor="page" w:x="880" w:y="7079"/>
        <w:rPr>
          <w:rFonts w:ascii="Arial" w:cs="Arial" w:eastAsia="Arial" w:hAnsi="Arial"/>
          <w:sz w:val="18"/>
          <w:szCs w:val="18"/>
          <w:color w:val="auto"/>
        </w:rPr>
      </w:pPr>
      <w:r>
        <w:rPr>
          <w:rFonts w:ascii="Arial" w:cs="Arial" w:eastAsia="Arial" w:hAnsi="Arial"/>
          <w:sz w:val="18"/>
          <w:szCs w:val="18"/>
          <w:color w:val="auto"/>
        </w:rPr>
        <w:t>CONE</w:t>
      </w:r>
    </w:p>
    <w:p>
      <w:pPr>
        <w:spacing w:after="0" w:line="204" w:lineRule="auto"/>
        <w:framePr w:w="2100" w:h="176" w:wrap="auto" w:vAnchor="page" w:hAnchor="page" w:x="880" w:y="7376"/>
        <w:rPr>
          <w:rFonts w:ascii="Arial" w:cs="Arial" w:eastAsia="Arial" w:hAnsi="Arial"/>
          <w:sz w:val="18"/>
          <w:szCs w:val="18"/>
          <w:color w:val="auto"/>
        </w:rPr>
      </w:pPr>
      <w:r>
        <w:rPr>
          <w:rFonts w:ascii="Arial" w:cs="Arial" w:eastAsia="Arial" w:hAnsi="Arial"/>
          <w:sz w:val="18"/>
          <w:szCs w:val="18"/>
          <w:color w:val="auto"/>
        </w:rPr>
        <w:t>Convertible Senior Notes</w:t>
      </w:r>
    </w:p>
    <w:p>
      <w:pPr>
        <w:spacing w:after="0" w:line="204" w:lineRule="auto"/>
        <w:framePr w:w="1060" w:h="176" w:wrap="auto" w:vAnchor="page" w:hAnchor="page" w:x="880" w:y="7879"/>
        <w:rPr>
          <w:rFonts w:ascii="Arial" w:cs="Arial" w:eastAsia="Arial" w:hAnsi="Arial"/>
          <w:sz w:val="18"/>
          <w:szCs w:val="18"/>
          <w:color w:val="auto"/>
        </w:rPr>
      </w:pPr>
      <w:r>
        <w:rPr>
          <w:rFonts w:ascii="Arial" w:cs="Arial" w:eastAsia="Arial" w:hAnsi="Arial"/>
          <w:sz w:val="18"/>
          <w:szCs w:val="18"/>
          <w:color w:val="auto"/>
        </w:rPr>
        <w:t>Cottonwood</w:t>
      </w:r>
    </w:p>
    <w:p>
      <w:pPr>
        <w:spacing w:after="0" w:line="230" w:lineRule="auto"/>
        <w:framePr w:w="440" w:h="176" w:wrap="auto" w:vAnchor="page" w:hAnchor="page" w:x="880" w:y="8176"/>
        <w:rPr>
          <w:rFonts w:ascii="Arial" w:cs="Arial" w:eastAsia="Arial" w:hAnsi="Arial"/>
          <w:sz w:val="16"/>
          <w:szCs w:val="16"/>
          <w:color w:val="auto"/>
        </w:rPr>
      </w:pPr>
      <w:r>
        <w:rPr>
          <w:rFonts w:ascii="Arial" w:cs="Arial" w:eastAsia="Arial" w:hAnsi="Arial"/>
          <w:sz w:val="16"/>
          <w:szCs w:val="16"/>
          <w:color w:val="auto"/>
        </w:rPr>
        <w:t>CPP</w:t>
      </w:r>
    </w:p>
    <w:p>
      <w:pPr>
        <w:spacing w:after="0" w:line="260" w:lineRule="auto"/>
        <w:framePr w:w="1060" w:h="473" w:wrap="auto" w:vAnchor="page" w:hAnchor="page" w:x="880" w:y="8460"/>
        <w:rPr>
          <w:rFonts w:ascii="Arial" w:cs="Arial" w:eastAsia="Arial" w:hAnsi="Arial"/>
          <w:sz w:val="19"/>
          <w:szCs w:val="19"/>
          <w:color w:val="auto"/>
        </w:rPr>
      </w:pPr>
      <w:r>
        <w:rPr>
          <w:rFonts w:ascii="Arial" w:cs="Arial" w:eastAsia="Arial" w:hAnsi="Arial"/>
          <w:sz w:val="19"/>
          <w:szCs w:val="19"/>
          <w:color w:val="auto"/>
        </w:rPr>
        <w:t>CPUC D.C. Circuit</w:t>
      </w:r>
    </w:p>
    <w:p>
      <w:pPr>
        <w:spacing w:after="0" w:line="193" w:lineRule="auto"/>
        <w:framePr w:w="400" w:h="176" w:wrap="auto" w:vAnchor="page" w:hAnchor="page" w:x="880" w:y="9054"/>
        <w:rPr>
          <w:rFonts w:ascii="Arial" w:cs="Arial" w:eastAsia="Arial" w:hAnsi="Arial"/>
          <w:sz w:val="19"/>
          <w:szCs w:val="19"/>
          <w:color w:val="auto"/>
        </w:rPr>
      </w:pPr>
      <w:r>
        <w:rPr>
          <w:rFonts w:ascii="Arial" w:cs="Arial" w:eastAsia="Arial" w:hAnsi="Arial"/>
          <w:sz w:val="19"/>
          <w:szCs w:val="19"/>
          <w:color w:val="auto"/>
        </w:rPr>
        <w:t>DSI</w:t>
      </w:r>
    </w:p>
    <w:p>
      <w:pPr>
        <w:spacing w:after="0" w:line="204" w:lineRule="auto"/>
        <w:framePr w:w="480" w:h="176" w:wrap="auto" w:vAnchor="page" w:hAnchor="page" w:x="880" w:y="9351"/>
        <w:rPr>
          <w:rFonts w:ascii="Arial" w:cs="Arial" w:eastAsia="Arial" w:hAnsi="Arial"/>
          <w:sz w:val="18"/>
          <w:szCs w:val="18"/>
          <w:color w:val="auto"/>
        </w:rPr>
      </w:pPr>
      <w:r>
        <w:rPr>
          <w:rFonts w:ascii="Arial" w:cs="Arial" w:eastAsia="Arial" w:hAnsi="Arial"/>
          <w:sz w:val="18"/>
          <w:szCs w:val="18"/>
          <w:color w:val="auto"/>
        </w:rPr>
        <w:t>DSU</w:t>
      </w:r>
    </w:p>
    <w:p>
      <w:pPr>
        <w:spacing w:after="0" w:line="193" w:lineRule="auto"/>
        <w:framePr w:w="380" w:h="176" w:wrap="auto" w:vAnchor="page" w:hAnchor="page" w:x="880" w:y="9648"/>
        <w:rPr>
          <w:rFonts w:ascii="Arial" w:cs="Arial" w:eastAsia="Arial" w:hAnsi="Arial"/>
          <w:sz w:val="19"/>
          <w:szCs w:val="19"/>
          <w:color w:val="auto"/>
        </w:rPr>
      </w:pPr>
      <w:r>
        <w:rPr>
          <w:rFonts w:ascii="Arial" w:cs="Arial" w:eastAsia="Arial" w:hAnsi="Arial"/>
          <w:sz w:val="19"/>
          <w:szCs w:val="19"/>
          <w:color w:val="auto"/>
        </w:rPr>
        <w:t>Dth</w:t>
      </w:r>
    </w:p>
    <w:p>
      <w:pPr>
        <w:spacing w:after="0" w:line="308" w:lineRule="auto"/>
        <w:framePr w:w="1960" w:h="473" w:wrap="auto" w:vAnchor="page" w:hAnchor="page" w:x="880" w:y="9945"/>
        <w:rPr>
          <w:rFonts w:ascii="Arial" w:cs="Arial" w:eastAsia="Arial" w:hAnsi="Arial"/>
          <w:sz w:val="16"/>
          <w:szCs w:val="16"/>
          <w:color w:val="auto"/>
        </w:rPr>
      </w:pPr>
      <w:r>
        <w:rPr>
          <w:rFonts w:ascii="Arial" w:cs="Arial" w:eastAsia="Arial" w:hAnsi="Arial"/>
          <w:sz w:val="16"/>
          <w:szCs w:val="16"/>
          <w:color w:val="auto"/>
        </w:rPr>
        <w:t>Dual fuel customers Economic gross margin</w:t>
      </w:r>
    </w:p>
    <w:p>
      <w:pPr>
        <w:spacing w:after="0" w:line="204" w:lineRule="auto"/>
        <w:framePr w:w="460" w:h="176" w:wrap="auto" w:vAnchor="page" w:hAnchor="page" w:x="880" w:y="10732"/>
        <w:rPr>
          <w:rFonts w:ascii="Arial" w:cs="Arial" w:eastAsia="Arial" w:hAnsi="Arial"/>
          <w:sz w:val="18"/>
          <w:szCs w:val="18"/>
          <w:color w:val="auto"/>
        </w:rPr>
      </w:pPr>
      <w:r>
        <w:rPr>
          <w:rFonts w:ascii="Arial" w:cs="Arial" w:eastAsia="Arial" w:hAnsi="Arial"/>
          <w:sz w:val="18"/>
          <w:szCs w:val="18"/>
          <w:color w:val="auto"/>
        </w:rPr>
        <w:t>ELG</w:t>
      </w:r>
    </w:p>
    <w:p>
      <w:pPr>
        <w:spacing w:after="0" w:line="204" w:lineRule="auto"/>
        <w:framePr w:w="460" w:h="176" w:wrap="auto" w:vAnchor="page" w:hAnchor="page" w:x="880" w:y="11192"/>
        <w:rPr>
          <w:rFonts w:ascii="Arial" w:cs="Arial" w:eastAsia="Arial" w:hAnsi="Arial"/>
          <w:sz w:val="18"/>
          <w:szCs w:val="18"/>
          <w:color w:val="auto"/>
        </w:rPr>
      </w:pPr>
      <w:r>
        <w:rPr>
          <w:rFonts w:ascii="Arial" w:cs="Arial" w:eastAsia="Arial" w:hAnsi="Arial"/>
          <w:sz w:val="18"/>
          <w:szCs w:val="18"/>
          <w:color w:val="auto"/>
        </w:rPr>
        <w:t>EPA</w:t>
      </w:r>
    </w:p>
    <w:p>
      <w:pPr>
        <w:spacing w:after="0" w:line="274" w:lineRule="auto"/>
        <w:framePr w:w="720" w:h="473" w:wrap="auto" w:vAnchor="page" w:hAnchor="page" w:x="880" w:y="11489"/>
        <w:rPr>
          <w:rFonts w:ascii="Arial" w:cs="Arial" w:eastAsia="Arial" w:hAnsi="Arial"/>
          <w:sz w:val="18"/>
          <w:szCs w:val="18"/>
          <w:color w:val="auto"/>
        </w:rPr>
      </w:pPr>
      <w:r>
        <w:rPr>
          <w:rFonts w:ascii="Arial" w:cs="Arial" w:eastAsia="Arial" w:hAnsi="Arial"/>
          <w:sz w:val="18"/>
          <w:szCs w:val="18"/>
          <w:color w:val="auto"/>
        </w:rPr>
        <w:t>EPC ERCOT</w:t>
      </w:r>
    </w:p>
    <w:p>
      <w:pPr>
        <w:spacing w:after="0" w:line="274" w:lineRule="auto"/>
        <w:framePr w:w="1200" w:h="473" w:wrap="auto" w:vAnchor="page" w:hAnchor="page" w:x="880" w:y="12276"/>
        <w:rPr>
          <w:rFonts w:ascii="Arial" w:cs="Arial" w:eastAsia="Arial" w:hAnsi="Arial"/>
          <w:sz w:val="18"/>
          <w:szCs w:val="18"/>
          <w:color w:val="auto"/>
        </w:rPr>
      </w:pPr>
      <w:r>
        <w:rPr>
          <w:rFonts w:ascii="Arial" w:cs="Arial" w:eastAsia="Arial" w:hAnsi="Arial"/>
          <w:sz w:val="18"/>
          <w:szCs w:val="18"/>
          <w:color w:val="auto"/>
        </w:rPr>
        <w:t>ESPP Exchange Act</w:t>
      </w:r>
    </w:p>
    <w:p>
      <w:pPr>
        <w:spacing w:after="0" w:line="193" w:lineRule="auto"/>
        <w:framePr w:w="580" w:h="176" w:wrap="auto" w:vAnchor="page" w:hAnchor="page" w:x="880" w:y="12870"/>
        <w:rPr>
          <w:rFonts w:ascii="Arial" w:cs="Arial" w:eastAsia="Arial" w:hAnsi="Arial"/>
          <w:sz w:val="19"/>
          <w:szCs w:val="19"/>
          <w:color w:val="auto"/>
        </w:rPr>
      </w:pPr>
      <w:r>
        <w:rPr>
          <w:rFonts w:ascii="Arial" w:cs="Arial" w:eastAsia="Arial" w:hAnsi="Arial"/>
          <w:sz w:val="19"/>
          <w:szCs w:val="19"/>
          <w:color w:val="auto"/>
        </w:rPr>
        <w:t>FASB</w:t>
      </w:r>
    </w:p>
    <w:p>
      <w:pPr>
        <w:spacing w:after="0" w:line="204" w:lineRule="auto"/>
        <w:framePr w:w="580" w:h="176" w:wrap="auto" w:vAnchor="page" w:hAnchor="page" w:x="880" w:y="13167"/>
        <w:rPr>
          <w:rFonts w:ascii="Arial" w:cs="Arial" w:eastAsia="Arial" w:hAnsi="Arial"/>
          <w:sz w:val="18"/>
          <w:szCs w:val="18"/>
          <w:color w:val="auto"/>
        </w:rPr>
      </w:pPr>
      <w:r>
        <w:rPr>
          <w:rFonts w:ascii="Arial" w:cs="Arial" w:eastAsia="Arial" w:hAnsi="Arial"/>
          <w:sz w:val="18"/>
          <w:szCs w:val="18"/>
          <w:color w:val="auto"/>
        </w:rPr>
        <w:t>FERC</w:t>
      </w:r>
    </w:p>
    <w:p>
      <w:pPr>
        <w:spacing w:after="0" w:line="204" w:lineRule="auto"/>
        <w:framePr w:w="480" w:h="176" w:wrap="auto" w:vAnchor="page" w:hAnchor="page" w:x="880" w:y="13464"/>
        <w:rPr>
          <w:rFonts w:ascii="Arial" w:cs="Arial" w:eastAsia="Arial" w:hAnsi="Arial"/>
          <w:sz w:val="18"/>
          <w:szCs w:val="18"/>
          <w:color w:val="auto"/>
        </w:rPr>
      </w:pPr>
      <w:r>
        <w:rPr>
          <w:rFonts w:ascii="Arial" w:cs="Arial" w:eastAsia="Arial" w:hAnsi="Arial"/>
          <w:sz w:val="18"/>
          <w:szCs w:val="18"/>
          <w:color w:val="auto"/>
        </w:rPr>
        <w:t>FGD</w:t>
      </w:r>
    </w:p>
    <w:p>
      <w:pPr>
        <w:spacing w:after="0" w:line="204" w:lineRule="auto"/>
        <w:framePr w:w="440" w:h="176" w:wrap="auto" w:vAnchor="page" w:hAnchor="page" w:x="880" w:y="13761"/>
        <w:rPr>
          <w:rFonts w:ascii="Arial" w:cs="Arial" w:eastAsia="Arial" w:hAnsi="Arial"/>
          <w:sz w:val="18"/>
          <w:szCs w:val="18"/>
          <w:color w:val="auto"/>
        </w:rPr>
      </w:pPr>
      <w:r>
        <w:rPr>
          <w:rFonts w:ascii="Arial" w:cs="Arial" w:eastAsia="Arial" w:hAnsi="Arial"/>
          <w:sz w:val="18"/>
          <w:szCs w:val="18"/>
          <w:color w:val="auto"/>
        </w:rPr>
        <w:t>FPA</w:t>
      </w:r>
    </w:p>
    <w:p>
      <w:pPr>
        <w:spacing w:after="0" w:line="204" w:lineRule="auto"/>
        <w:framePr w:w="520" w:h="176" w:wrap="auto" w:vAnchor="page" w:hAnchor="page" w:x="880" w:y="14058"/>
        <w:rPr>
          <w:rFonts w:ascii="Arial" w:cs="Arial" w:eastAsia="Arial" w:hAnsi="Arial"/>
          <w:sz w:val="18"/>
          <w:szCs w:val="18"/>
          <w:color w:val="auto"/>
        </w:rPr>
      </w:pPr>
      <w:r>
        <w:rPr>
          <w:rFonts w:ascii="Arial" w:cs="Arial" w:eastAsia="Arial" w:hAnsi="Arial"/>
          <w:sz w:val="18"/>
          <w:szCs w:val="18"/>
          <w:color w:val="auto"/>
        </w:rPr>
        <w:t>FTRs</w:t>
      </w:r>
    </w:p>
    <w:p>
      <w:pPr>
        <w:spacing w:after="0" w:line="297" w:lineRule="auto"/>
        <w:framePr w:w="1560" w:h="1067" w:wrap="auto" w:vAnchor="page" w:hAnchor="page" w:x="880" w:y="1243"/>
        <w:rPr>
          <w:rFonts w:ascii="Arial" w:cs="Arial" w:eastAsia="Arial" w:hAnsi="Arial"/>
          <w:sz w:val="20"/>
          <w:szCs w:val="20"/>
          <w:color w:val="auto"/>
        </w:rPr>
      </w:pPr>
      <w:r>
        <w:rPr>
          <w:rFonts w:ascii="Arial" w:cs="Arial" w:eastAsia="Arial" w:hAnsi="Arial"/>
          <w:sz w:val="20"/>
          <w:szCs w:val="20"/>
          <w:color w:val="auto"/>
        </w:rPr>
        <w:t>ACE Acquisition Adjusted EBITDA AESO</w:t>
      </w:r>
    </w:p>
    <w:p>
      <w:pPr>
        <w:spacing w:after="0" w:line="193" w:lineRule="auto"/>
        <w:framePr w:w="500" w:h="176" w:wrap="auto" w:vAnchor="page" w:hAnchor="page" w:x="880" w:y="2431"/>
        <w:rPr>
          <w:rFonts w:ascii="Arial" w:cs="Arial" w:eastAsia="Arial" w:hAnsi="Arial"/>
          <w:sz w:val="19"/>
          <w:szCs w:val="19"/>
          <w:color w:val="auto"/>
        </w:rPr>
      </w:pPr>
      <w:r>
        <w:rPr>
          <w:rFonts w:ascii="Arial" w:cs="Arial" w:eastAsia="Arial" w:hAnsi="Arial"/>
          <w:sz w:val="19"/>
          <w:szCs w:val="19"/>
          <w:color w:val="auto"/>
        </w:rPr>
        <w:t>ARO</w:t>
      </w:r>
    </w:p>
    <w:p>
      <w:pPr>
        <w:spacing w:after="0" w:line="204" w:lineRule="auto"/>
        <w:framePr w:w="460" w:h="176" w:wrap="auto" w:vAnchor="page" w:hAnchor="page" w:x="880" w:y="2728"/>
        <w:rPr>
          <w:rFonts w:ascii="Arial" w:cs="Arial" w:eastAsia="Arial" w:hAnsi="Arial"/>
          <w:sz w:val="18"/>
          <w:szCs w:val="18"/>
          <w:color w:val="auto"/>
        </w:rPr>
      </w:pPr>
      <w:r>
        <w:rPr>
          <w:rFonts w:ascii="Arial" w:cs="Arial" w:eastAsia="Arial" w:hAnsi="Arial"/>
          <w:sz w:val="18"/>
          <w:szCs w:val="18"/>
          <w:color w:val="auto"/>
        </w:rPr>
        <w:t>ASC</w:t>
      </w:r>
    </w:p>
    <w:p>
      <w:pPr>
        <w:jc w:val="center"/>
        <w:ind w:right="520"/>
        <w:spacing w:after="0"/>
        <w:rPr>
          <w:sz w:val="20"/>
          <w:szCs w:val="20"/>
          <w:color w:val="auto"/>
        </w:rPr>
      </w:pPr>
      <w:r>
        <w:rPr>
          <w:rFonts w:ascii="Arial" w:cs="Arial" w:eastAsia="Arial" w:hAnsi="Arial"/>
          <w:sz w:val="20"/>
          <w:szCs w:val="20"/>
          <w:b w:val="1"/>
          <w:bCs w:val="1"/>
          <w:color w:val="auto"/>
        </w:rPr>
        <w:t>Glossary of Terms</w:t>
      </w:r>
    </w:p>
    <w:p>
      <w:pPr>
        <w:spacing w:after="0" w:line="173" w:lineRule="exact"/>
        <w:rPr>
          <w:rFonts w:ascii="Arial" w:cs="Arial" w:eastAsia="Arial" w:hAnsi="Arial"/>
          <w:sz w:val="18"/>
          <w:szCs w:val="18"/>
          <w:color w:val="auto"/>
        </w:rPr>
      </w:pPr>
    </w:p>
    <w:p>
      <w:pPr>
        <w:jc w:val="center"/>
        <w:ind w:right="120"/>
        <w:spacing w:after="0"/>
        <w:rPr>
          <w:sz w:val="20"/>
          <w:szCs w:val="20"/>
          <w:color w:val="auto"/>
        </w:rPr>
      </w:pPr>
      <w:r>
        <w:rPr>
          <w:rFonts w:ascii="Arial" w:cs="Arial" w:eastAsia="Arial" w:hAnsi="Arial"/>
          <w:sz w:val="16"/>
          <w:szCs w:val="16"/>
          <w:color w:val="auto"/>
        </w:rPr>
        <w:t>When the following terms and abbreviations appear in the text of this report, they have the meanings indicated below:</w:t>
      </w:r>
    </w:p>
    <w:p>
      <w:pPr>
        <w:spacing w:after="0" w:line="128" w:lineRule="exact"/>
        <w:rPr>
          <w:rFonts w:ascii="Arial" w:cs="Arial" w:eastAsia="Arial" w:hAnsi="Arial"/>
          <w:sz w:val="18"/>
          <w:szCs w:val="18"/>
          <w:color w:val="auto"/>
        </w:rPr>
      </w:pPr>
    </w:p>
    <w:p>
      <w:pPr>
        <w:ind w:left="2220"/>
        <w:spacing w:after="0"/>
        <w:rPr>
          <w:sz w:val="20"/>
          <w:szCs w:val="20"/>
          <w:color w:val="auto"/>
        </w:rPr>
      </w:pPr>
      <w:r>
        <w:rPr>
          <w:rFonts w:ascii="Arial" w:cs="Arial" w:eastAsia="Arial" w:hAnsi="Arial"/>
          <w:sz w:val="20"/>
          <w:szCs w:val="20"/>
          <w:color w:val="auto"/>
        </w:rPr>
        <w:t>Affordable Clean Energy</w:t>
      </w:r>
    </w:p>
    <w:p>
      <w:pPr>
        <w:spacing w:after="0" w:line="67" w:lineRule="exact"/>
        <w:rPr>
          <w:rFonts w:ascii="Arial" w:cs="Arial" w:eastAsia="Arial" w:hAnsi="Arial"/>
          <w:sz w:val="18"/>
          <w:szCs w:val="18"/>
          <w:color w:val="auto"/>
        </w:rPr>
      </w:pPr>
    </w:p>
    <w:p>
      <w:pPr>
        <w:ind w:left="2220" w:right="720"/>
        <w:spacing w:after="0" w:line="326" w:lineRule="auto"/>
        <w:rPr>
          <w:sz w:val="20"/>
          <w:szCs w:val="20"/>
          <w:color w:val="auto"/>
        </w:rPr>
      </w:pPr>
      <w:r>
        <w:rPr>
          <w:rFonts w:ascii="Arial" w:cs="Arial" w:eastAsia="Arial" w:hAnsi="Arial"/>
          <w:sz w:val="19"/>
          <w:szCs w:val="19"/>
          <w:color w:val="auto"/>
        </w:rPr>
        <w:t>The acquisition of Vivint Smart Home, Inc. by NRG completed on March 10, 2023 Adjusted earnings before interest, taxes, depreciation and amortization</w:t>
      </w:r>
    </w:p>
    <w:p>
      <w:pPr>
        <w:ind w:left="2220" w:right="4660"/>
        <w:spacing w:after="0" w:line="344" w:lineRule="auto"/>
        <w:rPr>
          <w:sz w:val="20"/>
          <w:szCs w:val="20"/>
          <w:color w:val="auto"/>
        </w:rPr>
      </w:pPr>
      <w:r>
        <w:rPr>
          <w:rFonts w:ascii="Arial" w:cs="Arial" w:eastAsia="Arial" w:hAnsi="Arial"/>
          <w:sz w:val="18"/>
          <w:szCs w:val="18"/>
          <w:color w:val="auto"/>
        </w:rPr>
        <w:t>Alberta Electric System Operator Asset Retirement Obligation</w:t>
      </w:r>
    </w:p>
    <w:p>
      <w:pPr>
        <w:spacing w:after="0" w:line="1" w:lineRule="exact"/>
        <w:rPr>
          <w:rFonts w:ascii="Arial" w:cs="Arial" w:eastAsia="Arial" w:hAnsi="Arial"/>
          <w:sz w:val="18"/>
          <w:szCs w:val="18"/>
          <w:color w:val="auto"/>
        </w:rPr>
      </w:pPr>
    </w:p>
    <w:p>
      <w:pPr>
        <w:ind w:left="2220"/>
        <w:spacing w:after="0" w:line="238" w:lineRule="auto"/>
        <w:rPr>
          <w:sz w:val="20"/>
          <w:szCs w:val="20"/>
          <w:color w:val="auto"/>
        </w:rPr>
      </w:pPr>
      <w:r>
        <w:rPr>
          <w:rFonts w:ascii="Arial" w:cs="Arial" w:eastAsia="Arial" w:hAnsi="Arial"/>
          <w:sz w:val="20"/>
          <w:szCs w:val="20"/>
          <w:color w:val="auto"/>
        </w:rPr>
        <w:t>The FASB Accounting Standards Codification, which the FASB established as the source of authoritative GAAP</w:t>
      </w:r>
    </w:p>
    <w:p>
      <w:pPr>
        <w:spacing w:after="0" w:line="34" w:lineRule="exact"/>
        <w:rPr>
          <w:rFonts w:ascii="Arial" w:cs="Arial" w:eastAsia="Arial" w:hAnsi="Arial"/>
          <w:sz w:val="18"/>
          <w:szCs w:val="18"/>
          <w:color w:val="auto"/>
        </w:rPr>
      </w:pPr>
    </w:p>
    <w:p>
      <w:pPr>
        <w:ind w:left="2220"/>
        <w:spacing w:after="0"/>
        <w:rPr>
          <w:sz w:val="20"/>
          <w:szCs w:val="20"/>
          <w:color w:val="auto"/>
        </w:rPr>
      </w:pPr>
      <w:r>
        <w:rPr>
          <w:rFonts w:ascii="Arial" w:cs="Arial" w:eastAsia="Arial" w:hAnsi="Arial"/>
          <w:sz w:val="20"/>
          <w:szCs w:val="20"/>
          <w:color w:val="auto"/>
        </w:rPr>
        <w:t>Accelerated Share Repurchase</w:t>
      </w:r>
    </w:p>
    <w:p>
      <w:pPr>
        <w:spacing w:after="0" w:line="67" w:lineRule="exact"/>
        <w:rPr>
          <w:rFonts w:ascii="Arial" w:cs="Arial" w:eastAsia="Arial" w:hAnsi="Arial"/>
          <w:sz w:val="18"/>
          <w:szCs w:val="18"/>
          <w:color w:val="auto"/>
        </w:rPr>
      </w:pPr>
    </w:p>
    <w:p>
      <w:pPr>
        <w:ind w:left="2220"/>
        <w:spacing w:after="0"/>
        <w:rPr>
          <w:sz w:val="20"/>
          <w:szCs w:val="20"/>
          <w:color w:val="auto"/>
        </w:rPr>
      </w:pPr>
      <w:r>
        <w:rPr>
          <w:rFonts w:ascii="Arial" w:cs="Arial" w:eastAsia="Arial" w:hAnsi="Arial"/>
          <w:sz w:val="20"/>
          <w:szCs w:val="20"/>
          <w:color w:val="auto"/>
        </w:rPr>
        <w:t>Accounting Standards Updates – updates to the ASC</w:t>
      </w:r>
    </w:p>
    <w:p>
      <w:pPr>
        <w:spacing w:after="0" w:line="67" w:lineRule="exact"/>
        <w:rPr>
          <w:rFonts w:ascii="Arial" w:cs="Arial" w:eastAsia="Arial" w:hAnsi="Arial"/>
          <w:sz w:val="18"/>
          <w:szCs w:val="18"/>
          <w:color w:val="auto"/>
        </w:rPr>
      </w:pPr>
    </w:p>
    <w:p>
      <w:pPr>
        <w:ind w:left="2220"/>
        <w:spacing w:after="0"/>
        <w:rPr>
          <w:sz w:val="20"/>
          <w:szCs w:val="20"/>
          <w:color w:val="auto"/>
        </w:rPr>
      </w:pPr>
      <w:r>
        <w:rPr>
          <w:rFonts w:ascii="Arial" w:cs="Arial" w:eastAsia="Arial" w:hAnsi="Arial"/>
          <w:sz w:val="20"/>
          <w:szCs w:val="20"/>
          <w:color w:val="auto"/>
        </w:rPr>
        <w:t>Alberta Utilities Commission</w:t>
      </w:r>
    </w:p>
    <w:p>
      <w:pPr>
        <w:spacing w:after="0" w:line="67" w:lineRule="exact"/>
        <w:rPr>
          <w:rFonts w:ascii="Arial" w:cs="Arial" w:eastAsia="Arial" w:hAnsi="Arial"/>
          <w:sz w:val="18"/>
          <w:szCs w:val="18"/>
          <w:color w:val="auto"/>
        </w:rPr>
      </w:pPr>
    </w:p>
    <w:p>
      <w:pPr>
        <w:ind w:left="2220"/>
        <w:spacing w:after="0"/>
        <w:rPr>
          <w:sz w:val="20"/>
          <w:szCs w:val="20"/>
          <w:color w:val="auto"/>
        </w:rPr>
      </w:pPr>
      <w:r>
        <w:rPr>
          <w:rFonts w:ascii="Arial" w:cs="Arial" w:eastAsia="Arial" w:hAnsi="Arial"/>
          <w:sz w:val="20"/>
          <w:szCs w:val="20"/>
          <w:color w:val="auto"/>
        </w:rPr>
        <w:t>British Thermal Unit</w:t>
      </w:r>
    </w:p>
    <w:p>
      <w:pPr>
        <w:spacing w:after="0" w:line="67" w:lineRule="exact"/>
        <w:rPr>
          <w:rFonts w:ascii="Arial" w:cs="Arial" w:eastAsia="Arial" w:hAnsi="Arial"/>
          <w:sz w:val="18"/>
          <w:szCs w:val="18"/>
          <w:color w:val="auto"/>
        </w:rPr>
      </w:pPr>
    </w:p>
    <w:p>
      <w:pPr>
        <w:ind w:left="2220" w:right="3440"/>
        <w:spacing w:after="0" w:line="309" w:lineRule="auto"/>
        <w:rPr>
          <w:sz w:val="20"/>
          <w:szCs w:val="20"/>
          <w:color w:val="auto"/>
        </w:rPr>
      </w:pPr>
      <w:r>
        <w:rPr>
          <w:rFonts w:ascii="Arial" w:cs="Arial" w:eastAsia="Arial" w:hAnsi="Arial"/>
          <w:sz w:val="20"/>
          <w:szCs w:val="20"/>
          <w:color w:val="auto"/>
        </w:rPr>
        <w:t>NRG Business, which serves business customers Clean Air Act</w:t>
      </w:r>
    </w:p>
    <w:p>
      <w:pPr>
        <w:spacing w:after="0" w:line="2" w:lineRule="exact"/>
        <w:rPr>
          <w:rFonts w:ascii="Arial" w:cs="Arial" w:eastAsia="Arial" w:hAnsi="Arial"/>
          <w:sz w:val="18"/>
          <w:szCs w:val="18"/>
          <w:color w:val="auto"/>
        </w:rPr>
      </w:pPr>
    </w:p>
    <w:p>
      <w:pPr>
        <w:ind w:left="2220"/>
        <w:spacing w:after="0"/>
        <w:rPr>
          <w:sz w:val="20"/>
          <w:szCs w:val="20"/>
          <w:color w:val="auto"/>
        </w:rPr>
      </w:pPr>
      <w:r>
        <w:rPr>
          <w:rFonts w:ascii="Arial" w:cs="Arial" w:eastAsia="Arial" w:hAnsi="Arial"/>
          <w:sz w:val="20"/>
          <w:szCs w:val="20"/>
          <w:color w:val="auto"/>
        </w:rPr>
        <w:t>California Independent System Operator</w:t>
      </w:r>
    </w:p>
    <w:p>
      <w:pPr>
        <w:spacing w:after="0" w:line="67" w:lineRule="exact"/>
        <w:rPr>
          <w:rFonts w:ascii="Arial" w:cs="Arial" w:eastAsia="Arial" w:hAnsi="Arial"/>
          <w:sz w:val="18"/>
          <w:szCs w:val="18"/>
          <w:color w:val="auto"/>
        </w:rPr>
      </w:pPr>
    </w:p>
    <w:p>
      <w:pPr>
        <w:ind w:left="2220" w:right="780"/>
        <w:spacing w:after="0" w:line="309" w:lineRule="auto"/>
        <w:rPr>
          <w:sz w:val="20"/>
          <w:szCs w:val="20"/>
          <w:color w:val="auto"/>
        </w:rPr>
      </w:pPr>
      <w:r>
        <w:rPr>
          <w:rFonts w:ascii="Arial" w:cs="Arial" w:eastAsia="Arial" w:hAnsi="Arial"/>
          <w:sz w:val="20"/>
          <w:szCs w:val="20"/>
          <w:color w:val="auto"/>
        </w:rPr>
        <w:t>15% Corporate Alternative Minimum Tax enacted by the IRA on August 16, 2022 Cooling Degree Day</w:t>
      </w:r>
    </w:p>
    <w:p>
      <w:pPr>
        <w:spacing w:after="0" w:line="2" w:lineRule="exact"/>
        <w:rPr>
          <w:rFonts w:ascii="Arial" w:cs="Arial" w:eastAsia="Arial" w:hAnsi="Arial"/>
          <w:sz w:val="18"/>
          <w:szCs w:val="18"/>
          <w:color w:val="auto"/>
        </w:rPr>
      </w:pPr>
    </w:p>
    <w:p>
      <w:pPr>
        <w:ind w:left="2220" w:right="3600"/>
        <w:spacing w:after="0" w:line="309" w:lineRule="auto"/>
        <w:rPr>
          <w:sz w:val="20"/>
          <w:szCs w:val="20"/>
          <w:color w:val="auto"/>
        </w:rPr>
      </w:pPr>
      <w:r>
        <w:rPr>
          <w:rFonts w:ascii="Arial" w:cs="Arial" w:eastAsia="Arial" w:hAnsi="Arial"/>
          <w:sz w:val="20"/>
          <w:szCs w:val="20"/>
          <w:color w:val="auto"/>
        </w:rPr>
        <w:t>U.S. Commodity Futures Trading Commission Carbon Dioxide</w:t>
      </w:r>
    </w:p>
    <w:p>
      <w:pPr>
        <w:spacing w:after="0" w:line="2" w:lineRule="exact"/>
        <w:rPr>
          <w:rFonts w:ascii="Arial" w:cs="Arial" w:eastAsia="Arial" w:hAnsi="Arial"/>
          <w:sz w:val="18"/>
          <w:szCs w:val="18"/>
          <w:color w:val="auto"/>
        </w:rPr>
      </w:pPr>
    </w:p>
    <w:p>
      <w:pPr>
        <w:ind w:left="2220" w:right="5060"/>
        <w:spacing w:after="0" w:line="326" w:lineRule="auto"/>
        <w:rPr>
          <w:sz w:val="20"/>
          <w:szCs w:val="20"/>
          <w:color w:val="auto"/>
        </w:rPr>
      </w:pPr>
      <w:r>
        <w:rPr>
          <w:rFonts w:ascii="Arial" w:cs="Arial" w:eastAsia="Arial" w:hAnsi="Arial"/>
          <w:sz w:val="19"/>
          <w:szCs w:val="19"/>
          <w:color w:val="auto"/>
        </w:rPr>
        <w:t>Carbon Dioxide Equivalents NRG Energy, Inc. Cost of New Entry</w:t>
      </w:r>
    </w:p>
    <w:p>
      <w:pPr>
        <w:spacing w:after="0" w:line="1" w:lineRule="exact"/>
        <w:rPr>
          <w:rFonts w:ascii="Arial" w:cs="Arial" w:eastAsia="Arial" w:hAnsi="Arial"/>
          <w:sz w:val="18"/>
          <w:szCs w:val="18"/>
          <w:color w:val="auto"/>
        </w:rPr>
      </w:pPr>
    </w:p>
    <w:p>
      <w:pPr>
        <w:ind w:left="2220"/>
        <w:spacing w:after="0" w:line="238" w:lineRule="auto"/>
        <w:rPr>
          <w:sz w:val="20"/>
          <w:szCs w:val="20"/>
          <w:color w:val="auto"/>
        </w:rPr>
      </w:pPr>
      <w:r>
        <w:rPr>
          <w:rFonts w:ascii="Arial" w:cs="Arial" w:eastAsia="Arial" w:hAnsi="Arial"/>
          <w:sz w:val="20"/>
          <w:szCs w:val="20"/>
          <w:color w:val="auto"/>
        </w:rPr>
        <w:t>As of December 31, 2024, consists of NRG’s $232 million unsecured 2.750% Convertible Senior Notes due 2048</w:t>
      </w:r>
    </w:p>
    <w:p>
      <w:pPr>
        <w:spacing w:after="0" w:line="34" w:lineRule="exact"/>
        <w:rPr>
          <w:rFonts w:ascii="Arial" w:cs="Arial" w:eastAsia="Arial" w:hAnsi="Arial"/>
          <w:sz w:val="18"/>
          <w:szCs w:val="18"/>
          <w:color w:val="auto"/>
        </w:rPr>
      </w:pPr>
    </w:p>
    <w:p>
      <w:pPr>
        <w:ind w:left="2220" w:right="1780"/>
        <w:spacing w:after="0" w:line="309" w:lineRule="auto"/>
        <w:rPr>
          <w:sz w:val="20"/>
          <w:szCs w:val="20"/>
          <w:color w:val="auto"/>
        </w:rPr>
      </w:pPr>
      <w:r>
        <w:rPr>
          <w:rFonts w:ascii="Arial" w:cs="Arial" w:eastAsia="Arial" w:hAnsi="Arial"/>
          <w:sz w:val="20"/>
          <w:szCs w:val="20"/>
          <w:color w:val="auto"/>
        </w:rPr>
        <w:t>Cottonwood Generating Station, a 1,139 MW natural gas-fueled plant Clean Power Plan</w:t>
      </w:r>
    </w:p>
    <w:p>
      <w:pPr>
        <w:spacing w:after="0" w:line="2" w:lineRule="exact"/>
        <w:rPr>
          <w:rFonts w:ascii="Arial" w:cs="Arial" w:eastAsia="Arial" w:hAnsi="Arial"/>
          <w:sz w:val="18"/>
          <w:szCs w:val="18"/>
          <w:color w:val="auto"/>
        </w:rPr>
      </w:pPr>
    </w:p>
    <w:p>
      <w:pPr>
        <w:ind w:left="2220"/>
        <w:spacing w:after="0"/>
        <w:rPr>
          <w:sz w:val="20"/>
          <w:szCs w:val="20"/>
          <w:color w:val="auto"/>
        </w:rPr>
      </w:pPr>
      <w:r>
        <w:rPr>
          <w:rFonts w:ascii="Arial" w:cs="Arial" w:eastAsia="Arial" w:hAnsi="Arial"/>
          <w:sz w:val="20"/>
          <w:szCs w:val="20"/>
          <w:color w:val="auto"/>
        </w:rPr>
        <w:t>California Public Utilities Commission</w:t>
      </w:r>
    </w:p>
    <w:p>
      <w:pPr>
        <w:spacing w:after="0" w:line="67" w:lineRule="exact"/>
        <w:rPr>
          <w:rFonts w:ascii="Arial" w:cs="Arial" w:eastAsia="Arial" w:hAnsi="Arial"/>
          <w:sz w:val="18"/>
          <w:szCs w:val="18"/>
          <w:color w:val="auto"/>
        </w:rPr>
      </w:pPr>
    </w:p>
    <w:p>
      <w:pPr>
        <w:ind w:left="2220" w:right="2680"/>
        <w:spacing w:after="0" w:line="353" w:lineRule="auto"/>
        <w:rPr>
          <w:sz w:val="20"/>
          <w:szCs w:val="20"/>
          <w:color w:val="auto"/>
        </w:rPr>
      </w:pPr>
      <w:r>
        <w:rPr>
          <w:rFonts w:ascii="Arial" w:cs="Arial" w:eastAsia="Arial" w:hAnsi="Arial"/>
          <w:sz w:val="20"/>
          <w:szCs w:val="20"/>
          <w:color w:val="auto"/>
        </w:rPr>
        <w:t>U.S. Court of Appeals for the District of Columbia Circuit Dry Sorbent Injection Deferred Stock Unit</w:t>
      </w:r>
    </w:p>
    <w:p>
      <w:pPr>
        <w:spacing w:after="0" w:line="214" w:lineRule="exact"/>
        <w:rPr>
          <w:rFonts w:ascii="Arial" w:cs="Arial" w:eastAsia="Arial" w:hAnsi="Arial"/>
          <w:sz w:val="18"/>
          <w:szCs w:val="18"/>
          <w:color w:val="auto"/>
        </w:rPr>
      </w:pPr>
    </w:p>
    <w:p>
      <w:pPr>
        <w:ind w:left="2220"/>
        <w:spacing w:after="0"/>
        <w:rPr>
          <w:sz w:val="20"/>
          <w:szCs w:val="20"/>
          <w:color w:val="auto"/>
        </w:rPr>
      </w:pPr>
      <w:r>
        <w:rPr>
          <w:rFonts w:ascii="Arial" w:cs="Arial" w:eastAsia="Arial" w:hAnsi="Arial"/>
          <w:sz w:val="20"/>
          <w:szCs w:val="20"/>
          <w:color w:val="auto"/>
        </w:rPr>
        <w:t>Dekatherms</w:t>
      </w:r>
    </w:p>
    <w:p>
      <w:pPr>
        <w:spacing w:after="0" w:line="67" w:lineRule="exact"/>
        <w:rPr>
          <w:rFonts w:ascii="Arial" w:cs="Arial" w:eastAsia="Arial" w:hAnsi="Arial"/>
          <w:sz w:val="18"/>
          <w:szCs w:val="18"/>
          <w:color w:val="auto"/>
        </w:rPr>
      </w:pPr>
    </w:p>
    <w:p>
      <w:pPr>
        <w:ind w:left="2220"/>
        <w:spacing w:after="0"/>
        <w:rPr>
          <w:sz w:val="20"/>
          <w:szCs w:val="20"/>
          <w:color w:val="auto"/>
        </w:rPr>
      </w:pPr>
      <w:r>
        <w:rPr>
          <w:rFonts w:ascii="Arial" w:cs="Arial" w:eastAsia="Arial" w:hAnsi="Arial"/>
          <w:sz w:val="20"/>
          <w:szCs w:val="20"/>
          <w:color w:val="auto"/>
        </w:rPr>
        <w:t>Customer that have both electricity and natural gas service with the Company</w:t>
      </w:r>
    </w:p>
    <w:p>
      <w:pPr>
        <w:spacing w:after="0" w:line="67" w:lineRule="exact"/>
        <w:rPr>
          <w:rFonts w:ascii="Arial" w:cs="Arial" w:eastAsia="Arial" w:hAnsi="Arial"/>
          <w:sz w:val="18"/>
          <w:szCs w:val="18"/>
          <w:color w:val="auto"/>
        </w:rPr>
      </w:pPr>
    </w:p>
    <w:p>
      <w:pPr>
        <w:ind w:left="2220"/>
        <w:spacing w:after="0" w:line="238" w:lineRule="auto"/>
        <w:rPr>
          <w:sz w:val="20"/>
          <w:szCs w:val="20"/>
          <w:color w:val="auto"/>
        </w:rPr>
      </w:pPr>
      <w:r>
        <w:rPr>
          <w:rFonts w:ascii="Arial" w:cs="Arial" w:eastAsia="Arial" w:hAnsi="Arial"/>
          <w:sz w:val="20"/>
          <w:szCs w:val="20"/>
          <w:color w:val="auto"/>
        </w:rPr>
        <w:t>Sum of retail revenue, energy revenue, capacity revenue and other revenue, less cost of fuels, purchased energy and other cost of sales</w:t>
      </w:r>
    </w:p>
    <w:p>
      <w:pPr>
        <w:spacing w:after="0" w:line="34" w:lineRule="exact"/>
        <w:rPr>
          <w:rFonts w:ascii="Arial" w:cs="Arial" w:eastAsia="Arial" w:hAnsi="Arial"/>
          <w:sz w:val="18"/>
          <w:szCs w:val="18"/>
          <w:color w:val="auto"/>
        </w:rPr>
      </w:pPr>
    </w:p>
    <w:p>
      <w:pPr>
        <w:ind w:left="2220"/>
        <w:spacing w:after="0" w:line="238" w:lineRule="auto"/>
        <w:rPr>
          <w:sz w:val="20"/>
          <w:szCs w:val="20"/>
          <w:color w:val="auto"/>
        </w:rPr>
      </w:pPr>
      <w:r>
        <w:rPr>
          <w:rFonts w:ascii="Arial" w:cs="Arial" w:eastAsia="Arial" w:hAnsi="Arial"/>
          <w:sz w:val="20"/>
          <w:szCs w:val="20"/>
          <w:color w:val="auto"/>
        </w:rPr>
        <w:t>Effluent Limitations Guidelines which are EPA regulations issued under the federal Clean Water Act</w:t>
      </w:r>
    </w:p>
    <w:p>
      <w:pPr>
        <w:spacing w:after="0" w:line="4" w:lineRule="exact"/>
        <w:rPr>
          <w:rFonts w:ascii="Arial" w:cs="Arial" w:eastAsia="Arial" w:hAnsi="Arial"/>
          <w:sz w:val="18"/>
          <w:szCs w:val="18"/>
          <w:color w:val="auto"/>
        </w:rPr>
      </w:pPr>
    </w:p>
    <w:p>
      <w:pPr>
        <w:ind w:left="2220" w:right="3820"/>
        <w:spacing w:after="0" w:line="387" w:lineRule="auto"/>
        <w:rPr>
          <w:sz w:val="20"/>
          <w:szCs w:val="20"/>
          <w:color w:val="auto"/>
        </w:rPr>
      </w:pPr>
      <w:r>
        <w:rPr>
          <w:rFonts w:ascii="Arial" w:cs="Arial" w:eastAsia="Arial" w:hAnsi="Arial"/>
          <w:sz w:val="16"/>
          <w:szCs w:val="16"/>
          <w:color w:val="auto"/>
        </w:rPr>
        <w:t>U.S. Environmental Protection Agency Engineering, Procurement and Construction</w:t>
      </w:r>
    </w:p>
    <w:p>
      <w:pPr>
        <w:spacing w:after="0" w:line="1" w:lineRule="exact"/>
        <w:rPr>
          <w:rFonts w:ascii="Arial" w:cs="Arial" w:eastAsia="Arial" w:hAnsi="Arial"/>
          <w:sz w:val="18"/>
          <w:szCs w:val="18"/>
          <w:color w:val="auto"/>
        </w:rPr>
      </w:pPr>
    </w:p>
    <w:p>
      <w:pPr>
        <w:ind w:left="2220"/>
        <w:spacing w:after="0" w:line="238" w:lineRule="auto"/>
        <w:rPr>
          <w:sz w:val="20"/>
          <w:szCs w:val="20"/>
          <w:color w:val="auto"/>
        </w:rPr>
      </w:pPr>
      <w:r>
        <w:rPr>
          <w:rFonts w:ascii="Arial" w:cs="Arial" w:eastAsia="Arial" w:hAnsi="Arial"/>
          <w:sz w:val="20"/>
          <w:szCs w:val="20"/>
          <w:color w:val="auto"/>
        </w:rPr>
        <w:t>Electric Reliability Council of Texas, the Independent System Operator and the regional reliability coordinator of the various electricity systems within Texas</w:t>
      </w:r>
    </w:p>
    <w:p>
      <w:pPr>
        <w:spacing w:after="0" w:line="34" w:lineRule="exact"/>
        <w:rPr>
          <w:rFonts w:ascii="Arial" w:cs="Arial" w:eastAsia="Arial" w:hAnsi="Arial"/>
          <w:sz w:val="18"/>
          <w:szCs w:val="18"/>
          <w:color w:val="auto"/>
        </w:rPr>
      </w:pPr>
    </w:p>
    <w:p>
      <w:pPr>
        <w:ind w:left="2220" w:right="1460"/>
        <w:spacing w:after="0" w:line="309" w:lineRule="auto"/>
        <w:rPr>
          <w:sz w:val="20"/>
          <w:szCs w:val="20"/>
          <w:color w:val="auto"/>
        </w:rPr>
      </w:pPr>
      <w:r>
        <w:rPr>
          <w:rFonts w:ascii="Arial" w:cs="Arial" w:eastAsia="Arial" w:hAnsi="Arial"/>
          <w:sz w:val="20"/>
          <w:szCs w:val="20"/>
          <w:color w:val="auto"/>
        </w:rPr>
        <w:t>NRG Energy, Inc. Amended and Restated Employee Stock Purchase Plan The Securities Exchange Act of 1934, as amended Financial Accounting Standards Board</w:t>
      </w:r>
    </w:p>
    <w:p>
      <w:pPr>
        <w:spacing w:after="0" w:line="3" w:lineRule="exact"/>
        <w:rPr>
          <w:rFonts w:ascii="Arial" w:cs="Arial" w:eastAsia="Arial" w:hAnsi="Arial"/>
          <w:sz w:val="18"/>
          <w:szCs w:val="18"/>
          <w:color w:val="auto"/>
        </w:rPr>
      </w:pPr>
    </w:p>
    <w:p>
      <w:pPr>
        <w:ind w:left="2220"/>
        <w:spacing w:after="0"/>
        <w:rPr>
          <w:sz w:val="20"/>
          <w:szCs w:val="20"/>
          <w:color w:val="auto"/>
        </w:rPr>
      </w:pPr>
      <w:r>
        <w:rPr>
          <w:rFonts w:ascii="Arial" w:cs="Arial" w:eastAsia="Arial" w:hAnsi="Arial"/>
          <w:sz w:val="20"/>
          <w:szCs w:val="20"/>
          <w:color w:val="auto"/>
        </w:rPr>
        <w:t>Federal Energy Regulatory Commission</w:t>
      </w:r>
    </w:p>
    <w:p>
      <w:pPr>
        <w:spacing w:after="0" w:line="67" w:lineRule="exact"/>
        <w:rPr>
          <w:rFonts w:ascii="Arial" w:cs="Arial" w:eastAsia="Arial" w:hAnsi="Arial"/>
          <w:sz w:val="18"/>
          <w:szCs w:val="18"/>
          <w:color w:val="auto"/>
        </w:rPr>
      </w:pPr>
    </w:p>
    <w:p>
      <w:pPr>
        <w:ind w:left="2220"/>
        <w:spacing w:after="0"/>
        <w:rPr>
          <w:sz w:val="20"/>
          <w:szCs w:val="20"/>
          <w:color w:val="auto"/>
        </w:rPr>
      </w:pPr>
      <w:r>
        <w:rPr>
          <w:rFonts w:ascii="Arial" w:cs="Arial" w:eastAsia="Arial" w:hAnsi="Arial"/>
          <w:sz w:val="20"/>
          <w:szCs w:val="20"/>
          <w:color w:val="auto"/>
        </w:rPr>
        <w:t>Flue gas desulfurization</w:t>
      </w:r>
    </w:p>
    <w:p>
      <w:pPr>
        <w:spacing w:after="0" w:line="67" w:lineRule="exact"/>
        <w:rPr>
          <w:rFonts w:ascii="Arial" w:cs="Arial" w:eastAsia="Arial" w:hAnsi="Arial"/>
          <w:sz w:val="18"/>
          <w:szCs w:val="18"/>
          <w:color w:val="auto"/>
        </w:rPr>
      </w:pPr>
    </w:p>
    <w:p>
      <w:pPr>
        <w:ind w:left="2220"/>
        <w:spacing w:after="0"/>
        <w:rPr>
          <w:sz w:val="20"/>
          <w:szCs w:val="20"/>
          <w:color w:val="auto"/>
        </w:rPr>
      </w:pPr>
      <w:r>
        <w:rPr>
          <w:rFonts w:ascii="Arial" w:cs="Arial" w:eastAsia="Arial" w:hAnsi="Arial"/>
          <w:sz w:val="20"/>
          <w:szCs w:val="20"/>
          <w:color w:val="auto"/>
        </w:rPr>
        <w:t>Federal Power Act</w:t>
      </w:r>
    </w:p>
    <w:p>
      <w:pPr>
        <w:spacing w:after="0" w:line="67" w:lineRule="exact"/>
        <w:rPr>
          <w:rFonts w:ascii="Arial" w:cs="Arial" w:eastAsia="Arial" w:hAnsi="Arial"/>
          <w:sz w:val="18"/>
          <w:szCs w:val="18"/>
          <w:color w:val="auto"/>
        </w:rPr>
      </w:pPr>
    </w:p>
    <w:p>
      <w:pPr>
        <w:ind w:left="2220"/>
        <w:spacing w:after="0"/>
        <w:rPr>
          <w:sz w:val="20"/>
          <w:szCs w:val="20"/>
          <w:color w:val="auto"/>
        </w:rPr>
      </w:pPr>
      <w:r>
        <w:rPr>
          <w:rFonts w:ascii="Arial" w:cs="Arial" w:eastAsia="Arial" w:hAnsi="Arial"/>
          <w:sz w:val="20"/>
          <w:szCs w:val="20"/>
          <w:color w:val="auto"/>
        </w:rPr>
        <w:t>Financial Transmission Rights</w:t>
      </w:r>
    </w:p>
    <w:p>
      <w:pPr>
        <w:sectPr>
          <w:pgSz w:w="11880" w:h="15480" w:orient="portrait"/>
          <w:cols w:equalWidth="0" w:num="1">
            <w:col w:w="9520"/>
          </w:cols>
          <w:pgMar w:left="1440" w:top="505" w:right="920" w:bottom="0" w:gutter="0" w:footer="0" w:header="0"/>
        </w:sect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4460"/>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9520"/>
          </w:cols>
          <w:pgMar w:left="1440" w:top="505" w:right="920"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58"/>
        </w:trPr>
        <w:tc>
          <w:tcPr>
            <w:tcW w:w="2420" w:type="dxa"/>
            <w:vAlign w:val="bottom"/>
          </w:tcPr>
          <w:p>
            <w:pPr>
              <w:spacing w:after="0"/>
              <w:rPr>
                <w:sz w:val="20"/>
                <w:szCs w:val="20"/>
                <w:color w:val="auto"/>
              </w:rPr>
            </w:pPr>
            <w:r>
              <w:rPr>
                <w:rFonts w:ascii="Arial" w:cs="Arial" w:eastAsia="Arial" w:hAnsi="Arial"/>
                <w:sz w:val="20"/>
                <w:szCs w:val="20"/>
                <w:color w:val="auto"/>
              </w:rPr>
              <w:t>GAAP</w:t>
            </w:r>
          </w:p>
        </w:tc>
        <w:tc>
          <w:tcPr>
            <w:tcW w:w="7620" w:type="dxa"/>
            <w:vAlign w:val="bottom"/>
          </w:tcPr>
          <w:p>
            <w:pPr>
              <w:ind w:left="320"/>
              <w:spacing w:after="0"/>
              <w:rPr>
                <w:sz w:val="20"/>
                <w:szCs w:val="20"/>
                <w:color w:val="auto"/>
              </w:rPr>
            </w:pPr>
            <w:r>
              <w:rPr>
                <w:rFonts w:ascii="Arial" w:cs="Arial" w:eastAsia="Arial" w:hAnsi="Arial"/>
                <w:sz w:val="20"/>
                <w:szCs w:val="20"/>
                <w:color w:val="auto"/>
              </w:rPr>
              <w:t>Generally accepted accounting principles in the United States</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GHG</w:t>
            </w:r>
          </w:p>
        </w:tc>
        <w:tc>
          <w:tcPr>
            <w:tcW w:w="7620" w:type="dxa"/>
            <w:vAlign w:val="bottom"/>
          </w:tcPr>
          <w:p>
            <w:pPr>
              <w:ind w:left="320"/>
              <w:spacing w:after="0"/>
              <w:rPr>
                <w:sz w:val="20"/>
                <w:szCs w:val="20"/>
                <w:color w:val="auto"/>
              </w:rPr>
            </w:pPr>
            <w:r>
              <w:rPr>
                <w:rFonts w:ascii="Arial" w:cs="Arial" w:eastAsia="Arial" w:hAnsi="Arial"/>
                <w:sz w:val="20"/>
                <w:szCs w:val="20"/>
                <w:color w:val="auto"/>
              </w:rPr>
              <w:t>Greenhouse Gas</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Green Mountain Energy</w:t>
            </w:r>
          </w:p>
        </w:tc>
        <w:tc>
          <w:tcPr>
            <w:tcW w:w="7620" w:type="dxa"/>
            <w:vAlign w:val="bottom"/>
          </w:tcPr>
          <w:p>
            <w:pPr>
              <w:ind w:left="320"/>
              <w:spacing w:after="0"/>
              <w:rPr>
                <w:sz w:val="20"/>
                <w:szCs w:val="20"/>
                <w:color w:val="auto"/>
              </w:rPr>
            </w:pPr>
            <w:r>
              <w:rPr>
                <w:rFonts w:ascii="Arial" w:cs="Arial" w:eastAsia="Arial" w:hAnsi="Arial"/>
                <w:sz w:val="20"/>
                <w:szCs w:val="20"/>
                <w:color w:val="auto"/>
              </w:rPr>
              <w:t>Green Mountain Energy Company</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GW</w:t>
            </w:r>
          </w:p>
        </w:tc>
        <w:tc>
          <w:tcPr>
            <w:tcW w:w="7620" w:type="dxa"/>
            <w:vAlign w:val="bottom"/>
          </w:tcPr>
          <w:p>
            <w:pPr>
              <w:ind w:left="320"/>
              <w:spacing w:after="0"/>
              <w:rPr>
                <w:sz w:val="20"/>
                <w:szCs w:val="20"/>
                <w:color w:val="auto"/>
              </w:rPr>
            </w:pPr>
            <w:r>
              <w:rPr>
                <w:rFonts w:ascii="Arial" w:cs="Arial" w:eastAsia="Arial" w:hAnsi="Arial"/>
                <w:sz w:val="20"/>
                <w:szCs w:val="20"/>
                <w:color w:val="auto"/>
              </w:rPr>
              <w:t>Gigawatts</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GWh</w:t>
            </w:r>
          </w:p>
        </w:tc>
        <w:tc>
          <w:tcPr>
            <w:tcW w:w="7620" w:type="dxa"/>
            <w:vAlign w:val="bottom"/>
          </w:tcPr>
          <w:p>
            <w:pPr>
              <w:ind w:left="320"/>
              <w:spacing w:after="0"/>
              <w:rPr>
                <w:sz w:val="20"/>
                <w:szCs w:val="20"/>
                <w:color w:val="auto"/>
              </w:rPr>
            </w:pPr>
            <w:r>
              <w:rPr>
                <w:rFonts w:ascii="Arial" w:cs="Arial" w:eastAsia="Arial" w:hAnsi="Arial"/>
                <w:sz w:val="20"/>
                <w:szCs w:val="20"/>
                <w:color w:val="auto"/>
              </w:rPr>
              <w:t>Gigawatt Hours</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HDD</w:t>
            </w:r>
          </w:p>
        </w:tc>
        <w:tc>
          <w:tcPr>
            <w:tcW w:w="7620" w:type="dxa"/>
            <w:vAlign w:val="bottom"/>
          </w:tcPr>
          <w:p>
            <w:pPr>
              <w:ind w:left="320"/>
              <w:spacing w:after="0"/>
              <w:rPr>
                <w:sz w:val="20"/>
                <w:szCs w:val="20"/>
                <w:color w:val="auto"/>
              </w:rPr>
            </w:pPr>
            <w:r>
              <w:rPr>
                <w:rFonts w:ascii="Arial" w:cs="Arial" w:eastAsia="Arial" w:hAnsi="Arial"/>
                <w:sz w:val="20"/>
                <w:szCs w:val="20"/>
                <w:color w:val="auto"/>
              </w:rPr>
              <w:t>Heating Degree Day</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r>
              <w:rPr>
                <w:rFonts w:ascii="Arial" w:cs="Arial" w:eastAsia="Arial" w:hAnsi="Arial"/>
                <w:sz w:val="20"/>
                <w:szCs w:val="20"/>
                <w:color w:val="auto"/>
              </w:rPr>
              <w:t>Heat Rate</w:t>
            </w:r>
          </w:p>
        </w:tc>
        <w:tc>
          <w:tcPr>
            <w:tcW w:w="7620" w:type="dxa"/>
            <w:vAlign w:val="bottom"/>
          </w:tcPr>
          <w:p>
            <w:pPr>
              <w:ind w:left="320"/>
              <w:spacing w:after="0"/>
              <w:rPr>
                <w:sz w:val="20"/>
                <w:szCs w:val="20"/>
                <w:color w:val="auto"/>
              </w:rPr>
            </w:pPr>
            <w:r>
              <w:rPr>
                <w:rFonts w:ascii="Arial" w:cs="Arial" w:eastAsia="Arial" w:hAnsi="Arial"/>
                <w:sz w:val="20"/>
                <w:szCs w:val="20"/>
                <w:color w:val="auto"/>
                <w:w w:val="95"/>
              </w:rPr>
              <w:t>A measure of thermal efficiency computed by dividing the total BTU content of the fuel</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7620" w:type="dxa"/>
            <w:vAlign w:val="bottom"/>
          </w:tcPr>
          <w:p>
            <w:pPr>
              <w:ind w:left="320"/>
              <w:spacing w:after="0" w:line="198" w:lineRule="exact"/>
              <w:rPr>
                <w:sz w:val="20"/>
                <w:szCs w:val="20"/>
                <w:color w:val="auto"/>
              </w:rPr>
            </w:pPr>
            <w:r>
              <w:rPr>
                <w:rFonts w:ascii="Arial" w:cs="Arial" w:eastAsia="Arial" w:hAnsi="Arial"/>
                <w:sz w:val="20"/>
                <w:szCs w:val="20"/>
                <w:color w:val="auto"/>
                <w:w w:val="89"/>
              </w:rPr>
              <w:t>burned by the resulting kWhs generated. Heat rates can be expressed as either gross or net</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7620" w:type="dxa"/>
            <w:vAlign w:val="bottom"/>
          </w:tcPr>
          <w:p>
            <w:pPr>
              <w:ind w:left="320"/>
              <w:spacing w:after="0" w:line="198" w:lineRule="exact"/>
              <w:rPr>
                <w:sz w:val="20"/>
                <w:szCs w:val="20"/>
                <w:color w:val="auto"/>
              </w:rPr>
            </w:pPr>
            <w:r>
              <w:rPr>
                <w:rFonts w:ascii="Arial" w:cs="Arial" w:eastAsia="Arial" w:hAnsi="Arial"/>
                <w:sz w:val="20"/>
                <w:szCs w:val="20"/>
                <w:color w:val="auto"/>
                <w:w w:val="88"/>
              </w:rPr>
              <w:t>heat rates, depending whether the electricity output measured is gross or net generation and</w:t>
            </w:r>
          </w:p>
        </w:tc>
        <w:tc>
          <w:tcPr>
            <w:tcW w:w="0" w:type="dxa"/>
            <w:vAlign w:val="bottom"/>
          </w:tcPr>
          <w:p>
            <w:pPr>
              <w:spacing w:after="0"/>
              <w:rPr>
                <w:sz w:val="1"/>
                <w:szCs w:val="1"/>
                <w:color w:val="auto"/>
              </w:rPr>
            </w:pPr>
          </w:p>
        </w:tc>
      </w:tr>
      <w:tr>
        <w:trPr>
          <w:trHeight w:val="258"/>
        </w:trPr>
        <w:tc>
          <w:tcPr>
            <w:tcW w:w="2420" w:type="dxa"/>
            <w:vAlign w:val="bottom"/>
          </w:tcPr>
          <w:p>
            <w:pPr>
              <w:spacing w:after="0"/>
              <w:rPr>
                <w:sz w:val="22"/>
                <w:szCs w:val="22"/>
                <w:color w:val="auto"/>
              </w:rPr>
            </w:pPr>
          </w:p>
        </w:tc>
        <w:tc>
          <w:tcPr>
            <w:tcW w:w="7620" w:type="dxa"/>
            <w:vAlign w:val="bottom"/>
          </w:tcPr>
          <w:p>
            <w:pPr>
              <w:ind w:left="320"/>
              <w:spacing w:after="0"/>
              <w:rPr>
                <w:sz w:val="20"/>
                <w:szCs w:val="20"/>
                <w:color w:val="auto"/>
              </w:rPr>
            </w:pPr>
            <w:r>
              <w:rPr>
                <w:rFonts w:ascii="Arial" w:cs="Arial" w:eastAsia="Arial" w:hAnsi="Arial"/>
                <w:sz w:val="20"/>
                <w:szCs w:val="20"/>
                <w:color w:val="auto"/>
              </w:rPr>
              <w:t>is generally expressed as BTU per net kWh</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Home</w:t>
            </w:r>
          </w:p>
        </w:tc>
        <w:tc>
          <w:tcPr>
            <w:tcW w:w="7620" w:type="dxa"/>
            <w:vAlign w:val="bottom"/>
          </w:tcPr>
          <w:p>
            <w:pPr>
              <w:ind w:left="320"/>
              <w:spacing w:after="0"/>
              <w:rPr>
                <w:sz w:val="20"/>
                <w:szCs w:val="20"/>
                <w:color w:val="auto"/>
              </w:rPr>
            </w:pPr>
            <w:r>
              <w:rPr>
                <w:rFonts w:ascii="Arial" w:cs="Arial" w:eastAsia="Arial" w:hAnsi="Arial"/>
                <w:sz w:val="20"/>
                <w:szCs w:val="20"/>
                <w:color w:val="auto"/>
              </w:rPr>
              <w:t>NRG Home, which serves residential customers</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ICE</w:t>
            </w:r>
          </w:p>
        </w:tc>
        <w:tc>
          <w:tcPr>
            <w:tcW w:w="7620" w:type="dxa"/>
            <w:vAlign w:val="bottom"/>
          </w:tcPr>
          <w:p>
            <w:pPr>
              <w:ind w:left="320"/>
              <w:spacing w:after="0"/>
              <w:rPr>
                <w:sz w:val="20"/>
                <w:szCs w:val="20"/>
                <w:color w:val="auto"/>
              </w:rPr>
            </w:pPr>
            <w:r>
              <w:rPr>
                <w:rFonts w:ascii="Arial" w:cs="Arial" w:eastAsia="Arial" w:hAnsi="Arial"/>
                <w:sz w:val="20"/>
                <w:szCs w:val="20"/>
                <w:color w:val="auto"/>
              </w:rPr>
              <w:t>Intercontinental Exchange</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IoT</w:t>
            </w:r>
          </w:p>
        </w:tc>
        <w:tc>
          <w:tcPr>
            <w:tcW w:w="7620" w:type="dxa"/>
            <w:vAlign w:val="bottom"/>
          </w:tcPr>
          <w:p>
            <w:pPr>
              <w:ind w:left="320"/>
              <w:spacing w:after="0"/>
              <w:rPr>
                <w:sz w:val="20"/>
                <w:szCs w:val="20"/>
                <w:color w:val="auto"/>
              </w:rPr>
            </w:pPr>
            <w:r>
              <w:rPr>
                <w:rFonts w:ascii="Arial" w:cs="Arial" w:eastAsia="Arial" w:hAnsi="Arial"/>
                <w:sz w:val="20"/>
                <w:szCs w:val="20"/>
                <w:color w:val="auto"/>
              </w:rPr>
              <w:t>Internet of Things</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IRA</w:t>
            </w:r>
          </w:p>
        </w:tc>
        <w:tc>
          <w:tcPr>
            <w:tcW w:w="7620" w:type="dxa"/>
            <w:vAlign w:val="bottom"/>
          </w:tcPr>
          <w:p>
            <w:pPr>
              <w:ind w:left="320"/>
              <w:spacing w:after="0"/>
              <w:rPr>
                <w:sz w:val="20"/>
                <w:szCs w:val="20"/>
                <w:color w:val="auto"/>
              </w:rPr>
            </w:pPr>
            <w:r>
              <w:rPr>
                <w:rFonts w:ascii="Arial" w:cs="Arial" w:eastAsia="Arial" w:hAnsi="Arial"/>
                <w:sz w:val="20"/>
                <w:szCs w:val="20"/>
                <w:color w:val="auto"/>
              </w:rPr>
              <w:t>Inflation Reduction Act</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ISO</w:t>
            </w:r>
          </w:p>
        </w:tc>
        <w:tc>
          <w:tcPr>
            <w:tcW w:w="7620" w:type="dxa"/>
            <w:vAlign w:val="bottom"/>
          </w:tcPr>
          <w:p>
            <w:pPr>
              <w:ind w:left="320"/>
              <w:spacing w:after="0"/>
              <w:rPr>
                <w:sz w:val="20"/>
                <w:szCs w:val="20"/>
                <w:color w:val="auto"/>
              </w:rPr>
            </w:pPr>
            <w:r>
              <w:rPr>
                <w:rFonts w:ascii="Arial" w:cs="Arial" w:eastAsia="Arial" w:hAnsi="Arial"/>
                <w:sz w:val="20"/>
                <w:szCs w:val="20"/>
                <w:color w:val="auto"/>
              </w:rPr>
              <w:t>Independent System Operator, also referred to as RTOs</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ISO-NE</w:t>
            </w:r>
          </w:p>
        </w:tc>
        <w:tc>
          <w:tcPr>
            <w:tcW w:w="7620" w:type="dxa"/>
            <w:vAlign w:val="bottom"/>
          </w:tcPr>
          <w:p>
            <w:pPr>
              <w:ind w:left="320"/>
              <w:spacing w:after="0"/>
              <w:rPr>
                <w:sz w:val="20"/>
                <w:szCs w:val="20"/>
                <w:color w:val="auto"/>
              </w:rPr>
            </w:pPr>
            <w:r>
              <w:rPr>
                <w:rFonts w:ascii="Arial" w:cs="Arial" w:eastAsia="Arial" w:hAnsi="Arial"/>
                <w:sz w:val="20"/>
                <w:szCs w:val="20"/>
                <w:color w:val="auto"/>
              </w:rPr>
              <w:t>ISO New England Inc.</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r>
              <w:rPr>
                <w:rFonts w:ascii="Arial" w:cs="Arial" w:eastAsia="Arial" w:hAnsi="Arial"/>
                <w:sz w:val="20"/>
                <w:szCs w:val="20"/>
                <w:color w:val="auto"/>
              </w:rPr>
              <w:t>Ivanpah</w:t>
            </w:r>
          </w:p>
        </w:tc>
        <w:tc>
          <w:tcPr>
            <w:tcW w:w="7620" w:type="dxa"/>
            <w:vAlign w:val="bottom"/>
          </w:tcPr>
          <w:p>
            <w:pPr>
              <w:ind w:left="320"/>
              <w:spacing w:after="0"/>
              <w:rPr>
                <w:sz w:val="20"/>
                <w:szCs w:val="20"/>
                <w:color w:val="auto"/>
              </w:rPr>
            </w:pPr>
            <w:r>
              <w:rPr>
                <w:rFonts w:ascii="Arial" w:cs="Arial" w:eastAsia="Arial" w:hAnsi="Arial"/>
                <w:sz w:val="20"/>
                <w:szCs w:val="20"/>
                <w:color w:val="auto"/>
                <w:w w:val="92"/>
              </w:rPr>
              <w:t>Ivanpah Solar Electric Generation Station, a 385 MW solar thermal power plant located in</w:t>
            </w:r>
          </w:p>
        </w:tc>
        <w:tc>
          <w:tcPr>
            <w:tcW w:w="0" w:type="dxa"/>
            <w:vAlign w:val="bottom"/>
          </w:tcPr>
          <w:p>
            <w:pPr>
              <w:spacing w:after="0"/>
              <w:rPr>
                <w:sz w:val="1"/>
                <w:szCs w:val="1"/>
                <w:color w:val="auto"/>
              </w:rPr>
            </w:pPr>
          </w:p>
        </w:tc>
      </w:tr>
      <w:tr>
        <w:trPr>
          <w:trHeight w:val="258"/>
        </w:trPr>
        <w:tc>
          <w:tcPr>
            <w:tcW w:w="2420" w:type="dxa"/>
            <w:vAlign w:val="bottom"/>
          </w:tcPr>
          <w:p>
            <w:pPr>
              <w:spacing w:after="0"/>
              <w:rPr>
                <w:sz w:val="22"/>
                <w:szCs w:val="22"/>
                <w:color w:val="auto"/>
              </w:rPr>
            </w:pPr>
          </w:p>
        </w:tc>
        <w:tc>
          <w:tcPr>
            <w:tcW w:w="7620" w:type="dxa"/>
            <w:vAlign w:val="bottom"/>
          </w:tcPr>
          <w:p>
            <w:pPr>
              <w:ind w:left="320"/>
              <w:spacing w:after="0"/>
              <w:rPr>
                <w:sz w:val="20"/>
                <w:szCs w:val="20"/>
                <w:color w:val="auto"/>
              </w:rPr>
            </w:pPr>
            <w:r>
              <w:rPr>
                <w:rFonts w:ascii="Arial" w:cs="Arial" w:eastAsia="Arial" w:hAnsi="Arial"/>
                <w:sz w:val="20"/>
                <w:szCs w:val="20"/>
                <w:color w:val="auto"/>
              </w:rPr>
              <w:t>California's Mojave Desert in which NRG owns 54.5% interest</w:t>
            </w:r>
          </w:p>
        </w:tc>
        <w:tc>
          <w:tcPr>
            <w:tcW w:w="0" w:type="dxa"/>
            <w:vAlign w:val="bottom"/>
          </w:tcPr>
          <w:p>
            <w:pPr>
              <w:spacing w:after="0"/>
              <w:rPr>
                <w:sz w:val="1"/>
                <w:szCs w:val="1"/>
                <w:color w:val="auto"/>
              </w:rPr>
            </w:pPr>
          </w:p>
        </w:tc>
      </w:tr>
      <w:tr>
        <w:trPr>
          <w:trHeight w:val="292"/>
        </w:trPr>
        <w:tc>
          <w:tcPr>
            <w:tcW w:w="2420" w:type="dxa"/>
            <w:vAlign w:val="bottom"/>
          </w:tcPr>
          <w:p>
            <w:pPr>
              <w:spacing w:after="0"/>
              <w:rPr>
                <w:sz w:val="20"/>
                <w:szCs w:val="20"/>
                <w:color w:val="auto"/>
              </w:rPr>
            </w:pPr>
            <w:r>
              <w:rPr>
                <w:rFonts w:ascii="Arial" w:cs="Arial" w:eastAsia="Arial" w:hAnsi="Arial"/>
                <w:sz w:val="20"/>
                <w:szCs w:val="20"/>
                <w:color w:val="auto"/>
              </w:rPr>
              <w:t>kWh</w:t>
            </w:r>
          </w:p>
        </w:tc>
        <w:tc>
          <w:tcPr>
            <w:tcW w:w="7620" w:type="dxa"/>
            <w:vAlign w:val="bottom"/>
          </w:tcPr>
          <w:p>
            <w:pPr>
              <w:ind w:left="320"/>
              <w:spacing w:after="0"/>
              <w:rPr>
                <w:sz w:val="20"/>
                <w:szCs w:val="20"/>
                <w:color w:val="auto"/>
              </w:rPr>
            </w:pPr>
            <w:r>
              <w:rPr>
                <w:rFonts w:ascii="Arial" w:cs="Arial" w:eastAsia="Arial" w:hAnsi="Arial"/>
                <w:sz w:val="20"/>
                <w:szCs w:val="20"/>
                <w:color w:val="auto"/>
              </w:rPr>
              <w:t>Kilowatt-hours</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LSEs</w:t>
            </w:r>
          </w:p>
        </w:tc>
        <w:tc>
          <w:tcPr>
            <w:tcW w:w="7620" w:type="dxa"/>
            <w:vAlign w:val="bottom"/>
          </w:tcPr>
          <w:p>
            <w:pPr>
              <w:ind w:left="320"/>
              <w:spacing w:after="0"/>
              <w:rPr>
                <w:sz w:val="20"/>
                <w:szCs w:val="20"/>
                <w:color w:val="auto"/>
              </w:rPr>
            </w:pPr>
            <w:r>
              <w:rPr>
                <w:rFonts w:ascii="Arial" w:cs="Arial" w:eastAsia="Arial" w:hAnsi="Arial"/>
                <w:sz w:val="20"/>
                <w:szCs w:val="20"/>
                <w:color w:val="auto"/>
              </w:rPr>
              <w:t>Load Serving Entities</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LTIPs</w:t>
            </w:r>
          </w:p>
        </w:tc>
        <w:tc>
          <w:tcPr>
            <w:tcW w:w="7620" w:type="dxa"/>
            <w:vAlign w:val="bottom"/>
          </w:tcPr>
          <w:p>
            <w:pPr>
              <w:ind w:left="320"/>
              <w:spacing w:after="0"/>
              <w:rPr>
                <w:sz w:val="20"/>
                <w:szCs w:val="20"/>
                <w:color w:val="auto"/>
              </w:rPr>
            </w:pPr>
            <w:r>
              <w:rPr>
                <w:rFonts w:ascii="Arial" w:cs="Arial" w:eastAsia="Arial" w:hAnsi="Arial"/>
                <w:sz w:val="20"/>
                <w:szCs w:val="20"/>
                <w:color w:val="auto"/>
              </w:rPr>
              <w:t>Collectively, the NRG LTIP and the Vivint LTIP</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MDth</w:t>
            </w:r>
          </w:p>
        </w:tc>
        <w:tc>
          <w:tcPr>
            <w:tcW w:w="7620" w:type="dxa"/>
            <w:vAlign w:val="bottom"/>
          </w:tcPr>
          <w:p>
            <w:pPr>
              <w:ind w:left="320"/>
              <w:spacing w:after="0"/>
              <w:rPr>
                <w:sz w:val="20"/>
                <w:szCs w:val="20"/>
                <w:color w:val="auto"/>
              </w:rPr>
            </w:pPr>
            <w:r>
              <w:rPr>
                <w:rFonts w:ascii="Arial" w:cs="Arial" w:eastAsia="Arial" w:hAnsi="Arial"/>
                <w:sz w:val="20"/>
                <w:szCs w:val="20"/>
                <w:color w:val="auto"/>
              </w:rPr>
              <w:t>Thousand Dekatherms</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Midwest Generation</w:t>
            </w:r>
          </w:p>
        </w:tc>
        <w:tc>
          <w:tcPr>
            <w:tcW w:w="7620" w:type="dxa"/>
            <w:vAlign w:val="bottom"/>
          </w:tcPr>
          <w:p>
            <w:pPr>
              <w:ind w:left="320"/>
              <w:spacing w:after="0"/>
              <w:rPr>
                <w:sz w:val="20"/>
                <w:szCs w:val="20"/>
                <w:color w:val="auto"/>
              </w:rPr>
            </w:pPr>
            <w:r>
              <w:rPr>
                <w:rFonts w:ascii="Arial" w:cs="Arial" w:eastAsia="Arial" w:hAnsi="Arial"/>
                <w:sz w:val="20"/>
                <w:szCs w:val="20"/>
                <w:color w:val="auto"/>
              </w:rPr>
              <w:t>Midwest Generation, LLC</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MISO</w:t>
            </w:r>
          </w:p>
        </w:tc>
        <w:tc>
          <w:tcPr>
            <w:tcW w:w="7620" w:type="dxa"/>
            <w:vAlign w:val="bottom"/>
          </w:tcPr>
          <w:p>
            <w:pPr>
              <w:ind w:left="320"/>
              <w:spacing w:after="0"/>
              <w:rPr>
                <w:sz w:val="20"/>
                <w:szCs w:val="20"/>
                <w:color w:val="auto"/>
              </w:rPr>
            </w:pPr>
            <w:r>
              <w:rPr>
                <w:rFonts w:ascii="Arial" w:cs="Arial" w:eastAsia="Arial" w:hAnsi="Arial"/>
                <w:sz w:val="20"/>
                <w:szCs w:val="20"/>
                <w:color w:val="auto"/>
              </w:rPr>
              <w:t>Midcontinent Independent System Operator, Inc.</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MMBtu</w:t>
            </w:r>
          </w:p>
        </w:tc>
        <w:tc>
          <w:tcPr>
            <w:tcW w:w="7620" w:type="dxa"/>
            <w:vAlign w:val="bottom"/>
          </w:tcPr>
          <w:p>
            <w:pPr>
              <w:ind w:left="320"/>
              <w:spacing w:after="0"/>
              <w:rPr>
                <w:sz w:val="20"/>
                <w:szCs w:val="20"/>
                <w:color w:val="auto"/>
              </w:rPr>
            </w:pPr>
            <w:r>
              <w:rPr>
                <w:rFonts w:ascii="Arial" w:cs="Arial" w:eastAsia="Arial" w:hAnsi="Arial"/>
                <w:sz w:val="20"/>
                <w:szCs w:val="20"/>
                <w:color w:val="auto"/>
              </w:rPr>
              <w:t>Million British Thermal Units</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MMDth</w:t>
            </w:r>
          </w:p>
        </w:tc>
        <w:tc>
          <w:tcPr>
            <w:tcW w:w="7620" w:type="dxa"/>
            <w:vAlign w:val="bottom"/>
          </w:tcPr>
          <w:p>
            <w:pPr>
              <w:ind w:left="320"/>
              <w:spacing w:after="0"/>
              <w:rPr>
                <w:sz w:val="20"/>
                <w:szCs w:val="20"/>
                <w:color w:val="auto"/>
              </w:rPr>
            </w:pPr>
            <w:r>
              <w:rPr>
                <w:rFonts w:ascii="Arial" w:cs="Arial" w:eastAsia="Arial" w:hAnsi="Arial"/>
                <w:sz w:val="20"/>
                <w:szCs w:val="20"/>
                <w:color w:val="auto"/>
              </w:rPr>
              <w:t>Million Dekatherms</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MW</w:t>
            </w:r>
          </w:p>
        </w:tc>
        <w:tc>
          <w:tcPr>
            <w:tcW w:w="7620" w:type="dxa"/>
            <w:vAlign w:val="bottom"/>
          </w:tcPr>
          <w:p>
            <w:pPr>
              <w:ind w:left="320"/>
              <w:spacing w:after="0"/>
              <w:rPr>
                <w:sz w:val="20"/>
                <w:szCs w:val="20"/>
                <w:color w:val="auto"/>
              </w:rPr>
            </w:pPr>
            <w:r>
              <w:rPr>
                <w:rFonts w:ascii="Arial" w:cs="Arial" w:eastAsia="Arial" w:hAnsi="Arial"/>
                <w:sz w:val="20"/>
                <w:szCs w:val="20"/>
                <w:color w:val="auto"/>
              </w:rPr>
              <w:t>Megawatts</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MWh</w:t>
            </w:r>
          </w:p>
        </w:tc>
        <w:tc>
          <w:tcPr>
            <w:tcW w:w="7620" w:type="dxa"/>
            <w:vAlign w:val="bottom"/>
          </w:tcPr>
          <w:p>
            <w:pPr>
              <w:ind w:left="320"/>
              <w:spacing w:after="0"/>
              <w:rPr>
                <w:sz w:val="20"/>
                <w:szCs w:val="20"/>
                <w:color w:val="auto"/>
              </w:rPr>
            </w:pPr>
            <w:r>
              <w:rPr>
                <w:rFonts w:ascii="Arial" w:cs="Arial" w:eastAsia="Arial" w:hAnsi="Arial"/>
                <w:sz w:val="20"/>
                <w:szCs w:val="20"/>
                <w:color w:val="auto"/>
              </w:rPr>
              <w:t>Saleable megawatt hour net of internal/parasitic load megawatt-hour</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NAAQS</w:t>
            </w:r>
          </w:p>
        </w:tc>
        <w:tc>
          <w:tcPr>
            <w:tcW w:w="7620" w:type="dxa"/>
            <w:vAlign w:val="bottom"/>
          </w:tcPr>
          <w:p>
            <w:pPr>
              <w:ind w:left="320"/>
              <w:spacing w:after="0"/>
              <w:rPr>
                <w:sz w:val="20"/>
                <w:szCs w:val="20"/>
                <w:color w:val="auto"/>
              </w:rPr>
            </w:pPr>
            <w:r>
              <w:rPr>
                <w:rFonts w:ascii="Arial" w:cs="Arial" w:eastAsia="Arial" w:hAnsi="Arial"/>
                <w:sz w:val="20"/>
                <w:szCs w:val="20"/>
                <w:color w:val="auto"/>
              </w:rPr>
              <w:t>National Ambient Air Quality Standards</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NEPOOL</w:t>
            </w:r>
          </w:p>
        </w:tc>
        <w:tc>
          <w:tcPr>
            <w:tcW w:w="7620" w:type="dxa"/>
            <w:vAlign w:val="bottom"/>
          </w:tcPr>
          <w:p>
            <w:pPr>
              <w:ind w:left="320"/>
              <w:spacing w:after="0"/>
              <w:rPr>
                <w:sz w:val="20"/>
                <w:szCs w:val="20"/>
                <w:color w:val="auto"/>
              </w:rPr>
            </w:pPr>
            <w:r>
              <w:rPr>
                <w:rFonts w:ascii="Arial" w:cs="Arial" w:eastAsia="Arial" w:hAnsi="Arial"/>
                <w:sz w:val="20"/>
                <w:szCs w:val="20"/>
                <w:color w:val="auto"/>
              </w:rPr>
              <w:t>New England Power Pool</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NERC</w:t>
            </w:r>
          </w:p>
        </w:tc>
        <w:tc>
          <w:tcPr>
            <w:tcW w:w="7620" w:type="dxa"/>
            <w:vAlign w:val="bottom"/>
          </w:tcPr>
          <w:p>
            <w:pPr>
              <w:ind w:left="320"/>
              <w:spacing w:after="0"/>
              <w:rPr>
                <w:sz w:val="20"/>
                <w:szCs w:val="20"/>
                <w:color w:val="auto"/>
              </w:rPr>
            </w:pPr>
            <w:r>
              <w:rPr>
                <w:rFonts w:ascii="Arial" w:cs="Arial" w:eastAsia="Arial" w:hAnsi="Arial"/>
                <w:sz w:val="20"/>
                <w:szCs w:val="20"/>
                <w:color w:val="auto"/>
              </w:rPr>
              <w:t>North American Electric Reliability Corporation</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NERC-CIP</w:t>
            </w:r>
          </w:p>
        </w:tc>
        <w:tc>
          <w:tcPr>
            <w:tcW w:w="7620" w:type="dxa"/>
            <w:vAlign w:val="bottom"/>
          </w:tcPr>
          <w:p>
            <w:pPr>
              <w:ind w:left="320"/>
              <w:spacing w:after="0"/>
              <w:rPr>
                <w:sz w:val="20"/>
                <w:szCs w:val="20"/>
                <w:color w:val="auto"/>
              </w:rPr>
            </w:pPr>
            <w:r>
              <w:rPr>
                <w:rFonts w:ascii="Arial" w:cs="Arial" w:eastAsia="Arial" w:hAnsi="Arial"/>
                <w:sz w:val="20"/>
                <w:szCs w:val="20"/>
                <w:color w:val="auto"/>
              </w:rPr>
              <w:t>North American Electric Reliability Corporation Critical Infrastructure Protection</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Net Exposure</w:t>
            </w:r>
          </w:p>
        </w:tc>
        <w:tc>
          <w:tcPr>
            <w:tcW w:w="7620" w:type="dxa"/>
            <w:vAlign w:val="bottom"/>
          </w:tcPr>
          <w:p>
            <w:pPr>
              <w:ind w:left="320"/>
              <w:spacing w:after="0"/>
              <w:rPr>
                <w:sz w:val="20"/>
                <w:szCs w:val="20"/>
                <w:color w:val="auto"/>
              </w:rPr>
            </w:pPr>
            <w:r>
              <w:rPr>
                <w:rFonts w:ascii="Arial" w:cs="Arial" w:eastAsia="Arial" w:hAnsi="Arial"/>
                <w:sz w:val="20"/>
                <w:szCs w:val="20"/>
                <w:color w:val="auto"/>
              </w:rPr>
              <w:t>Counterparty credit exposure to NRG, net of collateral</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r>
              <w:rPr>
                <w:rFonts w:ascii="Arial" w:cs="Arial" w:eastAsia="Arial" w:hAnsi="Arial"/>
                <w:sz w:val="20"/>
                <w:szCs w:val="20"/>
                <w:color w:val="auto"/>
              </w:rPr>
              <w:t>Net Generation</w:t>
            </w:r>
          </w:p>
        </w:tc>
        <w:tc>
          <w:tcPr>
            <w:tcW w:w="7620" w:type="dxa"/>
            <w:vAlign w:val="bottom"/>
          </w:tcPr>
          <w:p>
            <w:pPr>
              <w:ind w:left="320"/>
              <w:spacing w:after="0"/>
              <w:rPr>
                <w:sz w:val="20"/>
                <w:szCs w:val="20"/>
                <w:color w:val="auto"/>
              </w:rPr>
            </w:pPr>
            <w:r>
              <w:rPr>
                <w:rFonts w:ascii="Arial" w:cs="Arial" w:eastAsia="Arial" w:hAnsi="Arial"/>
                <w:sz w:val="20"/>
                <w:szCs w:val="20"/>
                <w:color w:val="auto"/>
                <w:w w:val="97"/>
              </w:rPr>
              <w:t>The net amount of electricity produced, expressed in kWhs or MWhs, that is the total</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7620" w:type="dxa"/>
            <w:vAlign w:val="bottom"/>
          </w:tcPr>
          <w:p>
            <w:pPr>
              <w:ind w:left="320"/>
              <w:spacing w:after="0" w:line="198" w:lineRule="exact"/>
              <w:rPr>
                <w:sz w:val="20"/>
                <w:szCs w:val="20"/>
                <w:color w:val="auto"/>
              </w:rPr>
            </w:pPr>
            <w:r>
              <w:rPr>
                <w:rFonts w:ascii="Arial" w:cs="Arial" w:eastAsia="Arial" w:hAnsi="Arial"/>
                <w:sz w:val="20"/>
                <w:szCs w:val="20"/>
                <w:color w:val="auto"/>
              </w:rPr>
              <w:t>amount of electricity generated (gross) minus the amount of electricity used during</w:t>
            </w:r>
          </w:p>
        </w:tc>
        <w:tc>
          <w:tcPr>
            <w:tcW w:w="0" w:type="dxa"/>
            <w:vAlign w:val="bottom"/>
          </w:tcPr>
          <w:p>
            <w:pPr>
              <w:spacing w:after="0"/>
              <w:rPr>
                <w:sz w:val="1"/>
                <w:szCs w:val="1"/>
                <w:color w:val="auto"/>
              </w:rPr>
            </w:pPr>
          </w:p>
        </w:tc>
      </w:tr>
      <w:tr>
        <w:trPr>
          <w:trHeight w:val="258"/>
        </w:trPr>
        <w:tc>
          <w:tcPr>
            <w:tcW w:w="2420" w:type="dxa"/>
            <w:vAlign w:val="bottom"/>
          </w:tcPr>
          <w:p>
            <w:pPr>
              <w:spacing w:after="0"/>
              <w:rPr>
                <w:sz w:val="22"/>
                <w:szCs w:val="22"/>
                <w:color w:val="auto"/>
              </w:rPr>
            </w:pPr>
          </w:p>
        </w:tc>
        <w:tc>
          <w:tcPr>
            <w:tcW w:w="7620" w:type="dxa"/>
            <w:vAlign w:val="bottom"/>
          </w:tcPr>
          <w:p>
            <w:pPr>
              <w:ind w:left="320"/>
              <w:spacing w:after="0"/>
              <w:rPr>
                <w:sz w:val="20"/>
                <w:szCs w:val="20"/>
                <w:color w:val="auto"/>
              </w:rPr>
            </w:pPr>
            <w:r>
              <w:rPr>
                <w:rFonts w:ascii="Arial" w:cs="Arial" w:eastAsia="Arial" w:hAnsi="Arial"/>
                <w:sz w:val="20"/>
                <w:szCs w:val="20"/>
                <w:color w:val="auto"/>
              </w:rPr>
              <w:t>generation</w:t>
            </w:r>
          </w:p>
        </w:tc>
        <w:tc>
          <w:tcPr>
            <w:tcW w:w="0" w:type="dxa"/>
            <w:vAlign w:val="bottom"/>
          </w:tcPr>
          <w:p>
            <w:pPr>
              <w:spacing w:after="0"/>
              <w:rPr>
                <w:sz w:val="1"/>
                <w:szCs w:val="1"/>
                <w:color w:val="auto"/>
              </w:rPr>
            </w:pPr>
          </w:p>
        </w:tc>
      </w:tr>
      <w:tr>
        <w:trPr>
          <w:trHeight w:val="302"/>
        </w:trPr>
        <w:tc>
          <w:tcPr>
            <w:tcW w:w="2420" w:type="dxa"/>
            <w:vAlign w:val="bottom"/>
          </w:tcPr>
          <w:p>
            <w:pPr>
              <w:spacing w:after="0"/>
              <w:rPr>
                <w:sz w:val="20"/>
                <w:szCs w:val="20"/>
                <w:color w:val="auto"/>
              </w:rPr>
            </w:pPr>
            <w:r>
              <w:rPr>
                <w:rFonts w:ascii="Arial" w:cs="Arial" w:eastAsia="Arial" w:hAnsi="Arial"/>
                <w:sz w:val="20"/>
                <w:szCs w:val="20"/>
                <w:color w:val="auto"/>
              </w:rPr>
              <w:t>NIST</w:t>
            </w:r>
          </w:p>
        </w:tc>
        <w:tc>
          <w:tcPr>
            <w:tcW w:w="7620" w:type="dxa"/>
            <w:vAlign w:val="bottom"/>
          </w:tcPr>
          <w:p>
            <w:pPr>
              <w:ind w:left="320"/>
              <w:spacing w:after="0"/>
              <w:rPr>
                <w:sz w:val="20"/>
                <w:szCs w:val="20"/>
                <w:color w:val="auto"/>
              </w:rPr>
            </w:pPr>
            <w:r>
              <w:rPr>
                <w:rFonts w:ascii="Arial" w:cs="Arial" w:eastAsia="Arial" w:hAnsi="Arial"/>
                <w:sz w:val="20"/>
                <w:szCs w:val="20"/>
                <w:color w:val="auto"/>
              </w:rPr>
              <w:t>National Institute of Standards and Technology</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Nodal</w:t>
            </w:r>
          </w:p>
        </w:tc>
        <w:tc>
          <w:tcPr>
            <w:tcW w:w="7620" w:type="dxa"/>
            <w:vAlign w:val="bottom"/>
          </w:tcPr>
          <w:p>
            <w:pPr>
              <w:ind w:left="320"/>
              <w:spacing w:after="0"/>
              <w:rPr>
                <w:sz w:val="20"/>
                <w:szCs w:val="20"/>
                <w:color w:val="auto"/>
              </w:rPr>
            </w:pPr>
            <w:r>
              <w:rPr>
                <w:rFonts w:ascii="Arial" w:cs="Arial" w:eastAsia="Arial" w:hAnsi="Arial"/>
                <w:sz w:val="20"/>
                <w:szCs w:val="20"/>
                <w:color w:val="auto"/>
              </w:rPr>
              <w:t>Nodal Exchange is a derivatives exchange</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NOL</w:t>
            </w:r>
          </w:p>
        </w:tc>
        <w:tc>
          <w:tcPr>
            <w:tcW w:w="7620" w:type="dxa"/>
            <w:vAlign w:val="bottom"/>
          </w:tcPr>
          <w:p>
            <w:pPr>
              <w:ind w:left="320"/>
              <w:spacing w:after="0"/>
              <w:rPr>
                <w:sz w:val="20"/>
                <w:szCs w:val="20"/>
                <w:color w:val="auto"/>
              </w:rPr>
            </w:pPr>
            <w:r>
              <w:rPr>
                <w:rFonts w:ascii="Arial" w:cs="Arial" w:eastAsia="Arial" w:hAnsi="Arial"/>
                <w:sz w:val="20"/>
                <w:szCs w:val="20"/>
                <w:color w:val="auto"/>
              </w:rPr>
              <w:t>Net Operating Loss</w:t>
            </w:r>
          </w:p>
        </w:tc>
        <w:tc>
          <w:tcPr>
            <w:tcW w:w="0" w:type="dxa"/>
            <w:vAlign w:val="bottom"/>
          </w:tcPr>
          <w:p>
            <w:pPr>
              <w:spacing w:after="0"/>
              <w:rPr>
                <w:sz w:val="1"/>
                <w:szCs w:val="1"/>
                <w:color w:val="auto"/>
              </w:rPr>
            </w:pPr>
          </w:p>
        </w:tc>
      </w:tr>
      <w:tr>
        <w:trPr>
          <w:trHeight w:val="336"/>
        </w:trPr>
        <w:tc>
          <w:tcPr>
            <w:tcW w:w="2420" w:type="dxa"/>
            <w:vAlign w:val="bottom"/>
          </w:tcPr>
          <w:p>
            <w:pPr>
              <w:spacing w:after="0"/>
              <w:rPr>
                <w:sz w:val="20"/>
                <w:szCs w:val="20"/>
                <w:color w:val="auto"/>
              </w:rPr>
            </w:pPr>
            <w:r>
              <w:rPr>
                <w:rFonts w:ascii="Arial" w:cs="Arial" w:eastAsia="Arial" w:hAnsi="Arial"/>
                <w:sz w:val="20"/>
                <w:szCs w:val="20"/>
                <w:color w:val="auto"/>
              </w:rPr>
              <w:t>NO</w:t>
            </w:r>
            <w:r>
              <w:rPr>
                <w:rFonts w:ascii="Arial" w:cs="Arial" w:eastAsia="Arial" w:hAnsi="Arial"/>
                <w:sz w:val="25"/>
                <w:szCs w:val="25"/>
                <w:color w:val="auto"/>
                <w:vertAlign w:val="subscript"/>
              </w:rPr>
              <w:t>x</w:t>
            </w:r>
          </w:p>
        </w:tc>
        <w:tc>
          <w:tcPr>
            <w:tcW w:w="7620" w:type="dxa"/>
            <w:vAlign w:val="bottom"/>
          </w:tcPr>
          <w:p>
            <w:pPr>
              <w:ind w:left="320"/>
              <w:spacing w:after="0"/>
              <w:rPr>
                <w:sz w:val="20"/>
                <w:szCs w:val="20"/>
                <w:color w:val="auto"/>
              </w:rPr>
            </w:pPr>
            <w:r>
              <w:rPr>
                <w:rFonts w:ascii="Arial" w:cs="Arial" w:eastAsia="Arial" w:hAnsi="Arial"/>
                <w:sz w:val="20"/>
                <w:szCs w:val="20"/>
                <w:color w:val="auto"/>
              </w:rPr>
              <w:t>Nitrogen Oxides</w:t>
            </w:r>
          </w:p>
        </w:tc>
        <w:tc>
          <w:tcPr>
            <w:tcW w:w="0" w:type="dxa"/>
            <w:vAlign w:val="bottom"/>
          </w:tcPr>
          <w:p>
            <w:pPr>
              <w:spacing w:after="0"/>
              <w:rPr>
                <w:sz w:val="1"/>
                <w:szCs w:val="1"/>
                <w:color w:val="auto"/>
              </w:rPr>
            </w:pPr>
          </w:p>
        </w:tc>
      </w:tr>
      <w:tr>
        <w:trPr>
          <w:trHeight w:val="258"/>
        </w:trPr>
        <w:tc>
          <w:tcPr>
            <w:tcW w:w="2420" w:type="dxa"/>
            <w:vAlign w:val="bottom"/>
          </w:tcPr>
          <w:p>
            <w:pPr>
              <w:spacing w:after="0"/>
              <w:rPr>
                <w:sz w:val="20"/>
                <w:szCs w:val="20"/>
                <w:color w:val="auto"/>
              </w:rPr>
            </w:pPr>
            <w:r>
              <w:rPr>
                <w:rFonts w:ascii="Arial" w:cs="Arial" w:eastAsia="Arial" w:hAnsi="Arial"/>
                <w:sz w:val="20"/>
                <w:szCs w:val="20"/>
                <w:color w:val="auto"/>
              </w:rPr>
              <w:t>NPNS</w:t>
            </w:r>
          </w:p>
        </w:tc>
        <w:tc>
          <w:tcPr>
            <w:tcW w:w="7620" w:type="dxa"/>
            <w:vAlign w:val="bottom"/>
          </w:tcPr>
          <w:p>
            <w:pPr>
              <w:ind w:left="320"/>
              <w:spacing w:after="0"/>
              <w:rPr>
                <w:sz w:val="20"/>
                <w:szCs w:val="20"/>
                <w:color w:val="auto"/>
              </w:rPr>
            </w:pPr>
            <w:r>
              <w:rPr>
                <w:rFonts w:ascii="Arial" w:cs="Arial" w:eastAsia="Arial" w:hAnsi="Arial"/>
                <w:sz w:val="20"/>
                <w:szCs w:val="20"/>
                <w:color w:val="auto"/>
              </w:rPr>
              <w:t>Normal Purchase Normal Sale</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NRC</w:t>
            </w:r>
          </w:p>
        </w:tc>
        <w:tc>
          <w:tcPr>
            <w:tcW w:w="7620" w:type="dxa"/>
            <w:vAlign w:val="bottom"/>
          </w:tcPr>
          <w:p>
            <w:pPr>
              <w:ind w:left="320"/>
              <w:spacing w:after="0"/>
              <w:rPr>
                <w:sz w:val="20"/>
                <w:szCs w:val="20"/>
                <w:color w:val="auto"/>
              </w:rPr>
            </w:pPr>
            <w:r>
              <w:rPr>
                <w:rFonts w:ascii="Arial" w:cs="Arial" w:eastAsia="Arial" w:hAnsi="Arial"/>
                <w:sz w:val="20"/>
                <w:szCs w:val="20"/>
                <w:color w:val="auto"/>
              </w:rPr>
              <w:t>U.S. Nuclear Regulatory Commission</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NRG</w:t>
            </w:r>
          </w:p>
        </w:tc>
        <w:tc>
          <w:tcPr>
            <w:tcW w:w="7620" w:type="dxa"/>
            <w:vAlign w:val="bottom"/>
          </w:tcPr>
          <w:p>
            <w:pPr>
              <w:ind w:left="320"/>
              <w:spacing w:after="0"/>
              <w:rPr>
                <w:sz w:val="20"/>
                <w:szCs w:val="20"/>
                <w:color w:val="auto"/>
              </w:rPr>
            </w:pPr>
            <w:r>
              <w:rPr>
                <w:rFonts w:ascii="Arial" w:cs="Arial" w:eastAsia="Arial" w:hAnsi="Arial"/>
                <w:sz w:val="20"/>
                <w:szCs w:val="20"/>
                <w:color w:val="auto"/>
              </w:rPr>
              <w:t>NRG Energy, Inc.</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NRG LTIP</w:t>
            </w:r>
          </w:p>
        </w:tc>
        <w:tc>
          <w:tcPr>
            <w:tcW w:w="7620" w:type="dxa"/>
            <w:vAlign w:val="bottom"/>
          </w:tcPr>
          <w:p>
            <w:pPr>
              <w:ind w:left="320"/>
              <w:spacing w:after="0"/>
              <w:rPr>
                <w:sz w:val="20"/>
                <w:szCs w:val="20"/>
                <w:color w:val="auto"/>
              </w:rPr>
            </w:pPr>
            <w:r>
              <w:rPr>
                <w:rFonts w:ascii="Arial" w:cs="Arial" w:eastAsia="Arial" w:hAnsi="Arial"/>
                <w:sz w:val="20"/>
                <w:szCs w:val="20"/>
                <w:color w:val="auto"/>
                <w:w w:val="99"/>
              </w:rPr>
              <w:t>NRG Energy, Inc. Amended and Restated Long-Term Incentive Plan, as amended</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r>
              <w:rPr>
                <w:rFonts w:ascii="Arial" w:cs="Arial" w:eastAsia="Arial" w:hAnsi="Arial"/>
                <w:sz w:val="20"/>
                <w:szCs w:val="20"/>
                <w:color w:val="auto"/>
              </w:rPr>
              <w:t>Nuclear Decommissioning</w:t>
            </w:r>
          </w:p>
        </w:tc>
        <w:tc>
          <w:tcPr>
            <w:tcW w:w="7620" w:type="dxa"/>
            <w:vAlign w:val="bottom"/>
            <w:vMerge w:val="restart"/>
          </w:tcPr>
          <w:p>
            <w:pPr>
              <w:ind w:left="320"/>
              <w:spacing w:after="0"/>
              <w:rPr>
                <w:sz w:val="20"/>
                <w:szCs w:val="20"/>
                <w:color w:val="auto"/>
              </w:rPr>
            </w:pPr>
            <w:r>
              <w:rPr>
                <w:rFonts w:ascii="Arial" w:cs="Arial" w:eastAsia="Arial" w:hAnsi="Arial"/>
                <w:sz w:val="20"/>
                <w:szCs w:val="20"/>
                <w:color w:val="auto"/>
                <w:w w:val="89"/>
              </w:rPr>
              <w:t>NRG's nuclear decommissioning trust fund assets, which were for the Company's portion of</w:t>
            </w:r>
          </w:p>
        </w:tc>
        <w:tc>
          <w:tcPr>
            <w:tcW w:w="0" w:type="dxa"/>
            <w:vAlign w:val="bottom"/>
          </w:tcPr>
          <w:p>
            <w:pPr>
              <w:spacing w:after="0"/>
              <w:rPr>
                <w:sz w:val="1"/>
                <w:szCs w:val="1"/>
                <w:color w:val="auto"/>
              </w:rPr>
            </w:pPr>
          </w:p>
        </w:tc>
      </w:tr>
      <w:tr>
        <w:trPr>
          <w:trHeight w:val="68"/>
        </w:trPr>
        <w:tc>
          <w:tcPr>
            <w:tcW w:w="2420" w:type="dxa"/>
            <w:vAlign w:val="bottom"/>
            <w:vMerge w:val="restart"/>
          </w:tcPr>
          <w:p>
            <w:pPr>
              <w:spacing w:after="0"/>
              <w:rPr>
                <w:sz w:val="20"/>
                <w:szCs w:val="20"/>
                <w:color w:val="auto"/>
              </w:rPr>
            </w:pPr>
            <w:r>
              <w:rPr>
                <w:rFonts w:ascii="Arial" w:cs="Arial" w:eastAsia="Arial" w:hAnsi="Arial"/>
                <w:sz w:val="20"/>
                <w:szCs w:val="20"/>
                <w:color w:val="auto"/>
              </w:rPr>
              <w:t>Trust Fund</w:t>
            </w:r>
          </w:p>
        </w:tc>
        <w:tc>
          <w:tcPr>
            <w:tcW w:w="7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420" w:type="dxa"/>
            <w:vAlign w:val="bottom"/>
            <w:vMerge w:val="continue"/>
          </w:tcPr>
          <w:p>
            <w:pPr>
              <w:spacing w:after="0"/>
              <w:rPr>
                <w:sz w:val="16"/>
                <w:szCs w:val="16"/>
                <w:color w:val="auto"/>
              </w:rPr>
            </w:pPr>
          </w:p>
        </w:tc>
        <w:tc>
          <w:tcPr>
            <w:tcW w:w="7620" w:type="dxa"/>
            <w:vAlign w:val="bottom"/>
            <w:vMerge w:val="restart"/>
          </w:tcPr>
          <w:p>
            <w:pPr>
              <w:ind w:left="320"/>
              <w:spacing w:after="0"/>
              <w:rPr>
                <w:sz w:val="20"/>
                <w:szCs w:val="20"/>
                <w:color w:val="auto"/>
              </w:rPr>
            </w:pPr>
            <w:r>
              <w:rPr>
                <w:rFonts w:ascii="Arial" w:cs="Arial" w:eastAsia="Arial" w:hAnsi="Arial"/>
                <w:sz w:val="20"/>
                <w:szCs w:val="20"/>
                <w:color w:val="auto"/>
                <w:w w:val="90"/>
              </w:rPr>
              <w:t>the decommissioning of the STP, units 1 &amp; 2 through the sale of STP on November 1, 2023</w:t>
            </w: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7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420" w:type="dxa"/>
            <w:vAlign w:val="bottom"/>
          </w:tcPr>
          <w:p>
            <w:pPr>
              <w:spacing w:after="0"/>
              <w:rPr>
                <w:sz w:val="20"/>
                <w:szCs w:val="20"/>
                <w:color w:val="auto"/>
              </w:rPr>
            </w:pPr>
            <w:r>
              <w:rPr>
                <w:rFonts w:ascii="Arial" w:cs="Arial" w:eastAsia="Arial" w:hAnsi="Arial"/>
                <w:sz w:val="20"/>
                <w:szCs w:val="20"/>
                <w:color w:val="auto"/>
              </w:rPr>
              <w:t>NYISO</w:t>
            </w:r>
          </w:p>
        </w:tc>
        <w:tc>
          <w:tcPr>
            <w:tcW w:w="7620" w:type="dxa"/>
            <w:vAlign w:val="bottom"/>
          </w:tcPr>
          <w:p>
            <w:pPr>
              <w:ind w:left="320"/>
              <w:spacing w:after="0"/>
              <w:rPr>
                <w:sz w:val="20"/>
                <w:szCs w:val="20"/>
                <w:color w:val="auto"/>
              </w:rPr>
            </w:pPr>
            <w:r>
              <w:rPr>
                <w:rFonts w:ascii="Arial" w:cs="Arial" w:eastAsia="Arial" w:hAnsi="Arial"/>
                <w:sz w:val="20"/>
                <w:szCs w:val="20"/>
                <w:color w:val="auto"/>
              </w:rPr>
              <w:t>New York Independent System Operator</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NYMEX</w:t>
            </w:r>
          </w:p>
        </w:tc>
        <w:tc>
          <w:tcPr>
            <w:tcW w:w="7620" w:type="dxa"/>
            <w:vAlign w:val="bottom"/>
          </w:tcPr>
          <w:p>
            <w:pPr>
              <w:ind w:left="320"/>
              <w:spacing w:after="0"/>
              <w:rPr>
                <w:sz w:val="20"/>
                <w:szCs w:val="20"/>
                <w:color w:val="auto"/>
              </w:rPr>
            </w:pPr>
            <w:r>
              <w:rPr>
                <w:rFonts w:ascii="Arial" w:cs="Arial" w:eastAsia="Arial" w:hAnsi="Arial"/>
                <w:sz w:val="20"/>
                <w:szCs w:val="20"/>
                <w:color w:val="auto"/>
              </w:rPr>
              <w:t>New York Mercantile Exchange</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20"/>
                <w:szCs w:val="20"/>
                <w:color w:val="auto"/>
              </w:rPr>
              <w:t>OCI/OCL</w:t>
            </w:r>
          </w:p>
        </w:tc>
        <w:tc>
          <w:tcPr>
            <w:tcW w:w="7620" w:type="dxa"/>
            <w:vAlign w:val="bottom"/>
          </w:tcPr>
          <w:p>
            <w:pPr>
              <w:ind w:left="320"/>
              <w:spacing w:after="0"/>
              <w:rPr>
                <w:sz w:val="20"/>
                <w:szCs w:val="20"/>
                <w:color w:val="auto"/>
              </w:rPr>
            </w:pPr>
            <w:r>
              <w:rPr>
                <w:rFonts w:ascii="Arial" w:cs="Arial" w:eastAsia="Arial" w:hAnsi="Arial"/>
                <w:sz w:val="20"/>
                <w:szCs w:val="20"/>
                <w:color w:val="auto"/>
              </w:rPr>
              <w:t>Other Comprehensive Income/(Loss)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40"/>
          </w:cols>
          <w:pgMar w:left="920" w:top="587" w:right="920" w:bottom="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10040"/>
          </w:cols>
          <w:pgMar w:left="920" w:top="587" w:right="920" w:bottom="0" w:gutter="0" w:footer="0" w:header="0"/>
          <w:type w:val="continuous"/>
        </w:sectPr>
      </w:pPr>
    </w:p>
    <w:bookmarkStart w:id="6" w:name="page7"/>
    <w:bookmarkEnd w:id="6"/>
    <w:p>
      <w:pPr>
        <w:spacing w:after="0"/>
        <w:tabs>
          <w:tab w:leader="none" w:pos="2720" w:val="left"/>
        </w:tabs>
        <w:rPr>
          <w:sz w:val="20"/>
          <w:szCs w:val="20"/>
          <w:color w:val="auto"/>
        </w:rPr>
      </w:pPr>
      <w:r>
        <w:rPr>
          <w:rFonts w:ascii="Arial" w:cs="Arial" w:eastAsia="Arial" w:hAnsi="Arial"/>
          <w:sz w:val="18"/>
          <w:szCs w:val="18"/>
          <w:color w:val="auto"/>
        </w:rPr>
        <w:t>Peaking</w:t>
      </w:r>
      <w:r>
        <w:rPr>
          <w:sz w:val="20"/>
          <w:szCs w:val="20"/>
          <w:color w:val="auto"/>
        </w:rPr>
        <w:tab/>
      </w:r>
      <w:r>
        <w:rPr>
          <w:rFonts w:ascii="Arial" w:cs="Arial" w:eastAsia="Arial" w:hAnsi="Arial"/>
          <w:sz w:val="18"/>
          <w:szCs w:val="18"/>
          <w:color w:val="auto"/>
        </w:rPr>
        <w:t>Units expected to satisfy demand requirements during the periods of greatest or peak load</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on the system</w:t>
      </w:r>
    </w:p>
    <w:p>
      <w:pPr>
        <w:spacing w:after="0" w:line="32" w:lineRule="exact"/>
        <w:rPr>
          <w:sz w:val="20"/>
          <w:szCs w:val="20"/>
          <w:color w:val="auto"/>
        </w:rPr>
      </w:pPr>
    </w:p>
    <w:p>
      <w:pPr>
        <w:spacing w:after="0"/>
        <w:tabs>
          <w:tab w:leader="none" w:pos="2720" w:val="left"/>
        </w:tabs>
        <w:rPr>
          <w:sz w:val="20"/>
          <w:szCs w:val="20"/>
          <w:color w:val="auto"/>
        </w:rPr>
      </w:pPr>
      <w:r>
        <w:rPr>
          <w:rFonts w:ascii="Arial" w:cs="Arial" w:eastAsia="Arial" w:hAnsi="Arial"/>
          <w:sz w:val="19"/>
          <w:szCs w:val="19"/>
          <w:color w:val="auto"/>
        </w:rPr>
        <w:t>PG&amp;E</w:t>
      </w:r>
      <w:r>
        <w:rPr>
          <w:sz w:val="20"/>
          <w:szCs w:val="20"/>
          <w:color w:val="auto"/>
        </w:rPr>
        <w:tab/>
      </w:r>
      <w:r>
        <w:rPr>
          <w:rFonts w:ascii="Arial" w:cs="Arial" w:eastAsia="Arial" w:hAnsi="Arial"/>
          <w:sz w:val="19"/>
          <w:szCs w:val="19"/>
          <w:color w:val="auto"/>
        </w:rPr>
        <w:t>PG&amp;E Corporation (NYSE: PCG) and its primary operating subsidiary, Pacific Gas and</w:t>
      </w:r>
    </w:p>
    <w:p>
      <w:pPr>
        <w:spacing w:after="0" w:line="2"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Electric Company</w:t>
      </w:r>
    </w:p>
    <w:p>
      <w:pPr>
        <w:spacing w:after="0" w:line="40"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PJM</w:t>
      </w:r>
      <w:r>
        <w:rPr>
          <w:sz w:val="20"/>
          <w:szCs w:val="20"/>
          <w:color w:val="auto"/>
        </w:rPr>
        <w:tab/>
      </w:r>
      <w:r>
        <w:rPr>
          <w:rFonts w:ascii="Arial" w:cs="Arial" w:eastAsia="Arial" w:hAnsi="Arial"/>
          <w:sz w:val="20"/>
          <w:szCs w:val="20"/>
          <w:color w:val="auto"/>
        </w:rPr>
        <w:t>PJM Interconnection, LLC</w:t>
      </w:r>
    </w:p>
    <w:p>
      <w:pPr>
        <w:spacing w:after="0" w:line="6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PM2.5</w:t>
      </w:r>
      <w:r>
        <w:rPr>
          <w:sz w:val="20"/>
          <w:szCs w:val="20"/>
          <w:color w:val="auto"/>
        </w:rPr>
        <w:tab/>
      </w:r>
      <w:r>
        <w:rPr>
          <w:rFonts w:ascii="Arial" w:cs="Arial" w:eastAsia="Arial" w:hAnsi="Arial"/>
          <w:sz w:val="20"/>
          <w:szCs w:val="20"/>
          <w:color w:val="auto"/>
        </w:rPr>
        <w:t>Particulate Matter that has a diameter of less than 2.5 micrometers</w:t>
      </w:r>
    </w:p>
    <w:p>
      <w:pPr>
        <w:spacing w:after="0" w:line="6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PPA</w:t>
      </w:r>
      <w:r>
        <w:rPr>
          <w:sz w:val="20"/>
          <w:szCs w:val="20"/>
          <w:color w:val="auto"/>
        </w:rPr>
        <w:tab/>
      </w:r>
      <w:r>
        <w:rPr>
          <w:rFonts w:ascii="Arial" w:cs="Arial" w:eastAsia="Arial" w:hAnsi="Arial"/>
          <w:sz w:val="20"/>
          <w:szCs w:val="20"/>
          <w:color w:val="auto"/>
        </w:rPr>
        <w:t>Power Purchase Agreement</w:t>
      </w:r>
    </w:p>
    <w:p>
      <w:pPr>
        <w:spacing w:after="0" w:line="6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PUCT</w:t>
      </w:r>
      <w:r>
        <w:rPr>
          <w:sz w:val="20"/>
          <w:szCs w:val="20"/>
          <w:color w:val="auto"/>
        </w:rPr>
        <w:tab/>
      </w:r>
      <w:r>
        <w:rPr>
          <w:rFonts w:ascii="Arial" w:cs="Arial" w:eastAsia="Arial" w:hAnsi="Arial"/>
          <w:sz w:val="20"/>
          <w:szCs w:val="20"/>
          <w:color w:val="auto"/>
        </w:rPr>
        <w:t>Public Utility Commission of Texas</w:t>
      </w:r>
    </w:p>
    <w:p>
      <w:pPr>
        <w:spacing w:after="0" w:line="6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RCRA</w:t>
      </w:r>
      <w:r>
        <w:rPr>
          <w:sz w:val="20"/>
          <w:szCs w:val="20"/>
          <w:color w:val="auto"/>
        </w:rPr>
        <w:tab/>
      </w:r>
      <w:r>
        <w:rPr>
          <w:rFonts w:ascii="Arial" w:cs="Arial" w:eastAsia="Arial" w:hAnsi="Arial"/>
          <w:sz w:val="20"/>
          <w:szCs w:val="20"/>
          <w:color w:val="auto"/>
        </w:rPr>
        <w:t>Resource Conservation and Recovery Act of 1976</w:t>
      </w:r>
    </w:p>
    <w:p>
      <w:pPr>
        <w:spacing w:after="0" w:line="5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Receivables Facility</w:t>
      </w:r>
      <w:r>
        <w:rPr>
          <w:sz w:val="20"/>
          <w:szCs w:val="20"/>
          <w:color w:val="auto"/>
        </w:rPr>
        <w:tab/>
      </w:r>
      <w:r>
        <w:rPr>
          <w:rFonts w:ascii="Arial" w:cs="Arial" w:eastAsia="Arial" w:hAnsi="Arial"/>
          <w:sz w:val="19"/>
          <w:szCs w:val="19"/>
          <w:color w:val="auto"/>
        </w:rPr>
        <w:t>NRG Receivables LLC, a bankruptcy remote, special purpose, wholly-owned indirect</w:t>
      </w:r>
    </w:p>
    <w:p>
      <w:pPr>
        <w:ind w:left="2740"/>
        <w:spacing w:after="0" w:line="226" w:lineRule="auto"/>
        <w:rPr>
          <w:sz w:val="20"/>
          <w:szCs w:val="20"/>
          <w:color w:val="auto"/>
        </w:rPr>
      </w:pPr>
      <w:r>
        <w:rPr>
          <w:rFonts w:ascii="Arial" w:cs="Arial" w:eastAsia="Arial" w:hAnsi="Arial"/>
          <w:sz w:val="20"/>
          <w:szCs w:val="20"/>
          <w:color w:val="auto"/>
        </w:rPr>
        <w:t>subsidiary of the Company's $2.3 billion accounts receivables securitization facility due 2025, which was last amended on June 21, 2024</w:t>
      </w:r>
    </w:p>
    <w:p>
      <w:pPr>
        <w:spacing w:after="0" w:line="35"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Receivables Securitization</w:t>
      </w:r>
      <w:r>
        <w:rPr>
          <w:sz w:val="20"/>
          <w:szCs w:val="20"/>
          <w:color w:val="auto"/>
        </w:rPr>
        <w:tab/>
      </w:r>
      <w:r>
        <w:rPr>
          <w:rFonts w:ascii="Arial" w:cs="Arial" w:eastAsia="Arial" w:hAnsi="Arial"/>
          <w:sz w:val="18"/>
          <w:szCs w:val="18"/>
          <w:color w:val="auto"/>
        </w:rPr>
        <w:t>Collectively, the Receivables Facility and the Repurchase Facility</w:t>
      </w:r>
    </w:p>
    <w:p>
      <w:pPr>
        <w:spacing w:after="0"/>
        <w:rPr>
          <w:sz w:val="20"/>
          <w:szCs w:val="20"/>
          <w:color w:val="auto"/>
        </w:rPr>
      </w:pPr>
      <w:r>
        <w:rPr>
          <w:rFonts w:ascii="Arial" w:cs="Arial" w:eastAsia="Arial" w:hAnsi="Arial"/>
          <w:sz w:val="20"/>
          <w:szCs w:val="20"/>
          <w:color w:val="auto"/>
        </w:rPr>
        <w:t>Facilities</w:t>
      </w:r>
    </w:p>
    <w:p>
      <w:pPr>
        <w:spacing w:after="0" w:line="40"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RECs</w:t>
      </w:r>
      <w:r>
        <w:rPr>
          <w:sz w:val="20"/>
          <w:szCs w:val="20"/>
          <w:color w:val="auto"/>
        </w:rPr>
        <w:tab/>
      </w:r>
      <w:r>
        <w:rPr>
          <w:rFonts w:ascii="Arial" w:cs="Arial" w:eastAsia="Arial" w:hAnsi="Arial"/>
          <w:sz w:val="20"/>
          <w:szCs w:val="20"/>
          <w:color w:val="auto"/>
        </w:rPr>
        <w:t>Renewable Energy Certificates</w:t>
      </w:r>
    </w:p>
    <w:p>
      <w:pPr>
        <w:spacing w:after="0" w:line="5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Renewable PPA</w:t>
      </w:r>
      <w:r>
        <w:rPr>
          <w:sz w:val="20"/>
          <w:szCs w:val="20"/>
          <w:color w:val="auto"/>
        </w:rPr>
        <w:tab/>
      </w:r>
      <w:r>
        <w:rPr>
          <w:rFonts w:ascii="Arial" w:cs="Arial" w:eastAsia="Arial" w:hAnsi="Arial"/>
          <w:sz w:val="18"/>
          <w:szCs w:val="18"/>
          <w:color w:val="auto"/>
        </w:rPr>
        <w:t>A third-party PPA entered into directly with a renewable generation facility for the offtake</w:t>
      </w:r>
    </w:p>
    <w:p>
      <w:pPr>
        <w:ind w:left="2740"/>
        <w:spacing w:after="0" w:line="226" w:lineRule="auto"/>
        <w:rPr>
          <w:sz w:val="20"/>
          <w:szCs w:val="20"/>
          <w:color w:val="auto"/>
        </w:rPr>
      </w:pPr>
      <w:r>
        <w:rPr>
          <w:rFonts w:ascii="Arial" w:cs="Arial" w:eastAsia="Arial" w:hAnsi="Arial"/>
          <w:sz w:val="20"/>
          <w:szCs w:val="20"/>
          <w:color w:val="auto"/>
        </w:rPr>
        <w:t>of the RECs or other similar environmental attributes generated by such facility, coupled with the associated power generated by that facility</w:t>
      </w:r>
    </w:p>
    <w:p>
      <w:pPr>
        <w:spacing w:after="0" w:line="45"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color w:val="auto"/>
        </w:rPr>
        <w:t>Renewables</w:t>
      </w:r>
      <w:r>
        <w:rPr>
          <w:sz w:val="20"/>
          <w:szCs w:val="20"/>
          <w:color w:val="auto"/>
        </w:rPr>
        <w:tab/>
      </w:r>
      <w:r>
        <w:rPr>
          <w:rFonts w:ascii="Arial" w:cs="Arial" w:eastAsia="Arial" w:hAnsi="Arial"/>
          <w:sz w:val="18"/>
          <w:szCs w:val="18"/>
          <w:color w:val="auto"/>
        </w:rPr>
        <w:t>Consists of the following projects in which NRG has an ownership interest: Ivanpah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solar generating stations located at various NFL Stadiums</w:t>
      </w:r>
    </w:p>
    <w:p>
      <w:pPr>
        <w:spacing w:after="0"/>
        <w:tabs>
          <w:tab w:leader="none" w:pos="2720" w:val="left"/>
        </w:tabs>
        <w:rPr>
          <w:sz w:val="20"/>
          <w:szCs w:val="20"/>
          <w:color w:val="auto"/>
        </w:rPr>
      </w:pPr>
      <w:r>
        <w:rPr>
          <w:rFonts w:ascii="Arial" w:cs="Arial" w:eastAsia="Arial" w:hAnsi="Arial"/>
          <w:sz w:val="20"/>
          <w:szCs w:val="20"/>
          <w:color w:val="auto"/>
        </w:rPr>
        <w:t>Renewables Platform</w:t>
      </w:r>
      <w:r>
        <w:rPr>
          <w:sz w:val="20"/>
          <w:szCs w:val="20"/>
          <w:color w:val="auto"/>
        </w:rPr>
        <w:tab/>
      </w:r>
      <w:r>
        <w:rPr>
          <w:rFonts w:ascii="Arial" w:cs="Arial" w:eastAsia="Arial" w:hAnsi="Arial"/>
          <w:sz w:val="18"/>
          <w:szCs w:val="18"/>
          <w:color w:val="auto"/>
        </w:rPr>
        <w:t>The renewable operating and development platform sold to Global Infrastructure Partners</w:t>
      </w:r>
    </w:p>
    <w:p>
      <w:pPr>
        <w:ind w:left="2740"/>
        <w:spacing w:after="0"/>
        <w:rPr>
          <w:sz w:val="20"/>
          <w:szCs w:val="20"/>
          <w:color w:val="auto"/>
        </w:rPr>
      </w:pPr>
      <w:r>
        <w:rPr>
          <w:rFonts w:ascii="Arial" w:cs="Arial" w:eastAsia="Arial" w:hAnsi="Arial"/>
          <w:sz w:val="20"/>
          <w:szCs w:val="20"/>
          <w:color w:val="auto"/>
        </w:rPr>
        <w:t>with NRG's interest in NRG Yield</w:t>
      </w:r>
    </w:p>
    <w:p>
      <w:pPr>
        <w:spacing w:after="0" w:line="40"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REP</w:t>
      </w:r>
      <w:r>
        <w:rPr>
          <w:sz w:val="20"/>
          <w:szCs w:val="20"/>
          <w:color w:val="auto"/>
        </w:rPr>
        <w:tab/>
      </w:r>
      <w:r>
        <w:rPr>
          <w:rFonts w:ascii="Arial" w:cs="Arial" w:eastAsia="Arial" w:hAnsi="Arial"/>
          <w:sz w:val="20"/>
          <w:szCs w:val="20"/>
          <w:color w:val="auto"/>
        </w:rPr>
        <w:t>Retail electric provider</w:t>
      </w:r>
    </w:p>
    <w:p>
      <w:pPr>
        <w:spacing w:after="0" w:line="5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Repurchase Facility</w:t>
      </w:r>
      <w:r>
        <w:rPr>
          <w:sz w:val="20"/>
          <w:szCs w:val="20"/>
          <w:color w:val="auto"/>
        </w:rPr>
        <w:tab/>
      </w:r>
      <w:r>
        <w:rPr>
          <w:rFonts w:ascii="Arial" w:cs="Arial" w:eastAsia="Arial" w:hAnsi="Arial"/>
          <w:sz w:val="18"/>
          <w:szCs w:val="18"/>
          <w:color w:val="auto"/>
        </w:rPr>
        <w:t>NRG's $150 million uncommitted repurchase facility related to the Receivables Facility due</w:t>
      </w:r>
    </w:p>
    <w:p>
      <w:pPr>
        <w:ind w:left="2740"/>
        <w:spacing w:after="0"/>
        <w:rPr>
          <w:sz w:val="20"/>
          <w:szCs w:val="20"/>
          <w:color w:val="auto"/>
        </w:rPr>
      </w:pPr>
      <w:r>
        <w:rPr>
          <w:rFonts w:ascii="Arial" w:cs="Arial" w:eastAsia="Arial" w:hAnsi="Arial"/>
          <w:sz w:val="20"/>
          <w:szCs w:val="20"/>
          <w:color w:val="auto"/>
        </w:rPr>
        <w:t>2024, which was terminated on June 21, 2024</w:t>
      </w:r>
    </w:p>
    <w:p>
      <w:pPr>
        <w:spacing w:after="0" w:line="30"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Revolving Credit Facility</w:t>
      </w:r>
      <w:r>
        <w:rPr>
          <w:sz w:val="20"/>
          <w:szCs w:val="20"/>
          <w:color w:val="auto"/>
        </w:rPr>
        <w:tab/>
      </w:r>
      <w:r>
        <w:rPr>
          <w:rFonts w:ascii="Arial" w:cs="Arial" w:eastAsia="Arial" w:hAnsi="Arial"/>
          <w:sz w:val="18"/>
          <w:szCs w:val="18"/>
          <w:color w:val="auto"/>
        </w:rPr>
        <w:t>The Company's $4.2 billion revolving credit facility due 2029, which was last amended on</w:t>
      </w:r>
    </w:p>
    <w:p>
      <w:pPr>
        <w:ind w:left="2740"/>
        <w:spacing w:after="0"/>
        <w:rPr>
          <w:sz w:val="20"/>
          <w:szCs w:val="20"/>
          <w:color w:val="auto"/>
        </w:rPr>
      </w:pPr>
      <w:r>
        <w:rPr>
          <w:rFonts w:ascii="Arial" w:cs="Arial" w:eastAsia="Arial" w:hAnsi="Arial"/>
          <w:sz w:val="20"/>
          <w:szCs w:val="20"/>
          <w:color w:val="auto"/>
        </w:rPr>
        <w:t>December 20, 2024</w:t>
      </w:r>
    </w:p>
    <w:p>
      <w:pPr>
        <w:spacing w:after="0" w:line="40"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RGGI</w:t>
      </w:r>
      <w:r>
        <w:rPr>
          <w:sz w:val="20"/>
          <w:szCs w:val="20"/>
          <w:color w:val="auto"/>
        </w:rPr>
        <w:tab/>
      </w:r>
      <w:r>
        <w:rPr>
          <w:rFonts w:ascii="Arial" w:cs="Arial" w:eastAsia="Arial" w:hAnsi="Arial"/>
          <w:sz w:val="20"/>
          <w:szCs w:val="20"/>
          <w:color w:val="auto"/>
        </w:rPr>
        <w:t>Regional Greenhouse Gas Initiative</w:t>
      </w:r>
    </w:p>
    <w:p>
      <w:pPr>
        <w:spacing w:after="0" w:line="6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RMR</w:t>
      </w:r>
      <w:r>
        <w:rPr>
          <w:sz w:val="20"/>
          <w:szCs w:val="20"/>
          <w:color w:val="auto"/>
        </w:rPr>
        <w:tab/>
      </w:r>
      <w:r>
        <w:rPr>
          <w:rFonts w:ascii="Arial" w:cs="Arial" w:eastAsia="Arial" w:hAnsi="Arial"/>
          <w:sz w:val="20"/>
          <w:szCs w:val="20"/>
          <w:color w:val="auto"/>
        </w:rPr>
        <w:t>Reliability Must-Run</w:t>
      </w:r>
    </w:p>
    <w:p>
      <w:pPr>
        <w:spacing w:after="0" w:line="6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RPS</w:t>
      </w:r>
      <w:r>
        <w:rPr>
          <w:sz w:val="20"/>
          <w:szCs w:val="20"/>
          <w:color w:val="auto"/>
        </w:rPr>
        <w:tab/>
      </w:r>
      <w:r>
        <w:rPr>
          <w:rFonts w:ascii="Arial" w:cs="Arial" w:eastAsia="Arial" w:hAnsi="Arial"/>
          <w:sz w:val="20"/>
          <w:szCs w:val="20"/>
          <w:color w:val="auto"/>
        </w:rPr>
        <w:t>Renewable Portfolio Standards</w:t>
      </w:r>
    </w:p>
    <w:p>
      <w:pPr>
        <w:spacing w:after="0" w:line="6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RPSU</w:t>
      </w:r>
      <w:r>
        <w:rPr>
          <w:sz w:val="20"/>
          <w:szCs w:val="20"/>
          <w:color w:val="auto"/>
        </w:rPr>
        <w:tab/>
      </w:r>
      <w:r>
        <w:rPr>
          <w:rFonts w:ascii="Arial" w:cs="Arial" w:eastAsia="Arial" w:hAnsi="Arial"/>
          <w:sz w:val="20"/>
          <w:szCs w:val="20"/>
          <w:color w:val="auto"/>
        </w:rPr>
        <w:t>Relative Performance Stock Unit</w:t>
      </w:r>
    </w:p>
    <w:p>
      <w:pPr>
        <w:spacing w:after="0" w:line="6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RSU</w:t>
      </w:r>
      <w:r>
        <w:rPr>
          <w:sz w:val="20"/>
          <w:szCs w:val="20"/>
          <w:color w:val="auto"/>
        </w:rPr>
        <w:tab/>
      </w:r>
      <w:r>
        <w:rPr>
          <w:rFonts w:ascii="Arial" w:cs="Arial" w:eastAsia="Arial" w:hAnsi="Arial"/>
          <w:sz w:val="20"/>
          <w:szCs w:val="20"/>
          <w:color w:val="auto"/>
        </w:rPr>
        <w:t>Restricted Stock Unit</w:t>
      </w:r>
    </w:p>
    <w:p>
      <w:pPr>
        <w:spacing w:after="0" w:line="6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RTO</w:t>
      </w:r>
      <w:r>
        <w:rPr>
          <w:sz w:val="20"/>
          <w:szCs w:val="20"/>
          <w:color w:val="auto"/>
        </w:rPr>
        <w:tab/>
      </w:r>
      <w:r>
        <w:rPr>
          <w:rFonts w:ascii="Arial" w:cs="Arial" w:eastAsia="Arial" w:hAnsi="Arial"/>
          <w:sz w:val="20"/>
          <w:szCs w:val="20"/>
          <w:color w:val="auto"/>
        </w:rPr>
        <w:t>Regional Transmission Organization</w:t>
      </w:r>
    </w:p>
    <w:p>
      <w:pPr>
        <w:spacing w:after="0" w:line="6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SCR</w:t>
      </w:r>
      <w:r>
        <w:rPr>
          <w:sz w:val="20"/>
          <w:szCs w:val="20"/>
          <w:color w:val="auto"/>
        </w:rPr>
        <w:tab/>
      </w:r>
      <w:r>
        <w:rPr>
          <w:rFonts w:ascii="Arial" w:cs="Arial" w:eastAsia="Arial" w:hAnsi="Arial"/>
          <w:sz w:val="20"/>
          <w:szCs w:val="20"/>
          <w:color w:val="auto"/>
        </w:rPr>
        <w:t>Selective Catalytic Reduction Control System</w:t>
      </w:r>
    </w:p>
    <w:p>
      <w:pPr>
        <w:spacing w:after="0" w:line="6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SEC</w:t>
      </w:r>
      <w:r>
        <w:rPr>
          <w:sz w:val="20"/>
          <w:szCs w:val="20"/>
          <w:color w:val="auto"/>
        </w:rPr>
        <w:tab/>
      </w:r>
      <w:r>
        <w:rPr>
          <w:rFonts w:ascii="Arial" w:cs="Arial" w:eastAsia="Arial" w:hAnsi="Arial"/>
          <w:sz w:val="20"/>
          <w:szCs w:val="20"/>
          <w:color w:val="auto"/>
        </w:rPr>
        <w:t>U.S. Securities and Exchange Commission</w:t>
      </w:r>
    </w:p>
    <w:p>
      <w:pPr>
        <w:spacing w:after="0" w:line="6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Securities Act</w:t>
      </w:r>
      <w:r>
        <w:rPr>
          <w:sz w:val="20"/>
          <w:szCs w:val="20"/>
          <w:color w:val="auto"/>
        </w:rPr>
        <w:tab/>
      </w:r>
      <w:r>
        <w:rPr>
          <w:rFonts w:ascii="Arial" w:cs="Arial" w:eastAsia="Arial" w:hAnsi="Arial"/>
          <w:sz w:val="16"/>
          <w:szCs w:val="16"/>
          <w:color w:val="auto"/>
        </w:rPr>
        <w:t>The Securities Act of 1933, as amended</w:t>
      </w:r>
    </w:p>
    <w:p>
      <w:pPr>
        <w:spacing w:after="0" w:line="5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Senior Credit Facility</w:t>
      </w:r>
      <w:r>
        <w:rPr>
          <w:sz w:val="20"/>
          <w:szCs w:val="20"/>
          <w:color w:val="auto"/>
        </w:rPr>
        <w:tab/>
      </w:r>
      <w:r>
        <w:rPr>
          <w:rFonts w:ascii="Arial" w:cs="Arial" w:eastAsia="Arial" w:hAnsi="Arial"/>
          <w:sz w:val="19"/>
          <w:szCs w:val="19"/>
          <w:color w:val="auto"/>
        </w:rPr>
        <w:t>NRG's senior secured credit facility, comprised of the Revolving Credit Facility and the</w:t>
      </w:r>
    </w:p>
    <w:p>
      <w:pPr>
        <w:ind w:left="2740"/>
        <w:spacing w:after="0"/>
        <w:rPr>
          <w:sz w:val="20"/>
          <w:szCs w:val="20"/>
          <w:color w:val="auto"/>
        </w:rPr>
      </w:pPr>
      <w:r>
        <w:rPr>
          <w:rFonts w:ascii="Arial" w:cs="Arial" w:eastAsia="Arial" w:hAnsi="Arial"/>
          <w:sz w:val="20"/>
          <w:szCs w:val="20"/>
          <w:color w:val="auto"/>
        </w:rPr>
        <w:t>Term Loan B Facility</w:t>
      </w:r>
    </w:p>
    <w:p>
      <w:pPr>
        <w:spacing w:after="0" w:line="30"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Senior Notes</w:t>
      </w:r>
      <w:r>
        <w:rPr>
          <w:sz w:val="20"/>
          <w:szCs w:val="20"/>
          <w:color w:val="auto"/>
        </w:rPr>
        <w:tab/>
      </w:r>
      <w:r>
        <w:rPr>
          <w:rFonts w:ascii="Arial" w:cs="Arial" w:eastAsia="Arial" w:hAnsi="Arial"/>
          <w:sz w:val="20"/>
          <w:szCs w:val="20"/>
          <w:color w:val="auto"/>
        </w:rPr>
        <w:t>As of December 31, 2024, NRG's $6.2 billion outstanding unsecured senior notes</w:t>
      </w:r>
    </w:p>
    <w:p>
      <w:pPr>
        <w:ind w:left="2740"/>
        <w:spacing w:after="0" w:line="229" w:lineRule="auto"/>
        <w:rPr>
          <w:sz w:val="20"/>
          <w:szCs w:val="20"/>
          <w:color w:val="auto"/>
        </w:rPr>
      </w:pPr>
      <w:r>
        <w:rPr>
          <w:rFonts w:ascii="Arial" w:cs="Arial" w:eastAsia="Arial" w:hAnsi="Arial"/>
          <w:sz w:val="18"/>
          <w:szCs w:val="18"/>
          <w:color w:val="auto"/>
        </w:rPr>
        <w:t>consisting of $821 million of 5.750% senior notes due 2028, $733 million of the 5.250%</w:t>
      </w:r>
    </w:p>
    <w:p>
      <w:pPr>
        <w:ind w:left="2740"/>
        <w:spacing w:after="0" w:line="230" w:lineRule="auto"/>
        <w:rPr>
          <w:sz w:val="20"/>
          <w:szCs w:val="20"/>
          <w:color w:val="auto"/>
        </w:rPr>
      </w:pPr>
      <w:r>
        <w:rPr>
          <w:rFonts w:ascii="Arial" w:cs="Arial" w:eastAsia="Arial" w:hAnsi="Arial"/>
          <w:sz w:val="18"/>
          <w:szCs w:val="18"/>
          <w:color w:val="auto"/>
        </w:rPr>
        <w:t>senior notes due 2029, $500 million of the 3.375% senior notes due 2029, $798 million of</w:t>
      </w:r>
    </w:p>
    <w:p>
      <w:pPr>
        <w:ind w:left="2740"/>
        <w:spacing w:after="0" w:line="229" w:lineRule="auto"/>
        <w:rPr>
          <w:sz w:val="20"/>
          <w:szCs w:val="20"/>
          <w:color w:val="auto"/>
        </w:rPr>
      </w:pPr>
      <w:r>
        <w:rPr>
          <w:rFonts w:ascii="Arial" w:cs="Arial" w:eastAsia="Arial" w:hAnsi="Arial"/>
          <w:sz w:val="18"/>
          <w:szCs w:val="18"/>
          <w:color w:val="auto"/>
        </w:rPr>
        <w:t>the 5.750% senior notes due 2029, $1.0 billion of the 3.625% senior notes due 2031, $480</w:t>
      </w:r>
    </w:p>
    <w:p>
      <w:pPr>
        <w:ind w:left="2740"/>
        <w:spacing w:after="0" w:line="230" w:lineRule="auto"/>
        <w:rPr>
          <w:sz w:val="20"/>
          <w:szCs w:val="20"/>
          <w:color w:val="auto"/>
        </w:rPr>
      </w:pPr>
      <w:r>
        <w:rPr>
          <w:rFonts w:ascii="Arial" w:cs="Arial" w:eastAsia="Arial" w:hAnsi="Arial"/>
          <w:sz w:val="18"/>
          <w:szCs w:val="18"/>
          <w:color w:val="auto"/>
        </w:rPr>
        <w:t>million of the 3.875% senior notes due 2032, $925 million of the 6.000% senior notes due</w:t>
      </w:r>
    </w:p>
    <w:p>
      <w:pPr>
        <w:ind w:left="2740"/>
        <w:spacing w:after="0"/>
        <w:rPr>
          <w:sz w:val="20"/>
          <w:szCs w:val="20"/>
          <w:color w:val="auto"/>
        </w:rPr>
      </w:pPr>
      <w:r>
        <w:rPr>
          <w:rFonts w:ascii="Arial" w:cs="Arial" w:eastAsia="Arial" w:hAnsi="Arial"/>
          <w:sz w:val="20"/>
          <w:szCs w:val="20"/>
          <w:color w:val="auto"/>
        </w:rPr>
        <w:t>2033 and $950 million of the 6.250% senior notes due 2034</w:t>
      </w:r>
    </w:p>
    <w:p>
      <w:pPr>
        <w:spacing w:after="0" w:line="10"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Senior Secured First Lien Notes</w:t>
      </w:r>
      <w:r>
        <w:rPr>
          <w:sz w:val="20"/>
          <w:szCs w:val="20"/>
          <w:color w:val="auto"/>
        </w:rPr>
        <w:tab/>
      </w:r>
      <w:r>
        <w:rPr>
          <w:rFonts w:ascii="Arial" w:cs="Arial" w:eastAsia="Arial" w:hAnsi="Arial"/>
          <w:sz w:val="18"/>
          <w:szCs w:val="18"/>
          <w:color w:val="auto"/>
        </w:rPr>
        <w:t>As of December 31, 2024, NRG’s $2.6 billion outstanding Senior Secured First Lien Notes</w:t>
      </w:r>
    </w:p>
    <w:p>
      <w:pPr>
        <w:ind w:left="2740"/>
        <w:spacing w:after="0" w:line="229" w:lineRule="auto"/>
        <w:rPr>
          <w:sz w:val="20"/>
          <w:szCs w:val="20"/>
          <w:color w:val="auto"/>
        </w:rPr>
      </w:pPr>
      <w:r>
        <w:rPr>
          <w:rFonts w:ascii="Arial" w:cs="Arial" w:eastAsia="Arial" w:hAnsi="Arial"/>
          <w:sz w:val="18"/>
          <w:szCs w:val="18"/>
          <w:color w:val="auto"/>
        </w:rPr>
        <w:t>consists of $500 million of the 2.000% Senior Secured First Lien Notes due 2025, $900</w:t>
      </w:r>
    </w:p>
    <w:p>
      <w:pPr>
        <w:ind w:left="2740"/>
        <w:spacing w:after="0" w:line="218" w:lineRule="auto"/>
        <w:rPr>
          <w:sz w:val="20"/>
          <w:szCs w:val="20"/>
          <w:color w:val="auto"/>
        </w:rPr>
      </w:pPr>
      <w:r>
        <w:rPr>
          <w:rFonts w:ascii="Arial" w:cs="Arial" w:eastAsia="Arial" w:hAnsi="Arial"/>
          <w:sz w:val="19"/>
          <w:szCs w:val="19"/>
          <w:color w:val="auto"/>
        </w:rPr>
        <w:t>million of the 2.450% Senior Secured First Lien Notes due 2027, $500 million of the</w:t>
      </w:r>
    </w:p>
    <w:p>
      <w:pPr>
        <w:ind w:left="2740"/>
        <w:spacing w:after="0" w:line="229" w:lineRule="auto"/>
        <w:rPr>
          <w:sz w:val="20"/>
          <w:szCs w:val="20"/>
          <w:color w:val="auto"/>
        </w:rPr>
      </w:pPr>
      <w:r>
        <w:rPr>
          <w:rFonts w:ascii="Arial" w:cs="Arial" w:eastAsia="Arial" w:hAnsi="Arial"/>
          <w:sz w:val="18"/>
          <w:szCs w:val="18"/>
          <w:color w:val="auto"/>
        </w:rPr>
        <w:t>4.450% Senior Secured First Lien Notes due 2029 and $740 million of the 7.000% Senior</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Secured First Lien Notes due 2033</w:t>
      </w:r>
    </w:p>
    <w:p>
      <w:pPr>
        <w:spacing w:after="0" w:line="30"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Series A Preferred Stock</w:t>
      </w:r>
      <w:r>
        <w:rPr>
          <w:sz w:val="20"/>
          <w:szCs w:val="20"/>
          <w:color w:val="auto"/>
        </w:rPr>
        <w:tab/>
      </w:r>
      <w:r>
        <w:rPr>
          <w:rFonts w:ascii="Arial" w:cs="Arial" w:eastAsia="Arial" w:hAnsi="Arial"/>
          <w:sz w:val="18"/>
          <w:szCs w:val="18"/>
          <w:color w:val="auto"/>
        </w:rPr>
        <w:t>As of December 31, 2024, NRG's Series A Preferred Stock consists of 650,000 outstanding</w:t>
      </w:r>
    </w:p>
    <w:p>
      <w:pPr>
        <w:ind w:left="2740"/>
        <w:spacing w:after="0" w:line="226" w:lineRule="auto"/>
        <w:rPr>
          <w:sz w:val="20"/>
          <w:szCs w:val="20"/>
          <w:color w:val="auto"/>
        </w:rPr>
      </w:pPr>
      <w:r>
        <w:rPr>
          <w:rFonts w:ascii="Arial" w:cs="Arial" w:eastAsia="Arial" w:hAnsi="Arial"/>
          <w:sz w:val="20"/>
          <w:szCs w:val="20"/>
          <w:color w:val="auto"/>
        </w:rPr>
        <w:t>shares of the 10.25% Series A Fixed-Rate Reset Cumulative Redeemable Perpetual Preferred Stock, with a $1,000 liquidation preference per share</w:t>
      </w:r>
    </w:p>
    <w:p>
      <w:pPr>
        <w:spacing w:after="0" w:line="1"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SO</w:t>
      </w:r>
      <w:r>
        <w:rPr>
          <w:rFonts w:ascii="Arial" w:cs="Arial" w:eastAsia="Arial" w:hAnsi="Arial"/>
          <w:sz w:val="25"/>
          <w:szCs w:val="25"/>
          <w:color w:val="auto"/>
          <w:vertAlign w:val="subscript"/>
        </w:rPr>
        <w:t>2</w:t>
      </w:r>
      <w:r>
        <w:rPr>
          <w:sz w:val="20"/>
          <w:szCs w:val="20"/>
          <w:color w:val="auto"/>
        </w:rPr>
        <w:tab/>
      </w:r>
      <w:r>
        <w:rPr>
          <w:rFonts w:ascii="Arial" w:cs="Arial" w:eastAsia="Arial" w:hAnsi="Arial"/>
          <w:sz w:val="18"/>
          <w:szCs w:val="18"/>
          <w:color w:val="auto"/>
        </w:rPr>
        <w:t>Sulfur Dioxide</w:t>
      </w:r>
    </w:p>
    <w:p>
      <w:pPr>
        <w:spacing w:after="0" w:line="53"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SOFR</w:t>
      </w:r>
      <w:r>
        <w:rPr>
          <w:sz w:val="20"/>
          <w:szCs w:val="20"/>
          <w:color w:val="auto"/>
        </w:rPr>
        <w:tab/>
      </w:r>
      <w:r>
        <w:rPr>
          <w:rFonts w:ascii="Arial" w:cs="Arial" w:eastAsia="Arial" w:hAnsi="Arial"/>
          <w:sz w:val="20"/>
          <w:szCs w:val="20"/>
          <w:color w:val="auto"/>
        </w:rPr>
        <w:t>Secured overnight financing rate</w:t>
      </w:r>
    </w:p>
    <w:p>
      <w:pPr>
        <w:sectPr>
          <w:pgSz w:w="11880" w:h="15480" w:orient="portrait"/>
          <w:cols w:equalWidth="0" w:num="1">
            <w:col w:w="10040"/>
          </w:cols>
          <w:pgMar w:left="920" w:top="58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10040"/>
          </w:cols>
          <w:pgMar w:left="920" w:top="587" w:right="920" w:bottom="0" w:gutter="0" w:footer="0" w:header="0"/>
          <w:type w:val="continuous"/>
        </w:sectPr>
      </w:pPr>
    </w:p>
    <w:bookmarkStart w:id="7" w:name="page8"/>
    <w:bookmarkEnd w:id="7"/>
    <w:p>
      <w:pPr>
        <w:spacing w:after="0"/>
        <w:tabs>
          <w:tab w:leader="none" w:pos="2720" w:val="left"/>
        </w:tabs>
        <w:rPr>
          <w:sz w:val="20"/>
          <w:szCs w:val="20"/>
          <w:color w:val="auto"/>
        </w:rPr>
      </w:pPr>
      <w:r>
        <w:rPr>
          <w:rFonts w:ascii="Arial" w:cs="Arial" w:eastAsia="Arial" w:hAnsi="Arial"/>
          <w:sz w:val="20"/>
          <w:szCs w:val="20"/>
          <w:color w:val="auto"/>
        </w:rPr>
        <w:t>South Central Portfolio</w:t>
      </w:r>
      <w:r>
        <w:rPr>
          <w:sz w:val="20"/>
          <w:szCs w:val="20"/>
          <w:color w:val="auto"/>
        </w:rPr>
        <w:tab/>
      </w:r>
      <w:r>
        <w:rPr>
          <w:rFonts w:ascii="Arial" w:cs="Arial" w:eastAsia="Arial" w:hAnsi="Arial"/>
          <w:sz w:val="18"/>
          <w:szCs w:val="18"/>
          <w:color w:val="auto"/>
        </w:rPr>
        <w:t>NRG's South Central Portfolio, which owned and operated a portfolio of generation assets</w:t>
      </w:r>
    </w:p>
    <w:p>
      <w:pPr>
        <w:ind w:left="2740"/>
        <w:spacing w:after="0" w:line="263" w:lineRule="auto"/>
        <w:rPr>
          <w:sz w:val="20"/>
          <w:szCs w:val="20"/>
          <w:color w:val="auto"/>
        </w:rPr>
      </w:pPr>
      <w:r>
        <w:rPr>
          <w:rFonts w:ascii="Arial" w:cs="Arial" w:eastAsia="Arial" w:hAnsi="Arial"/>
          <w:sz w:val="18"/>
          <w:szCs w:val="18"/>
          <w:color w:val="auto"/>
        </w:rPr>
        <w:t>consisting of Bayou Cove, Big Cajun-I, Big Cajun-II, Cottonwood and Sterlington, was sold on February 4, 2019. NRG is leasing back the Cottonwood facility through May 2025</w:t>
      </w:r>
    </w:p>
    <w:p>
      <w:pPr>
        <w:spacing w:after="0" w:line="54"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S&amp;P</w:t>
      </w:r>
      <w:r>
        <w:rPr>
          <w:sz w:val="20"/>
          <w:szCs w:val="20"/>
          <w:color w:val="auto"/>
        </w:rPr>
        <w:tab/>
      </w:r>
      <w:r>
        <w:rPr>
          <w:rFonts w:ascii="Arial" w:cs="Arial" w:eastAsia="Arial" w:hAnsi="Arial"/>
          <w:sz w:val="20"/>
          <w:szCs w:val="20"/>
          <w:color w:val="auto"/>
        </w:rPr>
        <w:t>Standard &amp; Poor's</w:t>
      </w:r>
    </w:p>
    <w:p>
      <w:pPr>
        <w:spacing w:after="0" w:line="67"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color w:val="auto"/>
        </w:rPr>
        <w:t>STP</w:t>
      </w:r>
      <w:r>
        <w:rPr>
          <w:sz w:val="20"/>
          <w:szCs w:val="20"/>
          <w:color w:val="auto"/>
        </w:rPr>
        <w:tab/>
      </w:r>
      <w:r>
        <w:rPr>
          <w:rFonts w:ascii="Arial" w:cs="Arial" w:eastAsia="Arial" w:hAnsi="Arial"/>
          <w:sz w:val="18"/>
          <w:szCs w:val="18"/>
          <w:color w:val="auto"/>
        </w:rPr>
        <w:t>South Texas Project — a nuclear generating facility located near Bay City, Texas in which</w:t>
      </w:r>
    </w:p>
    <w:p>
      <w:pPr>
        <w:spacing w:after="0" w:line="13" w:lineRule="exact"/>
        <w:rPr>
          <w:sz w:val="20"/>
          <w:szCs w:val="20"/>
          <w:color w:val="auto"/>
        </w:rPr>
      </w:pPr>
    </w:p>
    <w:p>
      <w:pPr>
        <w:ind w:left="2740"/>
        <w:spacing w:after="0" w:line="226" w:lineRule="auto"/>
        <w:rPr>
          <w:sz w:val="20"/>
          <w:szCs w:val="20"/>
          <w:color w:val="auto"/>
        </w:rPr>
      </w:pPr>
      <w:r>
        <w:rPr>
          <w:rFonts w:ascii="Arial" w:cs="Arial" w:eastAsia="Arial" w:hAnsi="Arial"/>
          <w:sz w:val="20"/>
          <w:szCs w:val="20"/>
          <w:color w:val="auto"/>
        </w:rPr>
        <w:t>NRG owned a 44% interest. NRG closed on the sale of its interest in STP on November 1, 2023</w:t>
      </w:r>
    </w:p>
    <w:p>
      <w:pPr>
        <w:spacing w:after="0" w:line="45"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STPNOC</w:t>
      </w:r>
      <w:r>
        <w:rPr>
          <w:sz w:val="20"/>
          <w:szCs w:val="20"/>
          <w:color w:val="auto"/>
        </w:rPr>
        <w:tab/>
      </w:r>
      <w:r>
        <w:rPr>
          <w:rFonts w:ascii="Arial" w:cs="Arial" w:eastAsia="Arial" w:hAnsi="Arial"/>
          <w:sz w:val="20"/>
          <w:szCs w:val="20"/>
          <w:color w:val="auto"/>
        </w:rPr>
        <w:t>South Texas Project Nuclear Operating Company</w:t>
      </w:r>
    </w:p>
    <w:p>
      <w:pPr>
        <w:spacing w:after="0" w:line="6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Tax Act</w:t>
      </w:r>
      <w:r>
        <w:rPr>
          <w:sz w:val="20"/>
          <w:szCs w:val="20"/>
          <w:color w:val="auto"/>
        </w:rPr>
        <w:tab/>
      </w:r>
      <w:r>
        <w:rPr>
          <w:rFonts w:ascii="Arial" w:cs="Arial" w:eastAsia="Arial" w:hAnsi="Arial"/>
          <w:sz w:val="16"/>
          <w:szCs w:val="16"/>
          <w:color w:val="auto"/>
        </w:rPr>
        <w:t>The Tax Cuts and Jobs Act of 2017</w:t>
      </w:r>
    </w:p>
    <w:p>
      <w:pPr>
        <w:spacing w:after="0" w:line="6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TDSP</w:t>
      </w:r>
      <w:r>
        <w:rPr>
          <w:sz w:val="20"/>
          <w:szCs w:val="20"/>
          <w:color w:val="auto"/>
        </w:rPr>
        <w:tab/>
      </w:r>
      <w:r>
        <w:rPr>
          <w:rFonts w:ascii="Arial" w:cs="Arial" w:eastAsia="Arial" w:hAnsi="Arial"/>
          <w:sz w:val="20"/>
          <w:szCs w:val="20"/>
          <w:color w:val="auto"/>
        </w:rPr>
        <w:t>Transmission/distribution service provider</w:t>
      </w:r>
    </w:p>
    <w:p>
      <w:pPr>
        <w:spacing w:after="0" w:line="6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Texas Genco</w:t>
      </w:r>
      <w:r>
        <w:rPr>
          <w:sz w:val="20"/>
          <w:szCs w:val="20"/>
          <w:color w:val="auto"/>
        </w:rPr>
        <w:tab/>
      </w:r>
      <w:r>
        <w:rPr>
          <w:rFonts w:ascii="Arial" w:cs="Arial" w:eastAsia="Arial" w:hAnsi="Arial"/>
          <w:sz w:val="18"/>
          <w:szCs w:val="18"/>
          <w:color w:val="auto"/>
        </w:rPr>
        <w:t>Texas Genco LLC</w:t>
      </w:r>
    </w:p>
    <w:p>
      <w:pPr>
        <w:spacing w:after="0" w:line="6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TSR</w:t>
      </w:r>
      <w:r>
        <w:rPr>
          <w:sz w:val="20"/>
          <w:szCs w:val="20"/>
          <w:color w:val="auto"/>
        </w:rPr>
        <w:tab/>
      </w:r>
      <w:r>
        <w:rPr>
          <w:rFonts w:ascii="Arial" w:cs="Arial" w:eastAsia="Arial" w:hAnsi="Arial"/>
          <w:sz w:val="20"/>
          <w:szCs w:val="20"/>
          <w:color w:val="auto"/>
        </w:rPr>
        <w:t>Total Shareholder Return</w:t>
      </w:r>
    </w:p>
    <w:p>
      <w:pPr>
        <w:spacing w:after="0" w:line="6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TWh</w:t>
      </w:r>
      <w:r>
        <w:rPr>
          <w:sz w:val="20"/>
          <w:szCs w:val="20"/>
          <w:color w:val="auto"/>
        </w:rPr>
        <w:tab/>
      </w:r>
      <w:r>
        <w:rPr>
          <w:rFonts w:ascii="Arial" w:cs="Arial" w:eastAsia="Arial" w:hAnsi="Arial"/>
          <w:sz w:val="20"/>
          <w:szCs w:val="20"/>
          <w:color w:val="auto"/>
        </w:rPr>
        <w:t>Terawatt Hour</w:t>
      </w:r>
    </w:p>
    <w:p>
      <w:pPr>
        <w:spacing w:after="0" w:line="6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U.S.</w:t>
      </w:r>
      <w:r>
        <w:rPr>
          <w:sz w:val="20"/>
          <w:szCs w:val="20"/>
          <w:color w:val="auto"/>
        </w:rPr>
        <w:tab/>
      </w:r>
      <w:r>
        <w:rPr>
          <w:rFonts w:ascii="Arial" w:cs="Arial" w:eastAsia="Arial" w:hAnsi="Arial"/>
          <w:sz w:val="20"/>
          <w:szCs w:val="20"/>
          <w:color w:val="auto"/>
        </w:rPr>
        <w:t>United States of America</w:t>
      </w:r>
    </w:p>
    <w:p>
      <w:pPr>
        <w:spacing w:after="0" w:line="6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VaR</w:t>
      </w:r>
      <w:r>
        <w:rPr>
          <w:sz w:val="20"/>
          <w:szCs w:val="20"/>
          <w:color w:val="auto"/>
        </w:rPr>
        <w:tab/>
      </w:r>
      <w:r>
        <w:rPr>
          <w:rFonts w:ascii="Arial" w:cs="Arial" w:eastAsia="Arial" w:hAnsi="Arial"/>
          <w:sz w:val="20"/>
          <w:szCs w:val="20"/>
          <w:color w:val="auto"/>
        </w:rPr>
        <w:t>Value at Risk</w:t>
      </w:r>
    </w:p>
    <w:p>
      <w:pPr>
        <w:spacing w:after="0" w:line="6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VIE</w:t>
      </w:r>
      <w:r>
        <w:rPr>
          <w:sz w:val="20"/>
          <w:szCs w:val="20"/>
          <w:color w:val="auto"/>
        </w:rPr>
        <w:tab/>
      </w:r>
      <w:r>
        <w:rPr>
          <w:rFonts w:ascii="Arial" w:cs="Arial" w:eastAsia="Arial" w:hAnsi="Arial"/>
          <w:sz w:val="20"/>
          <w:szCs w:val="20"/>
          <w:color w:val="auto"/>
        </w:rPr>
        <w:t>Variable Interest Entity</w:t>
      </w:r>
    </w:p>
    <w:p>
      <w:pPr>
        <w:spacing w:after="0" w:line="5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Vivint LTIP</w:t>
      </w:r>
      <w:r>
        <w:rPr>
          <w:sz w:val="20"/>
          <w:szCs w:val="20"/>
          <w:color w:val="auto"/>
        </w:rPr>
        <w:tab/>
      </w:r>
      <w:r>
        <w:rPr>
          <w:rFonts w:ascii="Arial" w:cs="Arial" w:eastAsia="Arial" w:hAnsi="Arial"/>
          <w:sz w:val="18"/>
          <w:szCs w:val="18"/>
          <w:color w:val="auto"/>
        </w:rPr>
        <w:t>NRG Energy Inc., 2020 Omnibus Incentive Plan (Legacy Vivint) (formerly known as the</w:t>
      </w:r>
    </w:p>
    <w:p>
      <w:pPr>
        <w:ind w:left="2740"/>
        <w:spacing w:after="0" w:line="226" w:lineRule="auto"/>
        <w:rPr>
          <w:sz w:val="20"/>
          <w:szCs w:val="20"/>
          <w:color w:val="auto"/>
        </w:rPr>
      </w:pPr>
      <w:r>
        <w:rPr>
          <w:rFonts w:ascii="Arial" w:cs="Arial" w:eastAsia="Arial" w:hAnsi="Arial"/>
          <w:sz w:val="20"/>
          <w:szCs w:val="20"/>
          <w:color w:val="auto"/>
        </w:rPr>
        <w:t>Vivint Smart Home, Inc. Long-Term Incentive Plan), assumed by NRG pursuant to merger between NRG and Vivint</w:t>
      </w:r>
    </w:p>
    <w:p>
      <w:pPr>
        <w:spacing w:after="0" w:line="35"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Winter Storm Elliott</w:t>
      </w:r>
      <w:r>
        <w:rPr>
          <w:sz w:val="20"/>
          <w:szCs w:val="20"/>
          <w:color w:val="auto"/>
        </w:rPr>
        <w:tab/>
      </w:r>
      <w:r>
        <w:rPr>
          <w:rFonts w:ascii="Arial" w:cs="Arial" w:eastAsia="Arial" w:hAnsi="Arial"/>
          <w:sz w:val="18"/>
          <w:szCs w:val="18"/>
          <w:color w:val="auto"/>
        </w:rPr>
        <w:t>A major winter storm that had impacts across the majority of the United States and parts of</w:t>
      </w:r>
    </w:p>
    <w:p>
      <w:pPr>
        <w:ind w:left="2740"/>
        <w:spacing w:after="0"/>
        <w:rPr>
          <w:sz w:val="20"/>
          <w:szCs w:val="20"/>
          <w:color w:val="auto"/>
        </w:rPr>
      </w:pPr>
      <w:r>
        <w:rPr>
          <w:rFonts w:ascii="Arial" w:cs="Arial" w:eastAsia="Arial" w:hAnsi="Arial"/>
          <w:sz w:val="20"/>
          <w:szCs w:val="20"/>
          <w:color w:val="auto"/>
        </w:rPr>
        <w:t>Canada occurring in December 2022</w:t>
      </w:r>
    </w:p>
    <w:p>
      <w:pPr>
        <w:spacing w:after="0" w:line="30"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Winter Storm Uri</w:t>
      </w:r>
      <w:r>
        <w:rPr>
          <w:sz w:val="20"/>
          <w:szCs w:val="20"/>
          <w:color w:val="auto"/>
        </w:rPr>
        <w:tab/>
      </w:r>
      <w:r>
        <w:rPr>
          <w:rFonts w:ascii="Arial" w:cs="Arial" w:eastAsia="Arial" w:hAnsi="Arial"/>
          <w:sz w:val="18"/>
          <w:szCs w:val="18"/>
          <w:color w:val="auto"/>
        </w:rPr>
        <w:t>A major winter and ice storm that had widespread impacts across North America occurring</w:t>
      </w:r>
    </w:p>
    <w:p>
      <w:pPr>
        <w:ind w:left="2740"/>
        <w:spacing w:after="0"/>
        <w:rPr>
          <w:sz w:val="20"/>
          <w:szCs w:val="20"/>
          <w:color w:val="auto"/>
        </w:rPr>
      </w:pPr>
      <w:r>
        <w:rPr>
          <w:rFonts w:ascii="Arial" w:cs="Arial" w:eastAsia="Arial" w:hAnsi="Arial"/>
          <w:sz w:val="20"/>
          <w:szCs w:val="20"/>
          <w:color w:val="auto"/>
        </w:rPr>
        <w:t>in February 2021</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10040"/>
          </w:cols>
          <w:pgMar w:left="920" w:top="577" w:right="920" w:bottom="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PART I</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 Business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34"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20"/>
          <w:szCs w:val="20"/>
          <w:color w:val="auto"/>
        </w:rPr>
        <w:t>NRG Energy, Inc., or NRG or the Company, is a leading energy and smart home company fueled by market-leading brands, proprietary technologies and complementary sales channels. Across the U.S. and Canada, NRG delivers innovative, sustainable solutions, predominately under brand names such as NRG, Reliant, Direct Energy, Green Mountain Energy and Vivint, while also advocating for competitive energy markets and customer choice. The Company has a customer base that includes approximately 8 million residential customers (comprised of 6 million retail energy customers and 2 million smart home customers) in addition to commercial, industrial, and wholesale customers, supported by approximately 13 GW of generation as of December 31, 2024.</w:t>
      </w:r>
    </w:p>
    <w:p>
      <w:pPr>
        <w:spacing w:after="0" w:line="92"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NRG sold 154 TWhs of electricity and 1,833 MMDth of natural gas in 2024, making it one of the largest competitive energy retailers in the U.S. As of the end of 2024, NRG had recurring electricity and/or natural gas sales in 25 U.S. states, the District of Columbia, and 8 provinces in Canada, and Vivint Smart Home served customers in all 50 U.S. states. NRG's retail brands, collectively, have the largest share of competitively served residential electric customers in Texas and is one of the largest business-to-business providers of power and natural gas in North America, including to manufacturing, industrial, and data center facilities.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Strategy</w:t>
      </w:r>
    </w:p>
    <w:p>
      <w:pPr>
        <w:spacing w:after="0" w:line="134"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8"/>
          <w:szCs w:val="18"/>
          <w:color w:val="auto"/>
        </w:rPr>
        <w:t>NRG's strategy is to maximize shareholder value by being a leader in the emerging convergence of energy and smart automation in the home and business. Through a diversified supply strategy, the Company sells reliable electricity and natural gas to its customers in the markets it serves, while also providing innovative home solutions to customers. NRG's unique combination of assets and capabilities enables the Company to develop and sell highly differentiated offerings that bring together every day essential services like powering and securing the home through a seamless and integrated experience. This strategy is intended to enable the Company to optimize its unique integrated platform to delight customers, generate recurring cash flow, significantly strengthen earnings and cost competitiveness, and lower risk and volatility. Sustainability is a philosophy that underpins NRG’s strategy and facilitates value creation across NRG's business.</w:t>
      </w:r>
    </w:p>
    <w:p>
      <w:pPr>
        <w:spacing w:after="0" w:line="60"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To effectuate the Company’s strategy, NRG is focused on: (i) serving the energy needs of end-use residential, commercial and industrial, and wholesale counterparties in competitive markets and optimizing on additional revenue opportunities through its multiple brands and channels; (ii) offering a variety of energy products and smart home products and services that are differentiated by innovative features, premium service, integrated platforms, sustainability and loyalty/affinity programs; (iii) excellence in operating performance of its assets; (iv) achieving the optimal mix of supply to serve its customer load requirements through a diversified supply strategy; and (v) engaging in disciplined and transparent capital allocation.</w:t>
      </w:r>
    </w:p>
    <w:p>
      <w:pPr>
        <w:spacing w:after="0" w:line="5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In 2024, NRG entered into a definitive partnership agreement with Renew Home, a Virtual Power Plant platform (“VPP”) formed by the combination of Google’s Nest Renew and OhmConnect. Leveraging Google Cloud’s AI and cloud platforms, NRG and Renew Home plan to develop a VPP portfolio of up to 1 GW of load management capacity, with instantaneous dispatch value during peak events and tight supply conditions.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Business Overview</w:t>
      </w:r>
    </w:p>
    <w:p>
      <w:pPr>
        <w:spacing w:after="0" w:line="12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The Company’s core businesses are the sale of electricity and natural gas to residential, commercial and industrial and wholesale customers, supported by the Company's wholesale electric generation, as well as the sale of smart home products and services. NRG manages its electricity and natural gas operations based on the combined results of the retail, wholesale and generation businesses with a geographical focus. Vivint Smart Home operations are reported within the Vivint Smart Home segment.</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Company's business is segmented as follows:</w:t>
      </w:r>
    </w:p>
    <w:p>
      <w:pPr>
        <w:spacing w:after="0" w:line="117" w:lineRule="exact"/>
        <w:rPr>
          <w:sz w:val="20"/>
          <w:szCs w:val="20"/>
          <w:color w:val="auto"/>
        </w:rPr>
      </w:pPr>
    </w:p>
    <w:p>
      <w:pPr>
        <w:ind w:left="720" w:hanging="273"/>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Texas, which includes all activity related to customer, plant and market operations in Texas, other than Cottonwood;</w:t>
      </w:r>
    </w:p>
    <w:p>
      <w:pPr>
        <w:spacing w:after="0" w:line="90" w:lineRule="exact"/>
        <w:rPr>
          <w:rFonts w:ascii="Arial" w:cs="Arial" w:eastAsia="Arial" w:hAnsi="Arial"/>
          <w:sz w:val="18"/>
          <w:szCs w:val="18"/>
          <w:color w:val="auto"/>
        </w:rPr>
      </w:pPr>
    </w:p>
    <w:p>
      <w:pPr>
        <w:ind w:left="720" w:hanging="273"/>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East, which includes all activity related to customer, plant and market operations in the East;</w:t>
      </w:r>
    </w:p>
    <w:p>
      <w:pPr>
        <w:spacing w:after="0" w:line="67" w:lineRule="exact"/>
        <w:rPr>
          <w:rFonts w:ascii="Arial" w:cs="Arial" w:eastAsia="Arial" w:hAnsi="Arial"/>
          <w:sz w:val="20"/>
          <w:szCs w:val="20"/>
          <w:color w:val="auto"/>
        </w:rPr>
      </w:pPr>
    </w:p>
    <w:p>
      <w:pPr>
        <w:jc w:val="both"/>
        <w:ind w:left="720" w:hanging="273"/>
        <w:spacing w:after="0" w:line="262"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West/Services/Other, which primarily includes the following assets and activities: (i) all activity related to customer, plant and market operations in the West and Canada, and (ii) activity related to the Cottonwood facility and other investments;</w:t>
      </w:r>
    </w:p>
    <w:p>
      <w:pPr>
        <w:spacing w:after="0" w:line="19" w:lineRule="exact"/>
        <w:rPr>
          <w:rFonts w:ascii="Arial" w:cs="Arial" w:eastAsia="Arial" w:hAnsi="Arial"/>
          <w:sz w:val="20"/>
          <w:szCs w:val="20"/>
          <w:color w:val="auto"/>
        </w:rPr>
      </w:pPr>
    </w:p>
    <w:p>
      <w:pPr>
        <w:ind w:left="720" w:hanging="273"/>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Vivint Smart Home; and</w:t>
      </w:r>
    </w:p>
    <w:p>
      <w:pPr>
        <w:spacing w:after="0" w:line="67" w:lineRule="exact"/>
        <w:rPr>
          <w:rFonts w:ascii="Arial" w:cs="Arial" w:eastAsia="Arial" w:hAnsi="Arial"/>
          <w:sz w:val="20"/>
          <w:szCs w:val="20"/>
          <w:color w:val="auto"/>
        </w:rPr>
      </w:pPr>
    </w:p>
    <w:p>
      <w:pPr>
        <w:ind w:left="720" w:hanging="273"/>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Corporate activities.</w:t>
      </w:r>
    </w:p>
    <w:p>
      <w:pPr>
        <w:sectPr>
          <w:pgSz w:w="11880" w:h="15480" w:orient="portrait"/>
          <w:cols w:equalWidth="0" w:num="1">
            <w:col w:w="10160"/>
          </w:cols>
          <w:pgMar w:left="860" w:top="743"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10160"/>
          </w:cols>
          <w:pgMar w:left="860" w:top="743" w:right="860" w:bottom="0" w:gutter="0" w:footer="0" w:header="0"/>
          <w:type w:val="continuous"/>
        </w:sectPr>
      </w:pPr>
    </w:p>
    <w:bookmarkStart w:id="9" w:name="page10"/>
    <w:bookmarkEnd w:id="9"/>
    <w:p>
      <w:pPr>
        <w:jc w:val="both"/>
        <w:ind w:firstLine="445"/>
        <w:spacing w:after="0" w:line="307" w:lineRule="auto"/>
        <w:rPr>
          <w:sz w:val="20"/>
          <w:szCs w:val="20"/>
          <w:color w:val="auto"/>
        </w:rPr>
      </w:pPr>
      <w:r>
        <w:rPr>
          <w:rFonts w:ascii="Arial" w:cs="Arial" w:eastAsia="Arial" w:hAnsi="Arial"/>
          <w:sz w:val="16"/>
          <w:szCs w:val="16"/>
          <w:color w:val="auto"/>
        </w:rPr>
        <w:t>In Texas, the Company’s generation supply is fully integrated with its retail load. This integrated model provides the advantage of being able to supply a portion of the Company’s retail customers with electricity from the Company’s assets, which reduces the need to sell electricity to, and buy electricity from, other institutions and intermediaries, resulting in more stable earnings and cash flows, lower transaction costs and less credit exposure. The integrated model also results in a reduction</w:t>
      </w:r>
    </w:p>
    <w:p>
      <w:pPr>
        <w:spacing w:after="0"/>
        <w:rPr>
          <w:sz w:val="20"/>
          <w:szCs w:val="20"/>
          <w:color w:val="auto"/>
        </w:rPr>
      </w:pPr>
      <w:r>
        <w:rPr>
          <w:rFonts w:ascii="Arial" w:cs="Arial" w:eastAsia="Arial" w:hAnsi="Arial"/>
          <w:sz w:val="20"/>
          <w:szCs w:val="20"/>
          <w:color w:val="auto"/>
        </w:rPr>
        <w:t>in actual and contingent collateral through offsetting transactions, thereby reducing transactions with third parties.</w:t>
      </w:r>
    </w:p>
    <w:p>
      <w:pPr>
        <w:spacing w:after="0" w:line="131" w:lineRule="exact"/>
        <w:rPr>
          <w:sz w:val="20"/>
          <w:szCs w:val="20"/>
          <w:color w:val="auto"/>
        </w:rPr>
      </w:pPr>
    </w:p>
    <w:p>
      <w:pPr>
        <w:ind w:right="280" w:firstLine="445"/>
        <w:spacing w:after="0" w:line="277" w:lineRule="auto"/>
        <w:rPr>
          <w:sz w:val="20"/>
          <w:szCs w:val="20"/>
          <w:color w:val="auto"/>
        </w:rPr>
      </w:pPr>
      <w:r>
        <w:rPr>
          <w:rFonts w:ascii="Arial" w:cs="Arial" w:eastAsia="Arial" w:hAnsi="Arial"/>
          <w:sz w:val="20"/>
          <w:szCs w:val="20"/>
          <w:color w:val="auto"/>
        </w:rPr>
        <w:t>The integrated model consists of three core functions in each geographic segment above: Customer Operations, Market Operations and Plant Operations.</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Customer Operations</w:t>
      </w:r>
    </w:p>
    <w:p>
      <w:pPr>
        <w:spacing w:after="0" w:line="124"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19"/>
          <w:szCs w:val="19"/>
          <w:color w:val="auto"/>
        </w:rPr>
        <w:t>Customer Operations is responsible for growing and retaining the customer base and delivering an outstanding customer experience. This includes acquisition and retention of all of NRG’s residential, small commercial, commercial and industrial, and government customers. NRG employs a multi-brand strategy that leverages a wide array of sales and partnership channels, direct face-to-face sales channels, call centers, websites, and brokers. Go-to-market activities include market strategy planning and development, product innovation, offer design, campaign execution, marketing and creative services, and selling. Customer portfolio maintenance and retention activities include fulfillment, billing, payment processing, collections, customer service, issue resolution, and contract renewals. NRG provides energy and related services at either fixed, indexed or month-to-month prices. Home customers typically contract for terms ranging from one month to five years, while Business customers typically contract for terms ranging from one year to five years in length and extended contractual terms are available. Throughout all Customer Operations activities, the customer experience is kept at the forefront to inform decision-making and optimize retention, while creating supporters and advocates for NRG’s brands in the market. Customer Operations primarily comprises two end-use customer facing teams: NRG Home, which serves residential customers, and NRG Business, which serves business customers.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Product Offerings</w:t>
      </w:r>
    </w:p>
    <w:p>
      <w:pPr>
        <w:spacing w:after="0" w:line="130"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20"/>
          <w:szCs w:val="20"/>
          <w:color w:val="auto"/>
        </w:rPr>
        <w:t>NRG sells a variety of products to residential and small commercial customers, in a wide variety of sales channels, including retail electricity and energy management, natural gas, line and surge protection products and home protection products, repair and maintenance, and carbon offsets. Home customers make purchase decisions based on a variety of factors, including price, incentive, customer service, brand, innovative offers/features and referrals from friends and family. Through its broad range of service offerings and value propositions, NRG seeks to attract, retain, and increase the value of its customer relationships. NRG's brands are recognized for exemplary customer service, innovative smart energy and environmentally-friendly solutions.</w:t>
      </w:r>
    </w:p>
    <w:p>
      <w:pPr>
        <w:spacing w:after="0" w:line="92"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Company provides power and natural gas to the business-to-business markets in North America, as well as retail services, including demand response, commodity sales, energy efficiency and energy management solutions to Business customers. The Company is an integrated provider of supply and distributed energy resources and focuses on distributed products as businesses seek greater reliability, cleaner power and other benefits that they cannot obtain from the grid. These solutions include system power, distributed generation, renewable and low-carbon products, carbon management and specialty services, backup generation, storage and distributed solar, demand response, and energy efficiency and advisory services.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Market Operations</w:t>
      </w:r>
    </w:p>
    <w:p>
      <w:pPr>
        <w:spacing w:after="0" w:line="13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Market Operations has two primary objectives: to supply energy to customers in the most cost-efficient manner and to maximize the value of the Company's assets in satisfying its customer load requirements. These objectives are intended to reduce supply costs and maximize earnings with predictable cash flows.</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Power and natural gas are the two main commercial groups within Market Operations.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Power</w:t>
      </w:r>
    </w:p>
    <w:p>
      <w:pPr>
        <w:spacing w:after="0" w:line="13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The power commercial group is responsible for end-use electricity supply including power plant optimization and certain fuel supply. To meet the market operations objectives, NRG enters into supply, power and gas hedging agreements via a wide range of products and contracts, including (i) physical and financial commodity instruments, (ii) fuel supply and transportation contracts, (iii) PPAs and Renewable PPAs, and (iv) capacity and other contracted revenue or supply sources, as further discussed below.</w:t>
      </w:r>
    </w:p>
    <w:p>
      <w:pPr>
        <w:spacing w:after="0" w:line="8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In addition, because changes in power prices in the markets where NRG operates are generally correlated to changes in natural gas prices, NRG uses hedging strategies that may include power and natural gas forward purchases and sales contracts to manage commodity price risk.</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Physical and Financial Commodity Instruments</w:t>
      </w:r>
    </w:p>
    <w:p>
      <w:pPr>
        <w:spacing w:after="0" w:line="126" w:lineRule="exact"/>
        <w:rPr>
          <w:sz w:val="20"/>
          <w:szCs w:val="20"/>
          <w:color w:val="auto"/>
        </w:rPr>
      </w:pPr>
    </w:p>
    <w:p>
      <w:pPr>
        <w:jc w:val="both"/>
        <w:ind w:firstLine="445"/>
        <w:spacing w:after="0" w:line="335" w:lineRule="auto"/>
        <w:rPr>
          <w:sz w:val="20"/>
          <w:szCs w:val="20"/>
          <w:color w:val="auto"/>
        </w:rPr>
      </w:pPr>
      <w:r>
        <w:rPr>
          <w:rFonts w:ascii="Arial" w:cs="Arial" w:eastAsia="Arial" w:hAnsi="Arial"/>
          <w:sz w:val="18"/>
          <w:szCs w:val="18"/>
          <w:color w:val="auto"/>
        </w:rPr>
        <w:t>NRG trades power, natural gas, environmental, weather and other physical and financial commodity related products, including forwards, futures, options and swaps. NRG enters into these instruments primarily to manage price and delivery risk,</w:t>
      </w:r>
    </w:p>
    <w:p>
      <w:pPr>
        <w:sectPr>
          <w:pgSz w:w="11880" w:h="15480" w:orient="portrait"/>
          <w:cols w:equalWidth="0" w:num="1">
            <w:col w:w="10160"/>
          </w:cols>
          <w:pgMar w:left="860" w:top="512" w:right="860" w:bottom="0" w:gutter="0" w:footer="0" w:header="0"/>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10160"/>
          </w:cols>
          <w:pgMar w:left="860" w:top="512" w:right="860" w:bottom="0" w:gutter="0" w:footer="0" w:header="0"/>
          <w:type w:val="continuous"/>
        </w:sectPr>
      </w:pPr>
    </w:p>
    <w:bookmarkStart w:id="10" w:name="page11"/>
    <w:bookmarkEnd w:id="10"/>
    <w:p>
      <w:pPr>
        <w:jc w:val="both"/>
        <w:spacing w:after="0" w:line="277" w:lineRule="auto"/>
        <w:rPr>
          <w:sz w:val="20"/>
          <w:szCs w:val="20"/>
          <w:color w:val="auto"/>
        </w:rPr>
      </w:pPr>
      <w:r>
        <w:rPr>
          <w:rFonts w:ascii="Arial" w:cs="Arial" w:eastAsia="Arial" w:hAnsi="Arial"/>
          <w:sz w:val="20"/>
          <w:szCs w:val="20"/>
          <w:color w:val="auto"/>
        </w:rPr>
        <w:t>optimize physical and contractual assets in the portfolio, manage working capital requirements, reduce the carbon exposure in its business and comply with laws and regulations.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Fuel Supply and Transportation Contracts</w:t>
      </w:r>
    </w:p>
    <w:p>
      <w:pPr>
        <w:spacing w:after="0" w:line="126"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8"/>
          <w:szCs w:val="18"/>
          <w:color w:val="auto"/>
        </w:rPr>
        <w:t>NRG's fuel requirements consist of various forms of fossil fuel. The prices of fossil fuels can be volatile. The Company obtains its fossil fuels from multiple suppliers and through multiple transporters. Although availability is generally not an issue, localized shortages, transportation availability, delays arising from extreme weather conditions and supplier financial stability issues can and do occur. The preceding factors related to the sources and availability of raw materials are fairly uniform across the Company's business and fuel products used. NRG's primary fuel requirements consist of the following:</w:t>
      </w:r>
    </w:p>
    <w:p>
      <w:pPr>
        <w:spacing w:after="0" w:line="52"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20"/>
          <w:szCs w:val="20"/>
          <w:b w:val="1"/>
          <w:bCs w:val="1"/>
          <w:i w:val="1"/>
          <w:iCs w:val="1"/>
          <w:color w:val="auto"/>
        </w:rPr>
        <w:t xml:space="preserve">Natural Gas </w:t>
      </w:r>
      <w:r>
        <w:rPr>
          <w:rFonts w:ascii="Arial" w:cs="Arial" w:eastAsia="Arial" w:hAnsi="Arial"/>
          <w:sz w:val="20"/>
          <w:szCs w:val="20"/>
          <w:color w:val="auto"/>
        </w:rPr>
        <w:t>— NRG operates a fleet of mid-merit and peaking natural gas plants. Fuel needs are managed by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natural gas commercial group, generally on a spot basis, as the Company does not believe it is prudent to forward purchase natural gas for these types of units as the dispatch is highly unpredictable. Natural gas storage and transportation contracts are utilized to reduce daily volatility.</w:t>
      </w:r>
    </w:p>
    <w:p>
      <w:pPr>
        <w:spacing w:after="0" w:line="76" w:lineRule="exact"/>
        <w:rPr>
          <w:sz w:val="20"/>
          <w:szCs w:val="20"/>
          <w:color w:val="auto"/>
        </w:rPr>
      </w:pPr>
    </w:p>
    <w:p>
      <w:pPr>
        <w:jc w:val="both"/>
        <w:ind w:firstLine="713"/>
        <w:spacing w:after="0" w:line="253" w:lineRule="auto"/>
        <w:rPr>
          <w:sz w:val="20"/>
          <w:szCs w:val="20"/>
          <w:color w:val="auto"/>
        </w:rPr>
      </w:pPr>
      <w:r>
        <w:rPr>
          <w:rFonts w:ascii="Arial" w:cs="Arial" w:eastAsia="Arial" w:hAnsi="Arial"/>
          <w:sz w:val="20"/>
          <w:szCs w:val="20"/>
          <w:b w:val="1"/>
          <w:bCs w:val="1"/>
          <w:i w:val="1"/>
          <w:iCs w:val="1"/>
          <w:color w:val="auto"/>
        </w:rPr>
        <w:t xml:space="preserve">Coal </w:t>
      </w:r>
      <w:r>
        <w:rPr>
          <w:rFonts w:ascii="Arial" w:cs="Arial" w:eastAsia="Arial" w:hAnsi="Arial"/>
          <w:sz w:val="20"/>
          <w:szCs w:val="20"/>
          <w:color w:val="auto"/>
        </w:rPr>
        <w:t>— NRG actively manages its coal requirements based on forecasted generation, market volatility and its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inventory on site. The Company believes it is adequately hedged, using forward coal supply agreements, for its domestic coal consumption for 2025. As of December 31, 2024, NRG had purchased forward contracts to provide fuel for the Company's expected requirements for 2025. For the domestic fleet, NRG purchased approximately 13 million tons of coal in 2024, all of which was Powder River Basin coal. For fuel transport, NRG has entered into various rail transportation and rail car lease agreements with varying tenures, which will provide for the Company's transportation requirements of Powder River Basin coal for the next four years.</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Renewable PPAs</w:t>
      </w:r>
    </w:p>
    <w:p>
      <w:pPr>
        <w:spacing w:after="0" w:line="126"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8"/>
          <w:szCs w:val="18"/>
          <w:color w:val="auto"/>
        </w:rPr>
        <w:t>The Company's strategy is to procure mid to long-term renewable generation through power purchase agreements. NRG has entered into Renewable PPAs totaling approximately 1.9 GW with third-party project developers and other counterparties, of which all are operational as of December 31, 2024. The remaining average tenure of these agreements is nine years. The Company expects to continue evaluating and executing similar agreements that support the needs of the business. The total GW entered into through Renewable PPAs may be impacted by contract terminations when they occur.</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Capacity and Other Contracted Revenue or Supply Sources</w:t>
      </w:r>
    </w:p>
    <w:p>
      <w:pPr>
        <w:spacing w:after="0" w:line="126"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NRG's revenues and/or cash flows, primarily in the East and West, benefit from capacity/demand payments and other contracted revenue sources, originating from market clearing capacity prices, tolling arrangements and other long-term contractual arrangements.</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Natural Gas</w:t>
      </w:r>
    </w:p>
    <w:p>
      <w:pPr>
        <w:spacing w:after="0" w:line="130"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8"/>
          <w:szCs w:val="18"/>
          <w:color w:val="auto"/>
        </w:rPr>
        <w:t>The natural gas commercial group is responsible for costing, logistics and supply for all of NRG's residential, commercial and industrial, and wholesale customers. NRG has contractual rights to natural gas transportation and storage assets across its footprint that allow for optimal supply economics in support of its various businesses. NRG's diversified load coupled with this asset portfolio enables the Company to deliver supply economically while providing incremental optimization activities when market conditions allow. The scale of the natural gas operation extends from the wellhead (through its producer services business) to end use customers (through NRG's various sales channels). This scale, coupled with the Company's associated assets, gas system platform and people, create significant value across North America.</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Plant Operations</w:t>
      </w:r>
    </w:p>
    <w:p>
      <w:pPr>
        <w:spacing w:after="0" w:line="13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As of December 31, 2024, the Company owns and leases a diversified wholesale generation portfolio with approximately 13 GW of fossil fuel, and renewable generation capacity at 18 plants. The Company's wholesale generation assets are diversified by fuel-type and dispatch level, which helps mitigate the risks associated with fuel price volatility and market demand cycles. NRG continually evaluates its generation portfolio to focus on asset optimization opportunities and the locational value of its generation assets in each of the markets where the Company participates, as well as opportunities for the development of new generation.</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10160"/>
          </w:cols>
          <w:pgMar w:left="860" w:top="512" w:right="860" w:bottom="0" w:gutter="0" w:footer="0" w:header="0"/>
          <w:type w:val="continuous"/>
        </w:sectPr>
      </w:pPr>
    </w:p>
    <w:bookmarkStart w:id="11" w:name="page12"/>
    <w:bookmarkEnd w:id="11"/>
    <w:p>
      <w:pPr>
        <w:ind w:left="440"/>
        <w:spacing w:after="0"/>
        <w:rPr>
          <w:sz w:val="20"/>
          <w:szCs w:val="20"/>
          <w:color w:val="auto"/>
        </w:rPr>
      </w:pPr>
      <w:r>
        <w:rPr>
          <w:rFonts w:ascii="Arial" w:cs="Arial" w:eastAsia="Arial" w:hAnsi="Arial"/>
          <w:sz w:val="20"/>
          <w:szCs w:val="20"/>
          <w:color w:val="auto"/>
        </w:rPr>
        <w:t>The following table summarizes NRG's generation portfolio as of December 31, 2024:</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3"/>
          </w:tcPr>
          <w:p>
            <w:pPr>
              <w:jc w:val="right"/>
              <w:ind w:right="1005"/>
              <w:spacing w:after="0"/>
              <w:rPr>
                <w:sz w:val="20"/>
                <w:szCs w:val="20"/>
                <w:color w:val="auto"/>
              </w:rPr>
            </w:pPr>
            <w:r>
              <w:rPr>
                <w:rFonts w:ascii="Arial" w:cs="Arial" w:eastAsia="Arial" w:hAnsi="Arial"/>
                <w:sz w:val="18"/>
                <w:szCs w:val="18"/>
                <w:b w:val="1"/>
                <w:bCs w:val="1"/>
                <w:color w:val="auto"/>
              </w:rPr>
              <w:t>(In MW)</w:t>
            </w:r>
            <w:r>
              <w:rPr>
                <w:rFonts w:ascii="Arial" w:cs="Arial" w:eastAsia="Arial" w:hAnsi="Arial"/>
                <w:sz w:val="23"/>
                <w:szCs w:val="23"/>
                <w:b w:val="1"/>
                <w:bCs w:val="1"/>
                <w:color w:val="auto"/>
                <w:vertAlign w:val="superscript"/>
              </w:rPr>
              <w:t>(a)</w:t>
            </w:r>
          </w:p>
        </w:tc>
        <w:tc>
          <w:tcPr>
            <w:tcW w:w="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47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Type</w:t>
            </w:r>
          </w:p>
        </w:tc>
        <w:tc>
          <w:tcPr>
            <w:tcW w:w="60" w:type="dxa"/>
            <w:vAlign w:val="bottom"/>
            <w:vMerge w:val="restart"/>
          </w:tcPr>
          <w:p>
            <w:pPr>
              <w:spacing w:after="0"/>
              <w:rPr>
                <w:sz w:val="17"/>
                <w:szCs w:val="17"/>
                <w:color w:val="auto"/>
              </w:rPr>
            </w:pPr>
          </w:p>
        </w:tc>
        <w:tc>
          <w:tcPr>
            <w:tcW w:w="1360" w:type="dxa"/>
            <w:vAlign w:val="bottom"/>
            <w:vMerge w:val="restart"/>
          </w:tcPr>
          <w:p>
            <w:pPr>
              <w:jc w:val="right"/>
              <w:ind w:right="363"/>
              <w:spacing w:after="0"/>
              <w:rPr>
                <w:sz w:val="20"/>
                <w:szCs w:val="20"/>
                <w:color w:val="auto"/>
              </w:rPr>
            </w:pPr>
            <w:r>
              <w:rPr>
                <w:rFonts w:ascii="Arial" w:cs="Arial" w:eastAsia="Arial" w:hAnsi="Arial"/>
                <w:sz w:val="18"/>
                <w:szCs w:val="18"/>
                <w:b w:val="1"/>
                <w:bCs w:val="1"/>
                <w:color w:val="auto"/>
              </w:rPr>
              <w:t>Texas</w:t>
            </w:r>
          </w:p>
        </w:tc>
        <w:tc>
          <w:tcPr>
            <w:tcW w:w="80" w:type="dxa"/>
            <w:vAlign w:val="bottom"/>
          </w:tcPr>
          <w:p>
            <w:pPr>
              <w:spacing w:after="0"/>
              <w:rPr>
                <w:sz w:val="17"/>
                <w:szCs w:val="17"/>
                <w:color w:val="auto"/>
              </w:rPr>
            </w:pPr>
          </w:p>
        </w:tc>
        <w:tc>
          <w:tcPr>
            <w:tcW w:w="1320" w:type="dxa"/>
            <w:vAlign w:val="bottom"/>
            <w:vMerge w:val="restart"/>
          </w:tcPr>
          <w:p>
            <w:pPr>
              <w:jc w:val="right"/>
              <w:ind w:right="406"/>
              <w:spacing w:after="0"/>
              <w:rPr>
                <w:sz w:val="20"/>
                <w:szCs w:val="20"/>
                <w:color w:val="auto"/>
              </w:rPr>
            </w:pPr>
            <w:r>
              <w:rPr>
                <w:rFonts w:ascii="Arial" w:cs="Arial" w:eastAsia="Arial" w:hAnsi="Arial"/>
                <w:sz w:val="18"/>
                <w:szCs w:val="18"/>
                <w:b w:val="1"/>
                <w:bCs w:val="1"/>
                <w:color w:val="auto"/>
              </w:rPr>
              <w:t>East</w:t>
            </w:r>
          </w:p>
        </w:tc>
        <w:tc>
          <w:tcPr>
            <w:tcW w:w="60" w:type="dxa"/>
            <w:vAlign w:val="bottom"/>
          </w:tcPr>
          <w:p>
            <w:pPr>
              <w:spacing w:after="0"/>
              <w:rPr>
                <w:sz w:val="17"/>
                <w:szCs w:val="17"/>
                <w:color w:val="auto"/>
              </w:rPr>
            </w:pPr>
          </w:p>
        </w:tc>
        <w:tc>
          <w:tcPr>
            <w:tcW w:w="1340" w:type="dxa"/>
            <w:vAlign w:val="bottom"/>
          </w:tcPr>
          <w:p>
            <w:pPr>
              <w:jc w:val="right"/>
              <w:ind w:right="25"/>
              <w:spacing w:after="0" w:line="204" w:lineRule="exact"/>
              <w:rPr>
                <w:sz w:val="20"/>
                <w:szCs w:val="20"/>
                <w:color w:val="auto"/>
              </w:rPr>
            </w:pPr>
            <w:r>
              <w:rPr>
                <w:rFonts w:ascii="Arial" w:cs="Arial" w:eastAsia="Arial" w:hAnsi="Arial"/>
                <w:sz w:val="18"/>
                <w:szCs w:val="18"/>
                <w:b w:val="1"/>
                <w:bCs w:val="1"/>
                <w:color w:val="auto"/>
                <w:w w:val="94"/>
              </w:rPr>
              <w:t>West/Services/</w:t>
            </w:r>
          </w:p>
        </w:tc>
        <w:tc>
          <w:tcPr>
            <w:tcW w:w="60" w:type="dxa"/>
            <w:vAlign w:val="bottom"/>
          </w:tcPr>
          <w:p>
            <w:pPr>
              <w:spacing w:after="0"/>
              <w:rPr>
                <w:sz w:val="17"/>
                <w:szCs w:val="17"/>
                <w:color w:val="auto"/>
              </w:rPr>
            </w:pPr>
          </w:p>
        </w:tc>
        <w:tc>
          <w:tcPr>
            <w:tcW w:w="1100" w:type="dxa"/>
            <w:vAlign w:val="bottom"/>
            <w:vMerge w:val="restart"/>
          </w:tcPr>
          <w:p>
            <w:pPr>
              <w:jc w:val="right"/>
              <w:ind w:right="244"/>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6"/>
        </w:trPr>
        <w:tc>
          <w:tcPr>
            <w:tcW w:w="476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Borders>
              <w:bottom w:val="single" w:sz="8" w:color="auto"/>
            </w:tcBorders>
          </w:tcPr>
          <w:p>
            <w:pPr>
              <w:jc w:val="right"/>
              <w:ind w:right="285"/>
              <w:spacing w:after="0" w:line="236" w:lineRule="exact"/>
              <w:rPr>
                <w:sz w:val="20"/>
                <w:szCs w:val="20"/>
                <w:color w:val="auto"/>
              </w:rPr>
            </w:pPr>
            <w:r>
              <w:rPr>
                <w:rFonts w:ascii="Arial" w:cs="Arial" w:eastAsia="Arial" w:hAnsi="Arial"/>
                <w:sz w:val="18"/>
                <w:szCs w:val="18"/>
                <w:b w:val="1"/>
                <w:bCs w:val="1"/>
                <w:color w:val="auto"/>
              </w:rPr>
              <w:t>Other</w:t>
            </w:r>
            <w:r>
              <w:rPr>
                <w:rFonts w:ascii="Arial" w:cs="Arial" w:eastAsia="Arial" w:hAnsi="Arial"/>
                <w:sz w:val="23"/>
                <w:szCs w:val="23"/>
                <w:b w:val="1"/>
                <w:bCs w:val="1"/>
                <w:color w:val="auto"/>
                <w:vertAlign w:val="superscript"/>
              </w:rPr>
              <w:t>(b)</w:t>
            </w:r>
          </w:p>
        </w:tc>
        <w:tc>
          <w:tcPr>
            <w:tcW w:w="60" w:type="dxa"/>
            <w:vAlign w:val="bottom"/>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4820" w:type="dxa"/>
            <w:vAlign w:val="bottom"/>
            <w:gridSpan w:val="2"/>
          </w:tcPr>
          <w:p>
            <w:pPr>
              <w:ind w:left="60"/>
              <w:spacing w:after="0"/>
              <w:rPr>
                <w:sz w:val="20"/>
                <w:szCs w:val="20"/>
                <w:color w:val="auto"/>
              </w:rPr>
            </w:pPr>
            <w:r>
              <w:rPr>
                <w:rFonts w:ascii="Arial" w:cs="Arial" w:eastAsia="Arial" w:hAnsi="Arial"/>
                <w:sz w:val="20"/>
                <w:szCs w:val="20"/>
                <w:color w:val="auto"/>
                <w:w w:val="92"/>
              </w:rPr>
              <w:t xml:space="preserve">Natural gas </w:t>
            </w:r>
            <w:r>
              <w:rPr>
                <w:rFonts w:ascii="Arial" w:cs="Arial" w:eastAsia="Arial" w:hAnsi="Arial"/>
                <w:sz w:val="20"/>
                <w:szCs w:val="20"/>
                <w:color w:val="B4B4B4"/>
                <w:w w:val="92"/>
              </w:rPr>
              <w:t>. . . . . . . . . . . . . . . . . . . . . . . . . . . . . . . . . . . . .</w:t>
            </w:r>
          </w:p>
        </w:tc>
        <w:tc>
          <w:tcPr>
            <w:tcW w:w="1360" w:type="dxa"/>
            <w:vAlign w:val="bottom"/>
          </w:tcPr>
          <w:p>
            <w:pPr>
              <w:jc w:val="right"/>
              <w:spacing w:after="0"/>
              <w:rPr>
                <w:sz w:val="20"/>
                <w:szCs w:val="20"/>
                <w:color w:val="auto"/>
              </w:rPr>
            </w:pPr>
            <w:r>
              <w:rPr>
                <w:rFonts w:ascii="Arial" w:cs="Arial" w:eastAsia="Arial" w:hAnsi="Arial"/>
                <w:sz w:val="20"/>
                <w:szCs w:val="20"/>
                <w:color w:val="auto"/>
              </w:rPr>
              <w:t>4,353</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80</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1,252</w:t>
            </w:r>
          </w:p>
        </w:tc>
        <w:tc>
          <w:tcPr>
            <w:tcW w:w="1160" w:type="dxa"/>
            <w:vAlign w:val="bottom"/>
            <w:tcBorders>
              <w:right w:val="single" w:sz="8" w:color="E6E6E6"/>
            </w:tcBorders>
            <w:gridSpan w:val="2"/>
          </w:tcPr>
          <w:p>
            <w:pPr>
              <w:jc w:val="right"/>
              <w:ind w:right="4"/>
              <w:spacing w:after="0"/>
              <w:rPr>
                <w:sz w:val="20"/>
                <w:szCs w:val="20"/>
                <w:color w:val="auto"/>
              </w:rPr>
            </w:pPr>
            <w:r>
              <w:rPr>
                <w:rFonts w:ascii="Arial" w:cs="Arial" w:eastAsia="Arial" w:hAnsi="Arial"/>
                <w:sz w:val="20"/>
                <w:szCs w:val="20"/>
                <w:color w:val="auto"/>
              </w:rPr>
              <w:t>5,685</w:t>
            </w:r>
          </w:p>
        </w:tc>
        <w:tc>
          <w:tcPr>
            <w:tcW w:w="0" w:type="dxa"/>
            <w:vAlign w:val="bottom"/>
          </w:tcPr>
          <w:p>
            <w:pPr>
              <w:spacing w:after="0"/>
              <w:rPr>
                <w:sz w:val="1"/>
                <w:szCs w:val="1"/>
                <w:color w:val="auto"/>
              </w:rPr>
            </w:pPr>
          </w:p>
        </w:tc>
      </w:tr>
      <w:tr>
        <w:trPr>
          <w:trHeight w:val="285"/>
        </w:trPr>
        <w:tc>
          <w:tcPr>
            <w:tcW w:w="4820" w:type="dxa"/>
            <w:vAlign w:val="bottom"/>
            <w:gridSpan w:val="2"/>
          </w:tcPr>
          <w:p>
            <w:pPr>
              <w:ind w:left="60"/>
              <w:spacing w:after="0"/>
              <w:rPr>
                <w:sz w:val="20"/>
                <w:szCs w:val="20"/>
                <w:color w:val="auto"/>
              </w:rPr>
            </w:pPr>
            <w:r>
              <w:rPr>
                <w:rFonts w:ascii="Arial" w:cs="Arial" w:eastAsia="Arial" w:hAnsi="Arial"/>
                <w:sz w:val="20"/>
                <w:szCs w:val="20"/>
                <w:color w:val="auto"/>
                <w:w w:val="91"/>
              </w:rPr>
              <w:t xml:space="preserve">Coal </w:t>
            </w:r>
            <w:r>
              <w:rPr>
                <w:rFonts w:ascii="Arial" w:cs="Arial" w:eastAsia="Arial" w:hAnsi="Arial"/>
                <w:sz w:val="20"/>
                <w:szCs w:val="20"/>
                <w:color w:val="B4B4B4"/>
                <w:w w:val="91"/>
              </w:rPr>
              <w:t>. . . . . . . . . . . . . . . . . . . . . . . . . . . . . . . . . . . . . . . . . . .</w:t>
            </w:r>
          </w:p>
        </w:tc>
        <w:tc>
          <w:tcPr>
            <w:tcW w:w="1360" w:type="dxa"/>
            <w:vAlign w:val="bottom"/>
          </w:tcPr>
          <w:p>
            <w:pPr>
              <w:jc w:val="right"/>
              <w:spacing w:after="0"/>
              <w:rPr>
                <w:sz w:val="20"/>
                <w:szCs w:val="20"/>
                <w:color w:val="auto"/>
              </w:rPr>
            </w:pPr>
            <w:r>
              <w:rPr>
                <w:rFonts w:ascii="Arial" w:cs="Arial" w:eastAsia="Arial" w:hAnsi="Arial"/>
                <w:sz w:val="20"/>
                <w:szCs w:val="20"/>
                <w:color w:val="auto"/>
              </w:rPr>
              <w:t>4,174</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1,948</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605</w:t>
            </w:r>
          </w:p>
        </w:tc>
        <w:tc>
          <w:tcPr>
            <w:tcW w:w="1160" w:type="dxa"/>
            <w:vAlign w:val="bottom"/>
            <w:gridSpan w:val="2"/>
          </w:tcPr>
          <w:p>
            <w:pPr>
              <w:jc w:val="right"/>
              <w:ind w:right="4"/>
              <w:spacing w:after="0"/>
              <w:rPr>
                <w:sz w:val="20"/>
                <w:szCs w:val="20"/>
                <w:color w:val="auto"/>
              </w:rPr>
            </w:pPr>
            <w:r>
              <w:rPr>
                <w:rFonts w:ascii="Arial" w:cs="Arial" w:eastAsia="Arial" w:hAnsi="Arial"/>
                <w:sz w:val="20"/>
                <w:szCs w:val="20"/>
                <w:color w:val="auto"/>
              </w:rPr>
              <w:t>6,727</w:t>
            </w:r>
          </w:p>
        </w:tc>
        <w:tc>
          <w:tcPr>
            <w:tcW w:w="0" w:type="dxa"/>
            <w:vAlign w:val="bottom"/>
          </w:tcPr>
          <w:p>
            <w:pPr>
              <w:spacing w:after="0"/>
              <w:rPr>
                <w:sz w:val="1"/>
                <w:szCs w:val="1"/>
                <w:color w:val="auto"/>
              </w:rPr>
            </w:pPr>
          </w:p>
        </w:tc>
      </w:tr>
      <w:tr>
        <w:trPr>
          <w:trHeight w:val="309"/>
        </w:trPr>
        <w:tc>
          <w:tcPr>
            <w:tcW w:w="4820" w:type="dxa"/>
            <w:vAlign w:val="bottom"/>
            <w:gridSpan w:val="2"/>
          </w:tcPr>
          <w:p>
            <w:pPr>
              <w:ind w:left="60"/>
              <w:spacing w:after="0"/>
              <w:rPr>
                <w:sz w:val="20"/>
                <w:szCs w:val="20"/>
                <w:color w:val="auto"/>
              </w:rPr>
            </w:pPr>
            <w:r>
              <w:rPr>
                <w:rFonts w:ascii="Arial" w:cs="Arial" w:eastAsia="Arial" w:hAnsi="Arial"/>
                <w:sz w:val="20"/>
                <w:szCs w:val="20"/>
                <w:color w:val="auto"/>
                <w:w w:val="92"/>
              </w:rPr>
              <w:t xml:space="preserve">Oil </w:t>
            </w:r>
            <w:r>
              <w:rPr>
                <w:rFonts w:ascii="Arial" w:cs="Arial" w:eastAsia="Arial" w:hAnsi="Arial"/>
                <w:sz w:val="20"/>
                <w:szCs w:val="20"/>
                <w:color w:val="B4B4B4"/>
                <w:w w:val="92"/>
              </w:rPr>
              <w:t>. . . . . . . . . . . . . . . . . . . . . . . . . . . . . . . . . . . . . . . . . . . .</w:t>
            </w: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455</w:t>
            </w:r>
          </w:p>
        </w:tc>
        <w:tc>
          <w:tcPr>
            <w:tcW w:w="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E6E6E6"/>
            </w:tcBorders>
            <w:gridSpan w:val="2"/>
          </w:tcPr>
          <w:p>
            <w:pPr>
              <w:jc w:val="right"/>
              <w:ind w:right="4"/>
              <w:spacing w:after="0"/>
              <w:rPr>
                <w:sz w:val="20"/>
                <w:szCs w:val="20"/>
                <w:color w:val="auto"/>
              </w:rPr>
            </w:pPr>
            <w:r>
              <w:rPr>
                <w:rFonts w:ascii="Arial" w:cs="Arial" w:eastAsia="Arial" w:hAnsi="Arial"/>
                <w:sz w:val="20"/>
                <w:szCs w:val="20"/>
                <w:color w:val="auto"/>
              </w:rPr>
              <w:t>455</w:t>
            </w:r>
          </w:p>
        </w:tc>
        <w:tc>
          <w:tcPr>
            <w:tcW w:w="0" w:type="dxa"/>
            <w:vAlign w:val="bottom"/>
          </w:tcPr>
          <w:p>
            <w:pPr>
              <w:spacing w:after="0"/>
              <w:rPr>
                <w:sz w:val="1"/>
                <w:szCs w:val="1"/>
                <w:color w:val="auto"/>
              </w:rPr>
            </w:pPr>
          </w:p>
        </w:tc>
      </w:tr>
      <w:tr>
        <w:trPr>
          <w:trHeight w:val="287"/>
        </w:trPr>
        <w:tc>
          <w:tcPr>
            <w:tcW w:w="4820" w:type="dxa"/>
            <w:vAlign w:val="bottom"/>
            <w:gridSpan w:val="2"/>
          </w:tcPr>
          <w:p>
            <w:pPr>
              <w:ind w:left="60"/>
              <w:spacing w:after="0"/>
              <w:rPr>
                <w:sz w:val="20"/>
                <w:szCs w:val="20"/>
                <w:color w:val="auto"/>
              </w:rPr>
            </w:pPr>
            <w:r>
              <w:rPr>
                <w:rFonts w:ascii="Arial" w:cs="Arial" w:eastAsia="Arial" w:hAnsi="Arial"/>
                <w:sz w:val="20"/>
                <w:szCs w:val="20"/>
                <w:color w:val="auto"/>
                <w:w w:val="92"/>
              </w:rPr>
              <w:t xml:space="preserve">Utility Scale Solar </w:t>
            </w:r>
            <w:r>
              <w:rPr>
                <w:rFonts w:ascii="Arial" w:cs="Arial" w:eastAsia="Arial" w:hAnsi="Arial"/>
                <w:sz w:val="20"/>
                <w:szCs w:val="20"/>
                <w:color w:val="B4B4B4"/>
                <w:w w:val="92"/>
              </w:rPr>
              <w:t>. . . . . . . . . . . . . . . . . . . . . . . . . . . . . . .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214</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20"/>
                <w:szCs w:val="20"/>
                <w:color w:val="auto"/>
              </w:rPr>
              <w:t>214</w:t>
            </w:r>
          </w:p>
        </w:tc>
        <w:tc>
          <w:tcPr>
            <w:tcW w:w="0" w:type="dxa"/>
            <w:vAlign w:val="bottom"/>
          </w:tcPr>
          <w:p>
            <w:pPr>
              <w:spacing w:after="0"/>
              <w:rPr>
                <w:sz w:val="1"/>
                <w:szCs w:val="1"/>
                <w:color w:val="auto"/>
              </w:rPr>
            </w:pPr>
          </w:p>
        </w:tc>
      </w:tr>
      <w:tr>
        <w:trPr>
          <w:trHeight w:val="282"/>
        </w:trPr>
        <w:tc>
          <w:tcPr>
            <w:tcW w:w="4820" w:type="dxa"/>
            <w:vAlign w:val="bottom"/>
            <w:gridSpan w:val="2"/>
          </w:tcPr>
          <w:p>
            <w:pPr>
              <w:ind w:left="60"/>
              <w:spacing w:after="0"/>
              <w:rPr>
                <w:sz w:val="20"/>
                <w:szCs w:val="20"/>
                <w:color w:val="auto"/>
              </w:rPr>
            </w:pPr>
            <w:r>
              <w:rPr>
                <w:rFonts w:ascii="Arial" w:cs="Arial" w:eastAsia="Arial" w:hAnsi="Arial"/>
                <w:sz w:val="20"/>
                <w:szCs w:val="20"/>
                <w:color w:val="auto"/>
                <w:w w:val="92"/>
              </w:rPr>
              <w:t xml:space="preserve">Total generation capacity </w:t>
            </w:r>
            <w:r>
              <w:rPr>
                <w:rFonts w:ascii="Arial" w:cs="Arial" w:eastAsia="Arial" w:hAnsi="Arial"/>
                <w:sz w:val="20"/>
                <w:szCs w:val="20"/>
                <w:color w:val="B4B4B4"/>
                <w:w w:val="92"/>
              </w:rPr>
              <w:t>. . . . . . . . . . . . . . . . . . . . . . . . .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8,527</w:t>
            </w:r>
          </w:p>
        </w:tc>
        <w:tc>
          <w:tcPr>
            <w:tcW w:w="8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2,483</w:t>
            </w:r>
          </w:p>
        </w:tc>
        <w:tc>
          <w:tcPr>
            <w:tcW w:w="6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2,071</w:t>
            </w:r>
          </w:p>
        </w:tc>
        <w:tc>
          <w:tcPr>
            <w:tcW w:w="60" w:type="dxa"/>
            <w:vAlign w:val="bottom"/>
          </w:tcPr>
          <w:p>
            <w:pPr>
              <w:spacing w:after="0"/>
              <w:rPr>
                <w:sz w:val="24"/>
                <w:szCs w:val="24"/>
                <w:color w:val="auto"/>
              </w:rPr>
            </w:pPr>
          </w:p>
        </w:tc>
        <w:tc>
          <w:tcPr>
            <w:tcW w:w="1100" w:type="dxa"/>
            <w:vAlign w:val="bottom"/>
            <w:tcBorders>
              <w:bottom w:val="single" w:sz="8" w:color="auto"/>
              <w:right w:val="single" w:sz="8" w:color="E6E6E6"/>
            </w:tcBorders>
          </w:tcPr>
          <w:p>
            <w:pPr>
              <w:jc w:val="right"/>
              <w:ind w:right="4"/>
              <w:spacing w:after="0"/>
              <w:rPr>
                <w:sz w:val="20"/>
                <w:szCs w:val="20"/>
                <w:color w:val="auto"/>
              </w:rPr>
            </w:pPr>
            <w:r>
              <w:rPr>
                <w:rFonts w:ascii="Arial" w:cs="Arial" w:eastAsia="Arial" w:hAnsi="Arial"/>
                <w:sz w:val="20"/>
                <w:szCs w:val="20"/>
                <w:color w:val="auto"/>
              </w:rPr>
              <w:t>13,081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3065145</wp:posOffset>
                </wp:positionH>
                <wp:positionV relativeFrom="paragraph">
                  <wp:posOffset>-1244600</wp:posOffset>
                </wp:positionV>
                <wp:extent cx="174434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443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1.35pt,-98pt" to="378.7pt,-98pt" o:allowincell="f" strokecolor="#000000" strokeweight="0pt"/>
            </w:pict>
          </mc:Fallback>
        </mc:AlternateContent>
        <w:drawing>
          <wp:anchor simplePos="0" relativeHeight="251657728" behindDoc="1" locked="0" layoutInCell="0" allowOverlap="1">
            <wp:simplePos x="0" y="0"/>
            <wp:positionH relativeFrom="column">
              <wp:posOffset>-11430</wp:posOffset>
            </wp:positionH>
            <wp:positionV relativeFrom="paragraph">
              <wp:posOffset>-964565</wp:posOffset>
            </wp:positionV>
            <wp:extent cx="6456680" cy="9715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extLst>
                    </a:blip>
                    <a:srcRect/>
                    <a:stretch>
                      <a:fillRect/>
                    </a:stretch>
                  </pic:blipFill>
                  <pic:spPr bwMode="auto">
                    <a:xfrm>
                      <a:off x="0" y="0"/>
                      <a:ext cx="6456680" cy="971550"/>
                    </a:xfrm>
                    <a:prstGeom prst="rect">
                      <a:avLst/>
                    </a:prstGeom>
                    <a:noFill/>
                  </pic:spPr>
                </pic:pic>
              </a:graphicData>
            </a:graphic>
          </wp:anchor>
        </w:drawing>
      </w:r>
    </w:p>
    <w:p>
      <w:pPr>
        <w:ind w:left="440" w:hanging="439"/>
        <w:spacing w:after="0" w:line="259"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Utility Scale Solar is described in MW on an alternating current basis. MW figures provided represent nominal summer net MW capacity of power generated as adjusted for the Company's owned interest</w:t>
      </w:r>
    </w:p>
    <w:p>
      <w:pPr>
        <w:ind w:left="440" w:hanging="439"/>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proportionate share of equity owned investments and the Cottonwood lease</w:t>
      </w:r>
    </w:p>
    <w:p>
      <w:pPr>
        <w:spacing w:after="0" w:line="96" w:lineRule="exact"/>
        <w:rPr>
          <w:sz w:val="20"/>
          <w:szCs w:val="20"/>
          <w:color w:val="auto"/>
        </w:rPr>
      </w:pPr>
    </w:p>
    <w:p>
      <w:pPr>
        <w:jc w:val="both"/>
        <w:ind w:firstLine="441"/>
        <w:spacing w:after="0" w:line="262" w:lineRule="auto"/>
        <w:rPr>
          <w:sz w:val="20"/>
          <w:szCs w:val="20"/>
          <w:color w:val="auto"/>
        </w:rPr>
      </w:pPr>
      <w:r>
        <w:rPr>
          <w:rFonts w:ascii="Arial" w:cs="Arial" w:eastAsia="Arial" w:hAnsi="Arial"/>
          <w:sz w:val="20"/>
          <w:szCs w:val="20"/>
          <w:color w:val="auto"/>
        </w:rPr>
        <w:t>Plant Operations is responsible for operating the Company's generation facilities at high standards of safety and regulatory compliance, and includes (i) operations and maintenance, (ii) asset management, and (iii) development, engineering and construction.</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Operations &amp; Maintenance</w:t>
      </w:r>
    </w:p>
    <w:p>
      <w:pPr>
        <w:spacing w:after="0" w:line="130"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NRG operates and maintains its generation portfolio, as well as approximately 6,200 MW of additional coal, natural gas and wind generation capacity at 13 plants operated on behalf of third parties as of December 31, 2024 using prudent industry practices for the safe, reliable and economic generation of electricity in compliance with all local, state and federal requirements. The Company follows a consistent set of operating requirements, including a solid base of training, required adherence to specific safety and environmental limits, procedure and checklist usage, and the implementation of continuous process improvement through incident investigations.</w:t>
      </w:r>
    </w:p>
    <w:p>
      <w:pPr>
        <w:spacing w:after="0" w:line="90"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9"/>
          <w:szCs w:val="19"/>
          <w:color w:val="auto"/>
        </w:rPr>
        <w:t>NRG uses industry leading maintenance practices for preventive, predictive and corrective maintenance planning. The Company’s strategic planning process evaluates equipment condition, performance, and obsolescence to support the development of a comprehensive work scope and schedule for long-term performance.</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Asset Management</w:t>
      </w:r>
    </w:p>
    <w:p>
      <w:pPr>
        <w:spacing w:after="0" w:line="13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NRG manages all aspects of its generation portfolio to optimize the lifecycle value of the assets, consistent with the Company’s goals. The Company evaluates capital projects required for continued operation and strategic enhancement of the assets, provides quality assurance on capital outlays, and assesses the impact of rules, regulations, and laws on business profitability. In addition, the Company manages its long-term contracts and real estate holdings and provides management services.</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Development, Engineering &amp; Construction</w:t>
      </w:r>
    </w:p>
    <w:p>
      <w:pPr>
        <w:spacing w:after="0" w:line="13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NRG develops, engineers and executes major plant projects as well as “new build” generation and energy storage projects that enhance the value of its generation portfolio and provide options to meet generation growth needs in the retail markets it serves, in accordance with the Company’s strategic goals. These projects have included gas-fired generation development and construction, coal to gas conversions, grid scale energy storage development, grid scale renewable construction, and asset demolition, remediation and reclamation work.</w:t>
      </w:r>
    </w:p>
    <w:p>
      <w:pPr>
        <w:spacing w:after="0" w:line="8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9"/>
          <w:szCs w:val="19"/>
          <w:b w:val="1"/>
          <w:bCs w:val="1"/>
          <w:i w:val="1"/>
          <w:iCs w:val="1"/>
          <w:color w:val="auto"/>
        </w:rPr>
        <w:t xml:space="preserve">Texas Development Priorities </w:t>
      </w:r>
      <w:r>
        <w:rPr>
          <w:rFonts w:ascii="Arial" w:cs="Arial" w:eastAsia="Arial" w:hAnsi="Arial"/>
          <w:sz w:val="19"/>
          <w:szCs w:val="19"/>
          <w:color w:val="auto"/>
        </w:rPr>
        <w:t>— During 2024, NRG advanced progress on three new generation projects aimed 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expanding its operational capacity to meet growing retail power supply needs in the ERCOT wholesale electric market. These projects include a new 415 MW peaker plant at its T.H. Wharton generating station in Texas, which is scheduled to be operational in 2026 and a new 689 MW combined cycle generating facility at its Cedar Bayou generating station in Texas, which is scheduled to be operational in 2028. Both projects are under consideration for financing from the Texas Energy Fund. NRG continues to explore its options for the 443 MW Greens Bayou 6 project. These additions to NRG’s portfolio are strategically aligned with the Company’s commitment to meeting the growing energy needs of its customers.</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Vivint Smart Home</w:t>
      </w:r>
    </w:p>
    <w:p>
      <w:pPr>
        <w:spacing w:after="0" w:line="134" w:lineRule="exact"/>
        <w:rPr>
          <w:sz w:val="20"/>
          <w:szCs w:val="20"/>
          <w:color w:val="auto"/>
        </w:rPr>
      </w:pPr>
    </w:p>
    <w:p>
      <w:pPr>
        <w:jc w:val="both"/>
        <w:ind w:firstLine="445"/>
        <w:spacing w:after="0" w:line="295" w:lineRule="auto"/>
        <w:rPr>
          <w:sz w:val="20"/>
          <w:szCs w:val="20"/>
          <w:color w:val="auto"/>
        </w:rPr>
      </w:pPr>
      <w:r>
        <w:rPr>
          <w:rFonts w:ascii="Arial" w:cs="Arial" w:eastAsia="Arial" w:hAnsi="Arial"/>
          <w:sz w:val="18"/>
          <w:szCs w:val="18"/>
          <w:color w:val="auto"/>
        </w:rPr>
        <w:t>Vivint Smart Home is a leading smart home platform that provides customers with technology, products and services to create a smarter, greener, safer home. A smart home has multiple devices integrated into a single expandable platform that incorporates artificial intelligence (“AI”) and machine-learning in its operating system, which allows customers to interact with and manage their home from anywhere via the Vivint app on their smart device. Vivint Smart Home provides a customized</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880" w:h="15480" w:orient="portrait"/>
          <w:cols w:equalWidth="0" w:num="1">
            <w:col w:w="10160"/>
          </w:cols>
          <w:pgMar w:left="860" w:top="512" w:right="860" w:bottom="0" w:gutter="0" w:footer="0" w:header="0"/>
          <w:type w:val="continuous"/>
        </w:sectPr>
      </w:pPr>
    </w:p>
    <w:bookmarkStart w:id="12" w:name="page13"/>
    <w:bookmarkEnd w:id="12"/>
    <w:p>
      <w:pPr>
        <w:jc w:val="both"/>
        <w:spacing w:after="0" w:line="277" w:lineRule="auto"/>
        <w:rPr>
          <w:sz w:val="20"/>
          <w:szCs w:val="20"/>
          <w:color w:val="auto"/>
        </w:rPr>
      </w:pPr>
      <w:r>
        <w:rPr>
          <w:rFonts w:ascii="Arial" w:cs="Arial" w:eastAsia="Arial" w:hAnsi="Arial"/>
          <w:sz w:val="20"/>
          <w:szCs w:val="20"/>
          <w:color w:val="auto"/>
        </w:rPr>
        <w:t>solution for the home using integrated smart cameras (indoor, outdoor and doorbell), locks, lights, thermostats, garage door controls and a host of other safety and security sensors.</w:t>
      </w:r>
    </w:p>
    <w:p>
      <w:pPr>
        <w:spacing w:after="0" w:line="63"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8"/>
          <w:szCs w:val="18"/>
          <w:color w:val="auto"/>
        </w:rPr>
        <w:t>Vivint Smart Home provides a fully integrated solution for consumers, including hardware, software, sales, installation by trained and experienced in-home service professionals, customer service, technical support and professional monitoring. This seamless integration of high-quality products and services resulted in an average customer lifetime of approximately nine years as of December 31, 2024. The Company believes its ability to offer related or adjacent products and services that leverage the existing smart home platform, as well as energy services, can extend the average customer lifetime and increase the lifetime value of customers. As of December 31, 2024, Vivint Smart Home's cloud-based home platform currently manages more than 33 million in-home devices, and the average customer on Vivint Smart Home's cloud-based home platform engages with the smart home app approximately 17 times per day and has approximately 16 devices in its home.</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Operational Statistics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statistics represent the Company's retail load and customer count:</w:t>
      </w:r>
    </w:p>
    <w:p>
      <w:pPr>
        <w:spacing w:after="0" w:line="100"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6580" w:type="dxa"/>
            <w:vAlign w:val="bottom"/>
          </w:tcPr>
          <w:p>
            <w:pPr>
              <w:spacing w:after="0"/>
              <w:rPr>
                <w:sz w:val="20"/>
                <w:szCs w:val="20"/>
                <w:color w:val="auto"/>
              </w:rPr>
            </w:pPr>
          </w:p>
        </w:tc>
        <w:tc>
          <w:tcPr>
            <w:tcW w:w="3420" w:type="dxa"/>
            <w:vAlign w:val="bottom"/>
            <w:tcBorders>
              <w:bottom w:val="single" w:sz="8" w:color="auto"/>
            </w:tcBorders>
            <w:gridSpan w:val="5"/>
          </w:tcPr>
          <w:p>
            <w:pPr>
              <w:jc w:val="right"/>
              <w:ind w:right="641"/>
              <w:spacing w:after="0"/>
              <w:rPr>
                <w:sz w:val="20"/>
                <w:szCs w:val="20"/>
                <w:color w:val="auto"/>
              </w:rPr>
            </w:pPr>
            <w:r>
              <w:rPr>
                <w:rFonts w:ascii="Arial" w:cs="Arial" w:eastAsia="Arial" w:hAnsi="Arial"/>
                <w:sz w:val="18"/>
                <w:szCs w:val="18"/>
                <w:b w:val="1"/>
                <w:bCs w:val="1"/>
                <w:color w:val="auto"/>
              </w:rPr>
              <w:t>Year ended December 31,</w:t>
            </w:r>
          </w:p>
        </w:tc>
      </w:tr>
      <w:tr>
        <w:trPr>
          <w:trHeight w:val="232"/>
        </w:trPr>
        <w:tc>
          <w:tcPr>
            <w:tcW w:w="6580" w:type="dxa"/>
            <w:vAlign w:val="bottom"/>
          </w:tcPr>
          <w:p>
            <w:pPr>
              <w:spacing w:after="0"/>
              <w:rPr>
                <w:sz w:val="20"/>
                <w:szCs w:val="20"/>
                <w:color w:val="auto"/>
              </w:rPr>
            </w:pPr>
          </w:p>
        </w:tc>
        <w:tc>
          <w:tcPr>
            <w:tcW w:w="1080" w:type="dxa"/>
            <w:vAlign w:val="bottom"/>
          </w:tcPr>
          <w:p>
            <w:pPr>
              <w:jc w:val="right"/>
              <w:ind w:right="263"/>
              <w:spacing w:after="0"/>
              <w:rPr>
                <w:sz w:val="20"/>
                <w:szCs w:val="20"/>
                <w:color w:val="auto"/>
              </w:rPr>
            </w:pPr>
            <w:r>
              <w:rPr>
                <w:rFonts w:ascii="Arial" w:cs="Arial" w:eastAsia="Arial" w:hAnsi="Arial"/>
                <w:sz w:val="18"/>
                <w:szCs w:val="18"/>
                <w:b w:val="1"/>
                <w:bCs w:val="1"/>
                <w:color w:val="auto"/>
              </w:rPr>
              <w:t>2024</w:t>
            </w:r>
          </w:p>
        </w:tc>
        <w:tc>
          <w:tcPr>
            <w:tcW w:w="116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rPr>
              <w:t>2023</w:t>
            </w:r>
          </w:p>
        </w:tc>
        <w:tc>
          <w:tcPr>
            <w:tcW w:w="118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rPr>
              <w:t>2022</w:t>
            </w:r>
          </w:p>
        </w:tc>
      </w:tr>
      <w:tr>
        <w:trPr>
          <w:trHeight w:val="272"/>
        </w:trPr>
        <w:tc>
          <w:tcPr>
            <w:tcW w:w="6580" w:type="dxa"/>
            <w:vAlign w:val="bottom"/>
          </w:tcPr>
          <w:p>
            <w:pPr>
              <w:jc w:val="right"/>
              <w:ind w:right="3441"/>
              <w:spacing w:after="0"/>
              <w:rPr>
                <w:sz w:val="20"/>
                <w:szCs w:val="20"/>
                <w:color w:val="auto"/>
              </w:rPr>
            </w:pPr>
            <w:r>
              <w:rPr>
                <w:rFonts w:ascii="Arial" w:cs="Arial" w:eastAsia="Arial" w:hAnsi="Arial"/>
                <w:sz w:val="20"/>
                <w:szCs w:val="20"/>
                <w:b w:val="1"/>
                <w:bCs w:val="1"/>
                <w:color w:val="auto"/>
                <w:w w:val="88"/>
              </w:rPr>
              <w:t xml:space="preserve">Sales volumes - Electricity </w:t>
            </w:r>
            <w:r>
              <w:rPr>
                <w:rFonts w:ascii="Arial" w:cs="Arial" w:eastAsia="Arial" w:hAnsi="Arial"/>
                <w:sz w:val="20"/>
                <w:szCs w:val="20"/>
                <w:b w:val="1"/>
                <w:bCs w:val="1"/>
                <w:i w:val="1"/>
                <w:iCs w:val="1"/>
                <w:color w:val="auto"/>
                <w:w w:val="88"/>
              </w:rPr>
              <w:t>(in GWh)</w:t>
            </w:r>
          </w:p>
        </w:tc>
        <w:tc>
          <w:tcPr>
            <w:tcW w:w="10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Borders>
              <w:top w:val="single" w:sz="8" w:color="auto"/>
              <w:right w:val="single" w:sz="8" w:color="E6E6E6"/>
            </w:tcBorders>
          </w:tcPr>
          <w:p>
            <w:pPr>
              <w:spacing w:after="0"/>
              <w:rPr>
                <w:sz w:val="23"/>
                <w:szCs w:val="23"/>
                <w:color w:val="auto"/>
              </w:rPr>
            </w:pPr>
          </w:p>
        </w:tc>
      </w:tr>
      <w:tr>
        <w:trPr>
          <w:trHeight w:val="270"/>
        </w:trPr>
        <w:tc>
          <w:tcPr>
            <w:tcW w:w="6580" w:type="dxa"/>
            <w:vAlign w:val="bottom"/>
          </w:tcPr>
          <w:p>
            <w:pPr>
              <w:jc w:val="right"/>
              <w:spacing w:after="0"/>
              <w:rPr>
                <w:sz w:val="20"/>
                <w:szCs w:val="20"/>
                <w:color w:val="auto"/>
              </w:rPr>
            </w:pPr>
            <w:r>
              <w:rPr>
                <w:rFonts w:ascii="Arial" w:cs="Arial" w:eastAsia="Arial" w:hAnsi="Arial"/>
                <w:sz w:val="20"/>
                <w:szCs w:val="20"/>
                <w:color w:val="auto"/>
                <w:w w:val="93"/>
              </w:rPr>
              <w:t xml:space="preserve">Home - Texas </w:t>
            </w:r>
            <w:r>
              <w:rPr>
                <w:rFonts w:ascii="Arial" w:cs="Arial" w:eastAsia="Arial" w:hAnsi="Arial"/>
                <w:sz w:val="20"/>
                <w:szCs w:val="20"/>
                <w:color w:val="B4B4B4"/>
                <w:w w:val="93"/>
              </w:rPr>
              <w:t>. . . . . . . . . . . . . . . . . . . . . . . . . . . . . . . . . . . . . . . . . . . . . . . . . . .</w:t>
            </w:r>
          </w:p>
        </w:tc>
        <w:tc>
          <w:tcPr>
            <w:tcW w:w="1080" w:type="dxa"/>
            <w:vAlign w:val="bottom"/>
          </w:tcPr>
          <w:p>
            <w:pPr>
              <w:jc w:val="right"/>
              <w:ind w:right="123"/>
              <w:spacing w:after="0"/>
              <w:rPr>
                <w:sz w:val="20"/>
                <w:szCs w:val="20"/>
                <w:color w:val="auto"/>
              </w:rPr>
            </w:pPr>
            <w:r>
              <w:rPr>
                <w:rFonts w:ascii="Arial" w:cs="Arial" w:eastAsia="Arial" w:hAnsi="Arial"/>
                <w:sz w:val="20"/>
                <w:szCs w:val="20"/>
                <w:color w:val="auto"/>
              </w:rPr>
              <w:t>39,353</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40,032</w:t>
            </w:r>
          </w:p>
        </w:tc>
        <w:tc>
          <w:tcPr>
            <w:tcW w:w="1180" w:type="dxa"/>
            <w:vAlign w:val="bottom"/>
            <w:gridSpan w:val="2"/>
          </w:tcPr>
          <w:p>
            <w:pPr>
              <w:jc w:val="right"/>
              <w:ind w:right="141"/>
              <w:spacing w:after="0"/>
              <w:rPr>
                <w:sz w:val="20"/>
                <w:szCs w:val="20"/>
                <w:color w:val="auto"/>
              </w:rPr>
            </w:pPr>
            <w:r>
              <w:rPr>
                <w:rFonts w:ascii="Arial" w:cs="Arial" w:eastAsia="Arial" w:hAnsi="Arial"/>
                <w:sz w:val="20"/>
                <w:szCs w:val="20"/>
                <w:color w:val="auto"/>
              </w:rPr>
              <w:t>43,155</w:t>
            </w:r>
          </w:p>
        </w:tc>
      </w:tr>
      <w:tr>
        <w:trPr>
          <w:trHeight w:val="294"/>
        </w:trPr>
        <w:tc>
          <w:tcPr>
            <w:tcW w:w="6580" w:type="dxa"/>
            <w:vAlign w:val="bottom"/>
          </w:tcPr>
          <w:p>
            <w:pPr>
              <w:jc w:val="right"/>
              <w:spacing w:after="0"/>
              <w:rPr>
                <w:sz w:val="20"/>
                <w:szCs w:val="20"/>
                <w:color w:val="auto"/>
              </w:rPr>
            </w:pPr>
            <w:r>
              <w:rPr>
                <w:rFonts w:ascii="Arial" w:cs="Arial" w:eastAsia="Arial" w:hAnsi="Arial"/>
                <w:sz w:val="20"/>
                <w:szCs w:val="20"/>
                <w:color w:val="auto"/>
                <w:w w:val="94"/>
              </w:rPr>
              <w:t xml:space="preserve">Home - East </w:t>
            </w:r>
            <w:r>
              <w:rPr>
                <w:rFonts w:ascii="Arial" w:cs="Arial" w:eastAsia="Arial" w:hAnsi="Arial"/>
                <w:sz w:val="20"/>
                <w:szCs w:val="20"/>
                <w:color w:val="B4B4B4"/>
                <w:w w:val="94"/>
              </w:rPr>
              <w:t>. . . . . . . . . . . . . . . . . . . . . . . . . . . . . . . . . . . . . . . . . . . . . . . . . . . .</w:t>
            </w:r>
          </w:p>
        </w:tc>
        <w:tc>
          <w:tcPr>
            <w:tcW w:w="1080" w:type="dxa"/>
            <w:vAlign w:val="bottom"/>
          </w:tcPr>
          <w:p>
            <w:pPr>
              <w:jc w:val="right"/>
              <w:ind w:right="123"/>
              <w:spacing w:after="0"/>
              <w:rPr>
                <w:sz w:val="20"/>
                <w:szCs w:val="20"/>
                <w:color w:val="auto"/>
              </w:rPr>
            </w:pPr>
            <w:r>
              <w:rPr>
                <w:rFonts w:ascii="Arial" w:cs="Arial" w:eastAsia="Arial" w:hAnsi="Arial"/>
                <w:sz w:val="20"/>
                <w:szCs w:val="20"/>
                <w:color w:val="auto"/>
              </w:rPr>
              <w:t>15,229</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12,838</w:t>
            </w:r>
          </w:p>
        </w:tc>
        <w:tc>
          <w:tcPr>
            <w:tcW w:w="1180" w:type="dxa"/>
            <w:vAlign w:val="bottom"/>
            <w:tcBorders>
              <w:right w:val="single" w:sz="8" w:color="E6E6E6"/>
            </w:tcBorders>
            <w:gridSpan w:val="2"/>
          </w:tcPr>
          <w:p>
            <w:pPr>
              <w:jc w:val="right"/>
              <w:ind w:right="141"/>
              <w:spacing w:after="0"/>
              <w:rPr>
                <w:sz w:val="20"/>
                <w:szCs w:val="20"/>
                <w:color w:val="auto"/>
              </w:rPr>
            </w:pPr>
            <w:r>
              <w:rPr>
                <w:rFonts w:ascii="Arial" w:cs="Arial" w:eastAsia="Arial" w:hAnsi="Arial"/>
                <w:sz w:val="20"/>
                <w:szCs w:val="20"/>
                <w:color w:val="auto"/>
              </w:rPr>
              <w:t>13,269</w:t>
            </w:r>
          </w:p>
        </w:tc>
      </w:tr>
      <w:tr>
        <w:trPr>
          <w:trHeight w:val="270"/>
        </w:trPr>
        <w:tc>
          <w:tcPr>
            <w:tcW w:w="6580" w:type="dxa"/>
            <w:vAlign w:val="bottom"/>
          </w:tcPr>
          <w:p>
            <w:pPr>
              <w:jc w:val="right"/>
              <w:spacing w:after="0"/>
              <w:rPr>
                <w:sz w:val="20"/>
                <w:szCs w:val="20"/>
                <w:color w:val="auto"/>
              </w:rPr>
            </w:pPr>
            <w:r>
              <w:rPr>
                <w:rFonts w:ascii="Arial" w:cs="Arial" w:eastAsia="Arial" w:hAnsi="Arial"/>
                <w:sz w:val="20"/>
                <w:szCs w:val="20"/>
                <w:color w:val="auto"/>
                <w:w w:val="94"/>
              </w:rPr>
              <w:t xml:space="preserve">Home - West/Services/Other </w:t>
            </w:r>
            <w:r>
              <w:rPr>
                <w:rFonts w:ascii="Arial" w:cs="Arial" w:eastAsia="Arial" w:hAnsi="Arial"/>
                <w:sz w:val="20"/>
                <w:szCs w:val="20"/>
                <w:color w:val="B4B4B4"/>
                <w:w w:val="94"/>
              </w:rPr>
              <w:t>. . . . . . . . . . . . . . . . . . . . . . . . . . . . . . . . . . . . . . .</w:t>
            </w:r>
          </w:p>
        </w:tc>
        <w:tc>
          <w:tcPr>
            <w:tcW w:w="1080" w:type="dxa"/>
            <w:vAlign w:val="bottom"/>
          </w:tcPr>
          <w:p>
            <w:pPr>
              <w:jc w:val="right"/>
              <w:ind w:right="123"/>
              <w:spacing w:after="0"/>
              <w:rPr>
                <w:sz w:val="20"/>
                <w:szCs w:val="20"/>
                <w:color w:val="auto"/>
              </w:rPr>
            </w:pPr>
            <w:r>
              <w:rPr>
                <w:rFonts w:ascii="Arial" w:cs="Arial" w:eastAsia="Arial" w:hAnsi="Arial"/>
                <w:sz w:val="20"/>
                <w:szCs w:val="20"/>
                <w:color w:val="auto"/>
              </w:rPr>
              <w:t>2,355</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2,243</w:t>
            </w:r>
          </w:p>
        </w:tc>
        <w:tc>
          <w:tcPr>
            <w:tcW w:w="1180" w:type="dxa"/>
            <w:vAlign w:val="bottom"/>
            <w:gridSpan w:val="2"/>
          </w:tcPr>
          <w:p>
            <w:pPr>
              <w:jc w:val="right"/>
              <w:ind w:right="141"/>
              <w:spacing w:after="0"/>
              <w:rPr>
                <w:sz w:val="20"/>
                <w:szCs w:val="20"/>
                <w:color w:val="auto"/>
              </w:rPr>
            </w:pPr>
            <w:r>
              <w:rPr>
                <w:rFonts w:ascii="Arial" w:cs="Arial" w:eastAsia="Arial" w:hAnsi="Arial"/>
                <w:sz w:val="20"/>
                <w:szCs w:val="20"/>
                <w:color w:val="auto"/>
              </w:rPr>
              <w:t>2,250</w:t>
            </w:r>
          </w:p>
        </w:tc>
      </w:tr>
      <w:tr>
        <w:trPr>
          <w:trHeight w:val="294"/>
        </w:trPr>
        <w:tc>
          <w:tcPr>
            <w:tcW w:w="6580" w:type="dxa"/>
            <w:vAlign w:val="bottom"/>
          </w:tcPr>
          <w:p>
            <w:pPr>
              <w:jc w:val="right"/>
              <w:spacing w:after="0"/>
              <w:rPr>
                <w:sz w:val="20"/>
                <w:szCs w:val="20"/>
                <w:color w:val="auto"/>
              </w:rPr>
            </w:pPr>
            <w:r>
              <w:rPr>
                <w:rFonts w:ascii="Arial" w:cs="Arial" w:eastAsia="Arial" w:hAnsi="Arial"/>
                <w:sz w:val="20"/>
                <w:szCs w:val="20"/>
                <w:color w:val="auto"/>
                <w:w w:val="93"/>
              </w:rPr>
              <w:t xml:space="preserve">Business - Texas  </w:t>
            </w:r>
            <w:r>
              <w:rPr>
                <w:rFonts w:ascii="Arial" w:cs="Arial" w:eastAsia="Arial" w:hAnsi="Arial"/>
                <w:sz w:val="20"/>
                <w:szCs w:val="20"/>
                <w:color w:val="B4B4B4"/>
                <w:w w:val="93"/>
              </w:rPr>
              <w:t>. . . . . . . . . . . . . . . . . . . . . . . . . . . . . . . . . . . . . . . . . . . . . . . .</w:t>
            </w:r>
          </w:p>
        </w:tc>
        <w:tc>
          <w:tcPr>
            <w:tcW w:w="1080" w:type="dxa"/>
            <w:vAlign w:val="bottom"/>
          </w:tcPr>
          <w:p>
            <w:pPr>
              <w:jc w:val="right"/>
              <w:ind w:right="123"/>
              <w:spacing w:after="0"/>
              <w:rPr>
                <w:sz w:val="20"/>
                <w:szCs w:val="20"/>
                <w:color w:val="auto"/>
              </w:rPr>
            </w:pPr>
            <w:r>
              <w:rPr>
                <w:rFonts w:ascii="Arial" w:cs="Arial" w:eastAsia="Arial" w:hAnsi="Arial"/>
                <w:sz w:val="20"/>
                <w:szCs w:val="20"/>
                <w:color w:val="auto"/>
              </w:rPr>
              <w:t>40,274</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40,250</w:t>
            </w:r>
          </w:p>
        </w:tc>
        <w:tc>
          <w:tcPr>
            <w:tcW w:w="1180" w:type="dxa"/>
            <w:vAlign w:val="bottom"/>
            <w:tcBorders>
              <w:right w:val="single" w:sz="8" w:color="E6E6E6"/>
            </w:tcBorders>
            <w:gridSpan w:val="2"/>
          </w:tcPr>
          <w:p>
            <w:pPr>
              <w:jc w:val="right"/>
              <w:ind w:right="141"/>
              <w:spacing w:after="0"/>
              <w:rPr>
                <w:sz w:val="20"/>
                <w:szCs w:val="20"/>
                <w:color w:val="auto"/>
              </w:rPr>
            </w:pPr>
            <w:r>
              <w:rPr>
                <w:rFonts w:ascii="Arial" w:cs="Arial" w:eastAsia="Arial" w:hAnsi="Arial"/>
                <w:sz w:val="20"/>
                <w:szCs w:val="20"/>
                <w:color w:val="auto"/>
              </w:rPr>
              <w:t>38,447</w:t>
            </w:r>
          </w:p>
        </w:tc>
      </w:tr>
      <w:tr>
        <w:trPr>
          <w:trHeight w:val="270"/>
        </w:trPr>
        <w:tc>
          <w:tcPr>
            <w:tcW w:w="6580" w:type="dxa"/>
            <w:vAlign w:val="bottom"/>
          </w:tcPr>
          <w:p>
            <w:pPr>
              <w:jc w:val="right"/>
              <w:spacing w:after="0"/>
              <w:rPr>
                <w:sz w:val="20"/>
                <w:szCs w:val="20"/>
                <w:color w:val="auto"/>
              </w:rPr>
            </w:pPr>
            <w:r>
              <w:rPr>
                <w:rFonts w:ascii="Arial" w:cs="Arial" w:eastAsia="Arial" w:hAnsi="Arial"/>
                <w:sz w:val="20"/>
                <w:szCs w:val="20"/>
                <w:color w:val="auto"/>
                <w:w w:val="93"/>
              </w:rPr>
              <w:t xml:space="preserve">Business - East </w:t>
            </w:r>
            <w:r>
              <w:rPr>
                <w:rFonts w:ascii="Arial" w:cs="Arial" w:eastAsia="Arial" w:hAnsi="Arial"/>
                <w:sz w:val="20"/>
                <w:szCs w:val="20"/>
                <w:color w:val="B4B4B4"/>
                <w:w w:val="93"/>
              </w:rPr>
              <w:t>. . . . . . . . . . . . . . . . . . . . . . . . . . . . . . . . . . . . . . . . . . . . . . . . . .</w:t>
            </w:r>
          </w:p>
        </w:tc>
        <w:tc>
          <w:tcPr>
            <w:tcW w:w="1080" w:type="dxa"/>
            <w:vAlign w:val="bottom"/>
          </w:tcPr>
          <w:p>
            <w:pPr>
              <w:jc w:val="right"/>
              <w:ind w:right="123"/>
              <w:spacing w:after="0"/>
              <w:rPr>
                <w:sz w:val="20"/>
                <w:szCs w:val="20"/>
                <w:color w:val="auto"/>
              </w:rPr>
            </w:pPr>
            <w:r>
              <w:rPr>
                <w:rFonts w:ascii="Arial" w:cs="Arial" w:eastAsia="Arial" w:hAnsi="Arial"/>
                <w:sz w:val="20"/>
                <w:szCs w:val="20"/>
                <w:color w:val="auto"/>
              </w:rPr>
              <w:t>46,724</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46,438</w:t>
            </w:r>
          </w:p>
        </w:tc>
        <w:tc>
          <w:tcPr>
            <w:tcW w:w="1180" w:type="dxa"/>
            <w:vAlign w:val="bottom"/>
            <w:gridSpan w:val="2"/>
          </w:tcPr>
          <w:p>
            <w:pPr>
              <w:jc w:val="right"/>
              <w:ind w:right="141"/>
              <w:spacing w:after="0"/>
              <w:rPr>
                <w:sz w:val="20"/>
                <w:szCs w:val="20"/>
                <w:color w:val="auto"/>
              </w:rPr>
            </w:pPr>
            <w:r>
              <w:rPr>
                <w:rFonts w:ascii="Arial" w:cs="Arial" w:eastAsia="Arial" w:hAnsi="Arial"/>
                <w:sz w:val="20"/>
                <w:szCs w:val="20"/>
                <w:color w:val="auto"/>
              </w:rPr>
              <w:t>47,724</w:t>
            </w:r>
          </w:p>
        </w:tc>
      </w:tr>
      <w:tr>
        <w:trPr>
          <w:trHeight w:val="284"/>
        </w:trPr>
        <w:tc>
          <w:tcPr>
            <w:tcW w:w="6580" w:type="dxa"/>
            <w:vAlign w:val="bottom"/>
          </w:tcPr>
          <w:p>
            <w:pPr>
              <w:jc w:val="right"/>
              <w:spacing w:after="0"/>
              <w:rPr>
                <w:sz w:val="20"/>
                <w:szCs w:val="20"/>
                <w:color w:val="auto"/>
              </w:rPr>
            </w:pPr>
            <w:r>
              <w:rPr>
                <w:rFonts w:ascii="Arial" w:cs="Arial" w:eastAsia="Arial" w:hAnsi="Arial"/>
                <w:sz w:val="20"/>
                <w:szCs w:val="20"/>
                <w:color w:val="auto"/>
                <w:w w:val="93"/>
              </w:rPr>
              <w:t xml:space="preserve">Business - West/Services/Other </w:t>
            </w:r>
            <w:r>
              <w:rPr>
                <w:rFonts w:ascii="Arial" w:cs="Arial" w:eastAsia="Arial" w:hAnsi="Arial"/>
                <w:sz w:val="20"/>
                <w:szCs w:val="20"/>
                <w:color w:val="B4B4B4"/>
                <w:w w:val="93"/>
              </w:rPr>
              <w:t>. . . . . . . . . . . . . . . . . . . . . . . . . . . . . . . . . . . . .</w:t>
            </w:r>
          </w:p>
        </w:tc>
        <w:tc>
          <w:tcPr>
            <w:tcW w:w="1080" w:type="dxa"/>
            <w:vAlign w:val="bottom"/>
            <w:tcBorders>
              <w:bottom w:val="single" w:sz="8" w:color="auto"/>
            </w:tcBorders>
          </w:tcPr>
          <w:p>
            <w:pPr>
              <w:jc w:val="right"/>
              <w:ind w:right="123"/>
              <w:spacing w:after="0"/>
              <w:rPr>
                <w:sz w:val="20"/>
                <w:szCs w:val="20"/>
                <w:color w:val="auto"/>
              </w:rPr>
            </w:pPr>
            <w:r>
              <w:rPr>
                <w:rFonts w:ascii="Arial" w:cs="Arial" w:eastAsia="Arial" w:hAnsi="Arial"/>
                <w:sz w:val="20"/>
                <w:szCs w:val="20"/>
                <w:color w:val="auto"/>
              </w:rPr>
              <w:t>10,513</w:t>
            </w:r>
          </w:p>
        </w:tc>
        <w:tc>
          <w:tcPr>
            <w:tcW w:w="80" w:type="dxa"/>
            <w:vAlign w:val="bottom"/>
          </w:tcPr>
          <w:p>
            <w:pPr>
              <w:spacing w:after="0"/>
              <w:rPr>
                <w:sz w:val="24"/>
                <w:szCs w:val="24"/>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10,393</w:t>
            </w:r>
          </w:p>
        </w:tc>
        <w:tc>
          <w:tcPr>
            <w:tcW w:w="80" w:type="dxa"/>
            <w:vAlign w:val="bottom"/>
          </w:tcPr>
          <w:p>
            <w:pPr>
              <w:spacing w:after="0"/>
              <w:rPr>
                <w:sz w:val="24"/>
                <w:szCs w:val="24"/>
                <w:color w:val="auto"/>
              </w:rPr>
            </w:pPr>
          </w:p>
        </w:tc>
        <w:tc>
          <w:tcPr>
            <w:tcW w:w="1100" w:type="dxa"/>
            <w:vAlign w:val="bottom"/>
            <w:tcBorders>
              <w:bottom w:val="single" w:sz="8" w:color="auto"/>
              <w:right w:val="single" w:sz="8" w:color="E6E6E6"/>
            </w:tcBorders>
          </w:tcPr>
          <w:p>
            <w:pPr>
              <w:jc w:val="right"/>
              <w:ind w:right="141"/>
              <w:spacing w:after="0"/>
              <w:rPr>
                <w:sz w:val="20"/>
                <w:szCs w:val="20"/>
                <w:color w:val="auto"/>
              </w:rPr>
            </w:pPr>
            <w:r>
              <w:rPr>
                <w:rFonts w:ascii="Arial" w:cs="Arial" w:eastAsia="Arial" w:hAnsi="Arial"/>
                <w:sz w:val="20"/>
                <w:szCs w:val="20"/>
                <w:color w:val="auto"/>
              </w:rPr>
              <w:t>10,231</w:t>
            </w:r>
          </w:p>
        </w:tc>
      </w:tr>
      <w:tr>
        <w:trPr>
          <w:trHeight w:val="282"/>
        </w:trPr>
        <w:tc>
          <w:tcPr>
            <w:tcW w:w="6580" w:type="dxa"/>
            <w:vAlign w:val="bottom"/>
          </w:tcPr>
          <w:p>
            <w:pPr>
              <w:jc w:val="right"/>
              <w:spacing w:after="0"/>
              <w:rPr>
                <w:sz w:val="20"/>
                <w:szCs w:val="20"/>
                <w:color w:val="auto"/>
              </w:rPr>
            </w:pPr>
            <w:r>
              <w:rPr>
                <w:rFonts w:ascii="Arial" w:cs="Arial" w:eastAsia="Arial" w:hAnsi="Arial"/>
                <w:sz w:val="20"/>
                <w:szCs w:val="20"/>
                <w:b w:val="1"/>
                <w:bCs w:val="1"/>
                <w:color w:val="B4B4B4"/>
                <w:w w:val="91"/>
              </w:rPr>
              <w:t>. . . . . . . . . . . . . . . . . . . . . . . . . . . . . . . . . . . . . . . . . . . . . . . . . . . . . . . .</w:t>
            </w:r>
            <w:r>
              <w:rPr>
                <w:rFonts w:ascii="Arial" w:cs="Arial" w:eastAsia="Arial" w:hAnsi="Arial"/>
                <w:sz w:val="20"/>
                <w:szCs w:val="20"/>
                <w:b w:val="1"/>
                <w:bCs w:val="1"/>
                <w:color w:val="000000"/>
                <w:w w:val="91"/>
              </w:rPr>
              <w:t>TotalLoad</w:t>
            </w:r>
          </w:p>
        </w:tc>
        <w:tc>
          <w:tcPr>
            <w:tcW w:w="1080" w:type="dxa"/>
            <w:vAlign w:val="bottom"/>
          </w:tcPr>
          <w:p>
            <w:pPr>
              <w:jc w:val="right"/>
              <w:ind w:right="123"/>
              <w:spacing w:after="0"/>
              <w:rPr>
                <w:sz w:val="20"/>
                <w:szCs w:val="20"/>
                <w:color w:val="auto"/>
              </w:rPr>
            </w:pPr>
            <w:r>
              <w:rPr>
                <w:rFonts w:ascii="Arial" w:cs="Arial" w:eastAsia="Arial" w:hAnsi="Arial"/>
                <w:sz w:val="20"/>
                <w:szCs w:val="20"/>
                <w:color w:val="auto"/>
              </w:rPr>
              <w:t>154,448</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152,194</w:t>
            </w:r>
          </w:p>
        </w:tc>
        <w:tc>
          <w:tcPr>
            <w:tcW w:w="1180" w:type="dxa"/>
            <w:vAlign w:val="bottom"/>
            <w:gridSpan w:val="2"/>
          </w:tcPr>
          <w:p>
            <w:pPr>
              <w:jc w:val="right"/>
              <w:ind w:right="141"/>
              <w:spacing w:after="0"/>
              <w:rPr>
                <w:sz w:val="20"/>
                <w:szCs w:val="20"/>
                <w:color w:val="auto"/>
              </w:rPr>
            </w:pPr>
            <w:r>
              <w:rPr>
                <w:rFonts w:ascii="Arial" w:cs="Arial" w:eastAsia="Arial" w:hAnsi="Arial"/>
                <w:sz w:val="20"/>
                <w:szCs w:val="20"/>
                <w:color w:val="auto"/>
              </w:rPr>
              <w:t>155,076</w:t>
            </w:r>
          </w:p>
        </w:tc>
      </w:tr>
      <w:tr>
        <w:trPr>
          <w:trHeight w:val="252"/>
        </w:trPr>
        <w:tc>
          <w:tcPr>
            <w:tcW w:w="65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right w:val="single" w:sz="8" w:color="E6E6E6"/>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-1624330</wp:posOffset>
            </wp:positionV>
            <wp:extent cx="6475095" cy="28917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extLst>
                    </a:blip>
                    <a:srcRect/>
                    <a:stretch>
                      <a:fillRect/>
                    </a:stretch>
                  </pic:blipFill>
                  <pic:spPr bwMode="auto">
                    <a:xfrm>
                      <a:off x="0" y="0"/>
                      <a:ext cx="6475095" cy="28917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20"/>
          <w:szCs w:val="20"/>
          <w:b w:val="1"/>
          <w:bCs w:val="1"/>
          <w:color w:val="auto"/>
        </w:rPr>
        <w:t xml:space="preserve">Sales volumes - Natural gas </w:t>
      </w:r>
      <w:r>
        <w:rPr>
          <w:rFonts w:ascii="Arial" w:cs="Arial" w:eastAsia="Arial" w:hAnsi="Arial"/>
          <w:sz w:val="20"/>
          <w:szCs w:val="20"/>
          <w:b w:val="1"/>
          <w:bCs w:val="1"/>
          <w:i w:val="1"/>
          <w:iCs w:val="1"/>
          <w:color w:val="auto"/>
        </w:rPr>
        <w:t>(in MDth)</w:t>
      </w:r>
    </w:p>
    <w:p>
      <w:pPr>
        <w:spacing w:after="0" w:line="52"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980" w:type="dxa"/>
            <w:vAlign w:val="bottom"/>
          </w:tcPr>
          <w:p>
            <w:pPr>
              <w:jc w:val="right"/>
              <w:spacing w:after="0"/>
              <w:rPr>
                <w:sz w:val="20"/>
                <w:szCs w:val="20"/>
                <w:color w:val="auto"/>
              </w:rPr>
            </w:pPr>
            <w:r>
              <w:rPr>
                <w:rFonts w:ascii="Arial" w:cs="Arial" w:eastAsia="Arial" w:hAnsi="Arial"/>
                <w:sz w:val="20"/>
                <w:szCs w:val="20"/>
                <w:color w:val="auto"/>
              </w:rPr>
              <w:t>Home -</w:t>
            </w:r>
          </w:p>
        </w:tc>
        <w:tc>
          <w:tcPr>
            <w:tcW w:w="5600" w:type="dxa"/>
            <w:vAlign w:val="bottom"/>
          </w:tcPr>
          <w:p>
            <w:pPr>
              <w:jc w:val="right"/>
              <w:spacing w:after="0"/>
              <w:rPr>
                <w:sz w:val="20"/>
                <w:szCs w:val="20"/>
                <w:color w:val="auto"/>
              </w:rPr>
            </w:pPr>
            <w:r>
              <w:rPr>
                <w:rFonts w:ascii="Arial" w:cs="Arial" w:eastAsia="Arial" w:hAnsi="Arial"/>
                <w:sz w:val="20"/>
                <w:szCs w:val="20"/>
                <w:color w:val="auto"/>
                <w:w w:val="89"/>
              </w:rPr>
              <w:t xml:space="preserve">East </w:t>
            </w:r>
            <w:r>
              <w:rPr>
                <w:rFonts w:ascii="Arial" w:cs="Arial" w:eastAsia="Arial" w:hAnsi="Arial"/>
                <w:sz w:val="20"/>
                <w:szCs w:val="20"/>
                <w:color w:val="B4B4B4"/>
                <w:w w:val="89"/>
              </w:rPr>
              <w:t>. . . . . . . . . . . . . . . . . . . . . . . . . . . . . . . . . . . . . . . . . . . . . . . . . . . .</w:t>
            </w:r>
          </w:p>
        </w:tc>
        <w:tc>
          <w:tcPr>
            <w:tcW w:w="1080" w:type="dxa"/>
            <w:vAlign w:val="bottom"/>
          </w:tcPr>
          <w:p>
            <w:pPr>
              <w:jc w:val="right"/>
              <w:ind w:right="121"/>
              <w:spacing w:after="0"/>
              <w:rPr>
                <w:sz w:val="20"/>
                <w:szCs w:val="20"/>
                <w:color w:val="auto"/>
              </w:rPr>
            </w:pPr>
            <w:r>
              <w:rPr>
                <w:rFonts w:ascii="Arial" w:cs="Arial" w:eastAsia="Arial" w:hAnsi="Arial"/>
                <w:sz w:val="20"/>
                <w:szCs w:val="20"/>
                <w:color w:val="auto"/>
              </w:rPr>
              <w:t>49,927</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49,990</w:t>
            </w:r>
          </w:p>
        </w:tc>
        <w:tc>
          <w:tcPr>
            <w:tcW w:w="1180" w:type="dxa"/>
            <w:vAlign w:val="bottom"/>
            <w:tcBorders>
              <w:right w:val="single" w:sz="8" w:color="E6E6E6"/>
            </w:tcBorders>
            <w:gridSpan w:val="2"/>
          </w:tcPr>
          <w:p>
            <w:pPr>
              <w:jc w:val="right"/>
              <w:ind w:right="141"/>
              <w:spacing w:after="0"/>
              <w:rPr>
                <w:sz w:val="20"/>
                <w:szCs w:val="20"/>
                <w:color w:val="auto"/>
              </w:rPr>
            </w:pPr>
            <w:r>
              <w:rPr>
                <w:rFonts w:ascii="Arial" w:cs="Arial" w:eastAsia="Arial" w:hAnsi="Arial"/>
                <w:sz w:val="20"/>
                <w:szCs w:val="20"/>
                <w:color w:val="auto"/>
              </w:rPr>
              <w:t>53,051</w:t>
            </w:r>
          </w:p>
        </w:tc>
      </w:tr>
      <w:tr>
        <w:trPr>
          <w:trHeight w:val="270"/>
        </w:trPr>
        <w:tc>
          <w:tcPr>
            <w:tcW w:w="6580" w:type="dxa"/>
            <w:vAlign w:val="bottom"/>
            <w:gridSpan w:val="2"/>
          </w:tcPr>
          <w:p>
            <w:pPr>
              <w:jc w:val="right"/>
              <w:spacing w:after="0"/>
              <w:rPr>
                <w:sz w:val="20"/>
                <w:szCs w:val="20"/>
                <w:color w:val="auto"/>
              </w:rPr>
            </w:pPr>
            <w:r>
              <w:rPr>
                <w:rFonts w:ascii="Arial" w:cs="Arial" w:eastAsia="Arial" w:hAnsi="Arial"/>
                <w:sz w:val="20"/>
                <w:szCs w:val="20"/>
                <w:color w:val="B4B4B4"/>
                <w:w w:val="96"/>
              </w:rPr>
              <w:t>. . . . . . . . . . . . . . . . . . . . . . . . . . . . . . . . . . . . . . .</w:t>
            </w:r>
            <w:r>
              <w:rPr>
                <w:rFonts w:ascii="Arial" w:cs="Arial" w:eastAsia="Arial" w:hAnsi="Arial"/>
                <w:sz w:val="20"/>
                <w:szCs w:val="20"/>
                <w:color w:val="000000"/>
                <w:w w:val="96"/>
              </w:rPr>
              <w:t>Home-West/Services/Other</w:t>
            </w:r>
          </w:p>
        </w:tc>
        <w:tc>
          <w:tcPr>
            <w:tcW w:w="1080" w:type="dxa"/>
            <w:vAlign w:val="bottom"/>
          </w:tcPr>
          <w:p>
            <w:pPr>
              <w:jc w:val="right"/>
              <w:ind w:right="121"/>
              <w:spacing w:after="0"/>
              <w:rPr>
                <w:sz w:val="20"/>
                <w:szCs w:val="20"/>
                <w:color w:val="auto"/>
              </w:rPr>
            </w:pPr>
            <w:r>
              <w:rPr>
                <w:rFonts w:ascii="Arial" w:cs="Arial" w:eastAsia="Arial" w:hAnsi="Arial"/>
                <w:sz w:val="20"/>
                <w:szCs w:val="20"/>
                <w:color w:val="auto"/>
              </w:rPr>
              <w:t>75,898</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75,150</w:t>
            </w:r>
          </w:p>
        </w:tc>
        <w:tc>
          <w:tcPr>
            <w:tcW w:w="1180" w:type="dxa"/>
            <w:vAlign w:val="bottom"/>
            <w:gridSpan w:val="2"/>
          </w:tcPr>
          <w:p>
            <w:pPr>
              <w:jc w:val="right"/>
              <w:ind w:right="141"/>
              <w:spacing w:after="0"/>
              <w:rPr>
                <w:sz w:val="20"/>
                <w:szCs w:val="20"/>
                <w:color w:val="auto"/>
              </w:rPr>
            </w:pPr>
            <w:r>
              <w:rPr>
                <w:rFonts w:ascii="Arial" w:cs="Arial" w:eastAsia="Arial" w:hAnsi="Arial"/>
                <w:sz w:val="20"/>
                <w:szCs w:val="20"/>
                <w:color w:val="auto"/>
              </w:rPr>
              <w:t>92,035</w:t>
            </w:r>
          </w:p>
        </w:tc>
      </w:tr>
      <w:tr>
        <w:trPr>
          <w:trHeight w:val="294"/>
        </w:trPr>
        <w:tc>
          <w:tcPr>
            <w:tcW w:w="6580" w:type="dxa"/>
            <w:vAlign w:val="bottom"/>
            <w:gridSpan w:val="2"/>
          </w:tcPr>
          <w:p>
            <w:pPr>
              <w:jc w:val="right"/>
              <w:spacing w:after="0"/>
              <w:rPr>
                <w:sz w:val="20"/>
                <w:szCs w:val="20"/>
                <w:color w:val="auto"/>
              </w:rPr>
            </w:pPr>
            <w:r>
              <w:rPr>
                <w:rFonts w:ascii="Arial" w:cs="Arial" w:eastAsia="Arial" w:hAnsi="Arial"/>
                <w:sz w:val="20"/>
                <w:szCs w:val="20"/>
                <w:color w:val="B4B4B4"/>
                <w:w w:val="95"/>
              </w:rPr>
              <w:t>. . . . . . . . . . . . . . . . . . . . . . . . . . . . . . . . . . . . . . . . . . . . . . . . . .</w:t>
            </w:r>
            <w:r>
              <w:rPr>
                <w:rFonts w:ascii="Arial" w:cs="Arial" w:eastAsia="Arial" w:hAnsi="Arial"/>
                <w:sz w:val="20"/>
                <w:szCs w:val="20"/>
                <w:color w:val="000000"/>
                <w:w w:val="95"/>
              </w:rPr>
              <w:t>Business-East</w:t>
            </w:r>
          </w:p>
        </w:tc>
        <w:tc>
          <w:tcPr>
            <w:tcW w:w="1080" w:type="dxa"/>
            <w:vAlign w:val="bottom"/>
          </w:tcPr>
          <w:p>
            <w:pPr>
              <w:jc w:val="right"/>
              <w:ind w:right="121"/>
              <w:spacing w:after="0"/>
              <w:rPr>
                <w:sz w:val="20"/>
                <w:szCs w:val="20"/>
                <w:color w:val="auto"/>
              </w:rPr>
            </w:pPr>
            <w:r>
              <w:rPr>
                <w:rFonts w:ascii="Arial" w:cs="Arial" w:eastAsia="Arial" w:hAnsi="Arial"/>
                <w:sz w:val="20"/>
                <w:szCs w:val="20"/>
                <w:color w:val="auto"/>
                <w:w w:val="94"/>
              </w:rPr>
              <w:t>1,525,094</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1,587,052</w:t>
            </w:r>
          </w:p>
        </w:tc>
        <w:tc>
          <w:tcPr>
            <w:tcW w:w="1180" w:type="dxa"/>
            <w:vAlign w:val="bottom"/>
            <w:tcBorders>
              <w:right w:val="single" w:sz="8" w:color="E6E6E6"/>
            </w:tcBorders>
            <w:gridSpan w:val="2"/>
          </w:tcPr>
          <w:p>
            <w:pPr>
              <w:jc w:val="right"/>
              <w:ind w:right="141"/>
              <w:spacing w:after="0"/>
              <w:rPr>
                <w:sz w:val="20"/>
                <w:szCs w:val="20"/>
                <w:color w:val="auto"/>
              </w:rPr>
            </w:pPr>
            <w:r>
              <w:rPr>
                <w:rFonts w:ascii="Arial" w:cs="Arial" w:eastAsia="Arial" w:hAnsi="Arial"/>
                <w:sz w:val="20"/>
                <w:szCs w:val="20"/>
                <w:color w:val="auto"/>
              </w:rPr>
              <w:t>1,618,946</w:t>
            </w:r>
          </w:p>
        </w:tc>
      </w:tr>
      <w:tr>
        <w:trPr>
          <w:trHeight w:val="272"/>
        </w:trPr>
        <w:tc>
          <w:tcPr>
            <w:tcW w:w="6580" w:type="dxa"/>
            <w:vAlign w:val="bottom"/>
            <w:gridSpan w:val="2"/>
          </w:tcPr>
          <w:p>
            <w:pPr>
              <w:jc w:val="right"/>
              <w:spacing w:after="0"/>
              <w:rPr>
                <w:sz w:val="20"/>
                <w:szCs w:val="20"/>
                <w:color w:val="auto"/>
              </w:rPr>
            </w:pPr>
            <w:r>
              <w:rPr>
                <w:rFonts w:ascii="Arial" w:cs="Arial" w:eastAsia="Arial" w:hAnsi="Arial"/>
                <w:sz w:val="20"/>
                <w:szCs w:val="20"/>
                <w:color w:val="B4B4B4"/>
                <w:w w:val="95"/>
              </w:rPr>
              <w:t>. . . . . . . . . . . . . . . . . . . . . . . . . . . . . . . . . . . . .</w:t>
            </w:r>
            <w:r>
              <w:rPr>
                <w:rFonts w:ascii="Arial" w:cs="Arial" w:eastAsia="Arial" w:hAnsi="Arial"/>
                <w:sz w:val="20"/>
                <w:szCs w:val="20"/>
                <w:color w:val="000000"/>
                <w:w w:val="95"/>
              </w:rPr>
              <w:t>Business-West/Services/Other</w:t>
            </w: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181,972</w:t>
            </w:r>
          </w:p>
        </w:tc>
        <w:tc>
          <w:tcPr>
            <w:tcW w:w="80" w:type="dxa"/>
            <w:vAlign w:val="bottom"/>
          </w:tcPr>
          <w:p>
            <w:pPr>
              <w:spacing w:after="0"/>
              <w:rPr>
                <w:sz w:val="23"/>
                <w:szCs w:val="23"/>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179,888</w:t>
            </w:r>
          </w:p>
        </w:tc>
        <w:tc>
          <w:tcPr>
            <w:tcW w:w="80" w:type="dxa"/>
            <w:vAlign w:val="bottom"/>
          </w:tcPr>
          <w:p>
            <w:pPr>
              <w:spacing w:after="0"/>
              <w:rPr>
                <w:sz w:val="23"/>
                <w:szCs w:val="23"/>
                <w:color w:val="auto"/>
              </w:rPr>
            </w:pP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154,074</w:t>
            </w:r>
          </w:p>
        </w:tc>
      </w:tr>
      <w:tr>
        <w:trPr>
          <w:trHeight w:val="282"/>
        </w:trPr>
        <w:tc>
          <w:tcPr>
            <w:tcW w:w="980" w:type="dxa"/>
            <w:vAlign w:val="bottom"/>
          </w:tcPr>
          <w:p>
            <w:pPr>
              <w:jc w:val="right"/>
              <w:spacing w:after="0"/>
              <w:rPr>
                <w:sz w:val="20"/>
                <w:szCs w:val="20"/>
                <w:color w:val="auto"/>
              </w:rPr>
            </w:pPr>
            <w:r>
              <w:rPr>
                <w:rFonts w:ascii="Arial" w:cs="Arial" w:eastAsia="Arial" w:hAnsi="Arial"/>
                <w:sz w:val="20"/>
                <w:szCs w:val="20"/>
                <w:b w:val="1"/>
                <w:bCs w:val="1"/>
                <w:color w:val="auto"/>
                <w:w w:val="90"/>
              </w:rPr>
              <w:t>Total Load</w:t>
            </w:r>
          </w:p>
        </w:tc>
        <w:tc>
          <w:tcPr>
            <w:tcW w:w="5600" w:type="dxa"/>
            <w:vAlign w:val="bottom"/>
          </w:tcPr>
          <w:p>
            <w:pPr>
              <w:jc w:val="right"/>
              <w:spacing w:after="0"/>
              <w:rPr>
                <w:sz w:val="20"/>
                <w:szCs w:val="20"/>
                <w:color w:val="auto"/>
              </w:rPr>
            </w:pPr>
            <w:r>
              <w:rPr>
                <w:rFonts w:ascii="Arial" w:cs="Arial" w:eastAsia="Arial" w:hAnsi="Arial"/>
                <w:sz w:val="20"/>
                <w:szCs w:val="20"/>
                <w:b w:val="1"/>
                <w:bCs w:val="1"/>
                <w:color w:val="B4B4B4"/>
                <w:w w:val="89"/>
              </w:rPr>
              <w:t>. . . . . . . . . . . . . . . . . . . . . . . . . . . . . . . . . . . . . . . . . . . . . . . . . . . . . . . .</w:t>
            </w: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94"/>
              </w:rPr>
              <w:t>1,832,891</w:t>
            </w:r>
          </w:p>
        </w:tc>
        <w:tc>
          <w:tcPr>
            <w:tcW w:w="80" w:type="dxa"/>
            <w:vAlign w:val="bottom"/>
          </w:tcPr>
          <w:p>
            <w:pPr>
              <w:spacing w:after="0"/>
              <w:rPr>
                <w:sz w:val="24"/>
                <w:szCs w:val="24"/>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94"/>
              </w:rPr>
              <w:t>1,892,080</w:t>
            </w:r>
          </w:p>
        </w:tc>
        <w:tc>
          <w:tcPr>
            <w:tcW w:w="80" w:type="dxa"/>
            <w:vAlign w:val="bottom"/>
          </w:tcPr>
          <w:p>
            <w:pPr>
              <w:spacing w:after="0"/>
              <w:rPr>
                <w:sz w:val="24"/>
                <w:szCs w:val="24"/>
                <w:color w:val="auto"/>
              </w:rPr>
            </w:pPr>
          </w:p>
        </w:tc>
        <w:tc>
          <w:tcPr>
            <w:tcW w:w="1100" w:type="dxa"/>
            <w:vAlign w:val="bottom"/>
            <w:tcBorders>
              <w:bottom w:val="single" w:sz="8" w:color="auto"/>
              <w:right w:val="single" w:sz="8" w:color="E6E6E6"/>
            </w:tcBorders>
          </w:tcPr>
          <w:p>
            <w:pPr>
              <w:jc w:val="right"/>
              <w:ind w:right="141"/>
              <w:spacing w:after="0"/>
              <w:rPr>
                <w:sz w:val="20"/>
                <w:szCs w:val="20"/>
                <w:color w:val="auto"/>
              </w:rPr>
            </w:pPr>
            <w:r>
              <w:rPr>
                <w:rFonts w:ascii="Arial" w:cs="Arial" w:eastAsia="Arial" w:hAnsi="Arial"/>
                <w:sz w:val="20"/>
                <w:szCs w:val="20"/>
                <w:color w:val="auto"/>
                <w:w w:val="94"/>
              </w:rPr>
              <w:t>1,918,106</w:t>
            </w:r>
          </w:p>
        </w:tc>
      </w:tr>
    </w:tbl>
    <w:p>
      <w:pPr>
        <w:spacing w:after="0" w:line="200" w:lineRule="exact"/>
        <w:rPr>
          <w:sz w:val="20"/>
          <w:szCs w:val="20"/>
          <w:color w:val="auto"/>
        </w:rPr>
      </w:pP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880" w:h="15480" w:orient="portrait"/>
          <w:cols w:equalWidth="0" w:num="1">
            <w:col w:w="10160"/>
          </w:cols>
          <w:pgMar w:left="860" w:top="512" w:right="860" w:bottom="0" w:gutter="0" w:footer="0" w:header="0"/>
          <w:type w:val="continuous"/>
        </w:sectPr>
      </w:pPr>
    </w:p>
    <w:bookmarkStart w:id="13" w:name="page14"/>
    <w:bookmarkEnd w:id="13"/>
    <w:tbl>
      <w:tblPr>
        <w:tblLayout w:type="fixed"/>
        <w:tblInd w:w="180" w:type="dxa"/>
        <w:tblCellMar>
          <w:top w:w="0" w:type="dxa"/>
          <w:left w:w="0" w:type="dxa"/>
          <w:bottom w:w="0" w:type="dxa"/>
          <w:right w:w="0" w:type="dxa"/>
        </w:tblCellMar>
      </w:tblPr>
      <w:tr>
        <w:trPr>
          <w:trHeight w:val="241"/>
        </w:trPr>
        <w:tc>
          <w:tcPr>
            <w:tcW w:w="6580" w:type="dxa"/>
            <w:vAlign w:val="bottom"/>
          </w:tcPr>
          <w:p>
            <w:pPr>
              <w:spacing w:after="0"/>
              <w:rPr>
                <w:sz w:val="20"/>
                <w:szCs w:val="20"/>
                <w:color w:val="auto"/>
              </w:rPr>
            </w:pPr>
          </w:p>
        </w:tc>
        <w:tc>
          <w:tcPr>
            <w:tcW w:w="268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w w:val="88"/>
              </w:rPr>
              <w:t>Year ended December 31,</w:t>
            </w:r>
          </w:p>
        </w:tc>
        <w:tc>
          <w:tcPr>
            <w:tcW w:w="720" w:type="dxa"/>
            <w:vAlign w:val="bottom"/>
            <w:tcBorders>
              <w:bottom w:val="single" w:sz="8" w:color="auto"/>
            </w:tcBorders>
          </w:tcPr>
          <w:p>
            <w:pPr>
              <w:spacing w:after="0"/>
              <w:rPr>
                <w:sz w:val="20"/>
                <w:szCs w:val="20"/>
                <w:color w:val="auto"/>
              </w:rPr>
            </w:pPr>
          </w:p>
        </w:tc>
      </w:tr>
      <w:tr>
        <w:trPr>
          <w:trHeight w:val="232"/>
        </w:trPr>
        <w:tc>
          <w:tcPr>
            <w:tcW w:w="6580" w:type="dxa"/>
            <w:vAlign w:val="bottom"/>
          </w:tcPr>
          <w:p>
            <w:pPr>
              <w:spacing w:after="0"/>
              <w:rPr>
                <w:sz w:val="20"/>
                <w:szCs w:val="20"/>
                <w:color w:val="auto"/>
              </w:rPr>
            </w:pPr>
          </w:p>
        </w:tc>
        <w:tc>
          <w:tcPr>
            <w:tcW w:w="1080" w:type="dxa"/>
            <w:vAlign w:val="bottom"/>
          </w:tcPr>
          <w:p>
            <w:pPr>
              <w:jc w:val="right"/>
              <w:ind w:right="262"/>
              <w:spacing w:after="0"/>
              <w:rPr>
                <w:sz w:val="20"/>
                <w:szCs w:val="20"/>
                <w:color w:val="auto"/>
              </w:rPr>
            </w:pPr>
            <w:r>
              <w:rPr>
                <w:rFonts w:ascii="Arial" w:cs="Arial" w:eastAsia="Arial" w:hAnsi="Arial"/>
                <w:sz w:val="18"/>
                <w:szCs w:val="18"/>
                <w:b w:val="1"/>
                <w:bCs w:val="1"/>
                <w:color w:val="auto"/>
              </w:rPr>
              <w:t>2024</w:t>
            </w:r>
          </w:p>
        </w:tc>
        <w:tc>
          <w:tcPr>
            <w:tcW w:w="116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262"/>
              <w:spacing w:after="0"/>
              <w:rPr>
                <w:sz w:val="20"/>
                <w:szCs w:val="20"/>
                <w:color w:val="auto"/>
              </w:rPr>
            </w:pPr>
            <w:r>
              <w:rPr>
                <w:rFonts w:ascii="Arial" w:cs="Arial" w:eastAsia="Arial" w:hAnsi="Arial"/>
                <w:sz w:val="18"/>
                <w:szCs w:val="18"/>
                <w:b w:val="1"/>
                <w:bCs w:val="1"/>
                <w:color w:val="auto"/>
                <w:w w:val="84"/>
              </w:rPr>
              <w:t>2022</w:t>
            </w:r>
          </w:p>
        </w:tc>
      </w:tr>
      <w:tr>
        <w:trPr>
          <w:trHeight w:val="280"/>
        </w:trPr>
        <w:tc>
          <w:tcPr>
            <w:tcW w:w="6580" w:type="dxa"/>
            <w:vAlign w:val="bottom"/>
          </w:tcPr>
          <w:p>
            <w:pPr>
              <w:spacing w:after="0" w:line="280" w:lineRule="exact"/>
              <w:rPr>
                <w:sz w:val="20"/>
                <w:szCs w:val="20"/>
                <w:color w:val="auto"/>
              </w:rPr>
            </w:pPr>
            <w:r>
              <w:rPr>
                <w:rFonts w:ascii="Arial" w:cs="Arial" w:eastAsia="Arial" w:hAnsi="Arial"/>
                <w:sz w:val="20"/>
                <w:szCs w:val="20"/>
                <w:b w:val="1"/>
                <w:bCs w:val="1"/>
                <w:color w:val="auto"/>
              </w:rPr>
              <w:t>Customer count - Electricity customers</w:t>
            </w:r>
            <w:r>
              <w:rPr>
                <w:rFonts w:ascii="Arial" w:cs="Arial" w:eastAsia="Arial" w:hAnsi="Arial"/>
                <w:sz w:val="25"/>
                <w:szCs w:val="25"/>
                <w:b w:val="1"/>
                <w:bCs w:val="1"/>
                <w:color w:val="auto"/>
                <w:vertAlign w:val="superscript"/>
              </w:rPr>
              <w:t>(a)(b)</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(in thousands)</w:t>
            </w:r>
          </w:p>
        </w:tc>
        <w:tc>
          <w:tcPr>
            <w:tcW w:w="10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62"/>
        </w:trPr>
        <w:tc>
          <w:tcPr>
            <w:tcW w:w="6580" w:type="dxa"/>
            <w:vAlign w:val="bottom"/>
          </w:tcPr>
          <w:p>
            <w:pPr>
              <w:jc w:val="right"/>
              <w:ind w:right="5041"/>
              <w:spacing w:after="0"/>
              <w:rPr>
                <w:sz w:val="20"/>
                <w:szCs w:val="20"/>
                <w:color w:val="auto"/>
              </w:rPr>
            </w:pPr>
            <w:r>
              <w:rPr>
                <w:rFonts w:ascii="Arial" w:cs="Arial" w:eastAsia="Arial" w:hAnsi="Arial"/>
                <w:sz w:val="20"/>
                <w:szCs w:val="20"/>
                <w:b w:val="1"/>
                <w:bCs w:val="1"/>
                <w:i w:val="1"/>
                <w:iCs w:val="1"/>
                <w:color w:val="auto"/>
              </w:rPr>
              <w:t>Home - Texas</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82"/>
        </w:trPr>
        <w:tc>
          <w:tcPr>
            <w:tcW w:w="6580" w:type="dxa"/>
            <w:vAlign w:val="bottom"/>
          </w:tcPr>
          <w:p>
            <w:pPr>
              <w:jc w:val="right"/>
              <w:spacing w:after="0"/>
              <w:rPr>
                <w:sz w:val="20"/>
                <w:szCs w:val="20"/>
                <w:color w:val="auto"/>
              </w:rPr>
            </w:pPr>
            <w:r>
              <w:rPr>
                <w:rFonts w:ascii="Arial" w:cs="Arial" w:eastAsia="Arial" w:hAnsi="Arial"/>
                <w:sz w:val="20"/>
                <w:szCs w:val="20"/>
                <w:color w:val="auto"/>
                <w:w w:val="94"/>
              </w:rPr>
              <w:t xml:space="preserve">Average retail  </w:t>
            </w:r>
            <w:r>
              <w:rPr>
                <w:rFonts w:ascii="Arial" w:cs="Arial" w:eastAsia="Arial" w:hAnsi="Arial"/>
                <w:sz w:val="20"/>
                <w:szCs w:val="20"/>
                <w:color w:val="B4B4B4"/>
                <w:w w:val="94"/>
              </w:rPr>
              <w:t>. . . . . . . . . . . . . . . . . . . . . . . . . . . . . . . . . . . . . . . . . . . . . . . . . .</w:t>
            </w:r>
          </w:p>
        </w:tc>
        <w:tc>
          <w:tcPr>
            <w:tcW w:w="1080" w:type="dxa"/>
            <w:vAlign w:val="bottom"/>
          </w:tcPr>
          <w:p>
            <w:pPr>
              <w:jc w:val="right"/>
              <w:ind w:right="122"/>
              <w:spacing w:after="0"/>
              <w:rPr>
                <w:sz w:val="20"/>
                <w:szCs w:val="20"/>
                <w:color w:val="auto"/>
              </w:rPr>
            </w:pPr>
            <w:r>
              <w:rPr>
                <w:rFonts w:ascii="Arial" w:cs="Arial" w:eastAsia="Arial" w:hAnsi="Arial"/>
                <w:sz w:val="20"/>
                <w:szCs w:val="20"/>
                <w:color w:val="auto"/>
              </w:rPr>
              <w:t>2,940</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2,878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ind w:right="122"/>
              <w:spacing w:after="0"/>
              <w:rPr>
                <w:sz w:val="20"/>
                <w:szCs w:val="20"/>
                <w:color w:val="auto"/>
              </w:rPr>
            </w:pPr>
            <w:r>
              <w:rPr>
                <w:rFonts w:ascii="Arial" w:cs="Arial" w:eastAsia="Arial" w:hAnsi="Arial"/>
                <w:sz w:val="20"/>
                <w:szCs w:val="20"/>
                <w:color w:val="auto"/>
                <w:w w:val="95"/>
              </w:rPr>
              <w:t>2,961</w:t>
            </w:r>
          </w:p>
        </w:tc>
      </w:tr>
      <w:tr>
        <w:trPr>
          <w:trHeight w:val="282"/>
        </w:trPr>
        <w:tc>
          <w:tcPr>
            <w:tcW w:w="6580" w:type="dxa"/>
            <w:vAlign w:val="bottom"/>
          </w:tcPr>
          <w:p>
            <w:pPr>
              <w:jc w:val="right"/>
              <w:spacing w:after="0"/>
              <w:rPr>
                <w:sz w:val="20"/>
                <w:szCs w:val="20"/>
                <w:color w:val="auto"/>
              </w:rPr>
            </w:pPr>
            <w:r>
              <w:rPr>
                <w:rFonts w:ascii="Arial" w:cs="Arial" w:eastAsia="Arial" w:hAnsi="Arial"/>
                <w:sz w:val="20"/>
                <w:szCs w:val="20"/>
                <w:color w:val="auto"/>
                <w:w w:val="95"/>
              </w:rPr>
              <w:t xml:space="preserve">Ending retail  </w:t>
            </w:r>
            <w:r>
              <w:rPr>
                <w:rFonts w:ascii="Arial" w:cs="Arial" w:eastAsia="Arial" w:hAnsi="Arial"/>
                <w:sz w:val="20"/>
                <w:szCs w:val="20"/>
                <w:color w:val="B4B4B4"/>
                <w:w w:val="95"/>
              </w:rPr>
              <w:t>. . . . . . . . . . . . . . . . . . . . . . . . . . . . . . . . . . . . . . . . . . . . . . . . . . .</w:t>
            </w:r>
          </w:p>
        </w:tc>
        <w:tc>
          <w:tcPr>
            <w:tcW w:w="1080" w:type="dxa"/>
            <w:vAlign w:val="bottom"/>
          </w:tcPr>
          <w:p>
            <w:pPr>
              <w:jc w:val="right"/>
              <w:ind w:right="122"/>
              <w:spacing w:after="0"/>
              <w:rPr>
                <w:sz w:val="20"/>
                <w:szCs w:val="20"/>
                <w:color w:val="auto"/>
              </w:rPr>
            </w:pPr>
            <w:r>
              <w:rPr>
                <w:rFonts w:ascii="Arial" w:cs="Arial" w:eastAsia="Arial" w:hAnsi="Arial"/>
                <w:sz w:val="20"/>
                <w:szCs w:val="20"/>
                <w:color w:val="auto"/>
              </w:rPr>
              <w:t>2,909</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2,928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ind w:right="122"/>
              <w:spacing w:after="0"/>
              <w:rPr>
                <w:sz w:val="20"/>
                <w:szCs w:val="20"/>
                <w:color w:val="auto"/>
              </w:rPr>
            </w:pPr>
            <w:r>
              <w:rPr>
                <w:rFonts w:ascii="Arial" w:cs="Arial" w:eastAsia="Arial" w:hAnsi="Arial"/>
                <w:sz w:val="20"/>
                <w:szCs w:val="20"/>
                <w:color w:val="auto"/>
                <w:w w:val="95"/>
              </w:rPr>
              <w:t>2,859</w:t>
            </w:r>
          </w:p>
        </w:tc>
      </w:tr>
      <w:tr>
        <w:trPr>
          <w:trHeight w:val="282"/>
        </w:trPr>
        <w:tc>
          <w:tcPr>
            <w:tcW w:w="6580" w:type="dxa"/>
            <w:vAlign w:val="bottom"/>
          </w:tcPr>
          <w:p>
            <w:pPr>
              <w:ind w:left="240"/>
              <w:spacing w:after="0"/>
              <w:rPr>
                <w:sz w:val="20"/>
                <w:szCs w:val="20"/>
                <w:color w:val="auto"/>
              </w:rPr>
            </w:pPr>
            <w:r>
              <w:rPr>
                <w:rFonts w:ascii="Arial" w:cs="Arial" w:eastAsia="Arial" w:hAnsi="Arial"/>
                <w:sz w:val="20"/>
                <w:szCs w:val="20"/>
                <w:b w:val="1"/>
                <w:bCs w:val="1"/>
                <w:i w:val="1"/>
                <w:iCs w:val="1"/>
                <w:color w:val="auto"/>
              </w:rPr>
              <w:t>Home - East</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2"/>
        </w:trPr>
        <w:tc>
          <w:tcPr>
            <w:tcW w:w="6580" w:type="dxa"/>
            <w:vAlign w:val="bottom"/>
          </w:tcPr>
          <w:p>
            <w:pPr>
              <w:jc w:val="right"/>
              <w:spacing w:after="0"/>
              <w:rPr>
                <w:sz w:val="20"/>
                <w:szCs w:val="20"/>
                <w:color w:val="auto"/>
              </w:rPr>
            </w:pPr>
            <w:r>
              <w:rPr>
                <w:rFonts w:ascii="Arial" w:cs="Arial" w:eastAsia="Arial" w:hAnsi="Arial"/>
                <w:sz w:val="20"/>
                <w:szCs w:val="20"/>
                <w:color w:val="auto"/>
                <w:w w:val="94"/>
              </w:rPr>
              <w:t xml:space="preserve">Average retail  </w:t>
            </w:r>
            <w:r>
              <w:rPr>
                <w:rFonts w:ascii="Arial" w:cs="Arial" w:eastAsia="Arial" w:hAnsi="Arial"/>
                <w:sz w:val="20"/>
                <w:szCs w:val="20"/>
                <w:color w:val="B4B4B4"/>
                <w:w w:val="94"/>
              </w:rPr>
              <w:t>. . . . . . . . . . . . . . . . . . . . . . . . . . . . . . . . . . . . . . . . . . . . . . . . . .</w:t>
            </w:r>
          </w:p>
        </w:tc>
        <w:tc>
          <w:tcPr>
            <w:tcW w:w="1080" w:type="dxa"/>
            <w:vAlign w:val="bottom"/>
          </w:tcPr>
          <w:p>
            <w:pPr>
              <w:jc w:val="right"/>
              <w:ind w:right="122"/>
              <w:spacing w:after="0"/>
              <w:rPr>
                <w:sz w:val="20"/>
                <w:szCs w:val="20"/>
                <w:color w:val="auto"/>
              </w:rPr>
            </w:pPr>
            <w:r>
              <w:rPr>
                <w:rFonts w:ascii="Arial" w:cs="Arial" w:eastAsia="Arial" w:hAnsi="Arial"/>
                <w:sz w:val="20"/>
                <w:szCs w:val="20"/>
                <w:color w:val="auto"/>
              </w:rPr>
              <w:t>1,777</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1,466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ind w:right="122"/>
              <w:spacing w:after="0"/>
              <w:rPr>
                <w:sz w:val="20"/>
                <w:szCs w:val="20"/>
                <w:color w:val="auto"/>
              </w:rPr>
            </w:pPr>
            <w:r>
              <w:rPr>
                <w:rFonts w:ascii="Arial" w:cs="Arial" w:eastAsia="Arial" w:hAnsi="Arial"/>
                <w:sz w:val="20"/>
                <w:szCs w:val="20"/>
                <w:color w:val="auto"/>
                <w:w w:val="95"/>
              </w:rPr>
              <w:t>1,408</w:t>
            </w:r>
          </w:p>
        </w:tc>
      </w:tr>
      <w:tr>
        <w:trPr>
          <w:trHeight w:val="282"/>
        </w:trPr>
        <w:tc>
          <w:tcPr>
            <w:tcW w:w="6580" w:type="dxa"/>
            <w:vAlign w:val="bottom"/>
          </w:tcPr>
          <w:p>
            <w:pPr>
              <w:jc w:val="right"/>
              <w:spacing w:after="0"/>
              <w:rPr>
                <w:sz w:val="20"/>
                <w:szCs w:val="20"/>
                <w:color w:val="auto"/>
              </w:rPr>
            </w:pPr>
            <w:r>
              <w:rPr>
                <w:rFonts w:ascii="Arial" w:cs="Arial" w:eastAsia="Arial" w:hAnsi="Arial"/>
                <w:sz w:val="20"/>
                <w:szCs w:val="20"/>
                <w:color w:val="auto"/>
                <w:w w:val="95"/>
              </w:rPr>
              <w:t xml:space="preserve">Ending retail  </w:t>
            </w:r>
            <w:r>
              <w:rPr>
                <w:rFonts w:ascii="Arial" w:cs="Arial" w:eastAsia="Arial" w:hAnsi="Arial"/>
                <w:sz w:val="20"/>
                <w:szCs w:val="20"/>
                <w:color w:val="B4B4B4"/>
                <w:w w:val="95"/>
              </w:rPr>
              <w:t>. . . . . . . . . . . . . . . . . . . . . . . . . . . . . . . . . . . . . . . . . . . . . . . . . . .</w:t>
            </w:r>
          </w:p>
        </w:tc>
        <w:tc>
          <w:tcPr>
            <w:tcW w:w="1080" w:type="dxa"/>
            <w:vAlign w:val="bottom"/>
          </w:tcPr>
          <w:p>
            <w:pPr>
              <w:jc w:val="right"/>
              <w:ind w:right="122"/>
              <w:spacing w:after="0"/>
              <w:rPr>
                <w:sz w:val="20"/>
                <w:szCs w:val="20"/>
                <w:color w:val="auto"/>
              </w:rPr>
            </w:pPr>
            <w:r>
              <w:rPr>
                <w:rFonts w:ascii="Arial" w:cs="Arial" w:eastAsia="Arial" w:hAnsi="Arial"/>
                <w:sz w:val="20"/>
                <w:szCs w:val="20"/>
                <w:color w:val="auto"/>
              </w:rPr>
              <w:t>1,807</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1,752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ind w:right="122"/>
              <w:spacing w:after="0"/>
              <w:rPr>
                <w:sz w:val="20"/>
                <w:szCs w:val="20"/>
                <w:color w:val="auto"/>
              </w:rPr>
            </w:pPr>
            <w:r>
              <w:rPr>
                <w:rFonts w:ascii="Arial" w:cs="Arial" w:eastAsia="Arial" w:hAnsi="Arial"/>
                <w:sz w:val="20"/>
                <w:szCs w:val="20"/>
                <w:color w:val="auto"/>
                <w:w w:val="95"/>
              </w:rPr>
              <w:t>1,381</w:t>
            </w:r>
          </w:p>
        </w:tc>
      </w:tr>
      <w:tr>
        <w:trPr>
          <w:trHeight w:val="282"/>
        </w:trPr>
        <w:tc>
          <w:tcPr>
            <w:tcW w:w="6580" w:type="dxa"/>
            <w:vAlign w:val="bottom"/>
          </w:tcPr>
          <w:p>
            <w:pPr>
              <w:ind w:left="220"/>
              <w:spacing w:after="0"/>
              <w:rPr>
                <w:sz w:val="20"/>
                <w:szCs w:val="20"/>
                <w:color w:val="auto"/>
              </w:rPr>
            </w:pPr>
            <w:r>
              <w:rPr>
                <w:rFonts w:ascii="Arial" w:cs="Arial" w:eastAsia="Arial" w:hAnsi="Arial"/>
                <w:sz w:val="20"/>
                <w:szCs w:val="20"/>
                <w:b w:val="1"/>
                <w:bCs w:val="1"/>
                <w:i w:val="1"/>
                <w:iCs w:val="1"/>
                <w:color w:val="auto"/>
              </w:rPr>
              <w:t>Home - West/Services/Other</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2"/>
        </w:trPr>
        <w:tc>
          <w:tcPr>
            <w:tcW w:w="6580" w:type="dxa"/>
            <w:vAlign w:val="bottom"/>
          </w:tcPr>
          <w:p>
            <w:pPr>
              <w:jc w:val="right"/>
              <w:spacing w:after="0"/>
              <w:rPr>
                <w:sz w:val="20"/>
                <w:szCs w:val="20"/>
                <w:color w:val="auto"/>
              </w:rPr>
            </w:pPr>
            <w:r>
              <w:rPr>
                <w:rFonts w:ascii="Arial" w:cs="Arial" w:eastAsia="Arial" w:hAnsi="Arial"/>
                <w:sz w:val="20"/>
                <w:szCs w:val="20"/>
                <w:color w:val="auto"/>
                <w:w w:val="94"/>
              </w:rPr>
              <w:t xml:space="preserve">Average retail </w:t>
            </w:r>
            <w:r>
              <w:rPr>
                <w:rFonts w:ascii="Arial" w:cs="Arial" w:eastAsia="Arial" w:hAnsi="Arial"/>
                <w:sz w:val="20"/>
                <w:szCs w:val="20"/>
                <w:color w:val="B4B4B4"/>
                <w:w w:val="94"/>
              </w:rPr>
              <w:t>. . . . . . . . . . . . . . . . . . . . . . . . . . . . . . . . . . . . . . . . . . . . . . . . . . .</w:t>
            </w:r>
          </w:p>
        </w:tc>
        <w:tc>
          <w:tcPr>
            <w:tcW w:w="1080" w:type="dxa"/>
            <w:vAlign w:val="bottom"/>
          </w:tcPr>
          <w:p>
            <w:pPr>
              <w:jc w:val="right"/>
              <w:ind w:right="122"/>
              <w:spacing w:after="0"/>
              <w:rPr>
                <w:sz w:val="20"/>
                <w:szCs w:val="20"/>
                <w:color w:val="auto"/>
              </w:rPr>
            </w:pPr>
            <w:r>
              <w:rPr>
                <w:rFonts w:ascii="Arial" w:cs="Arial" w:eastAsia="Arial" w:hAnsi="Arial"/>
                <w:sz w:val="20"/>
                <w:szCs w:val="20"/>
                <w:color w:val="auto"/>
              </w:rPr>
              <w:t>395</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393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ind w:right="122"/>
              <w:spacing w:after="0"/>
              <w:rPr>
                <w:sz w:val="20"/>
                <w:szCs w:val="20"/>
                <w:color w:val="auto"/>
              </w:rPr>
            </w:pPr>
            <w:r>
              <w:rPr>
                <w:rFonts w:ascii="Arial" w:cs="Arial" w:eastAsia="Arial" w:hAnsi="Arial"/>
                <w:sz w:val="20"/>
                <w:szCs w:val="20"/>
                <w:color w:val="auto"/>
              </w:rPr>
              <w:t>383</w:t>
            </w:r>
          </w:p>
        </w:tc>
      </w:tr>
      <w:tr>
        <w:trPr>
          <w:trHeight w:val="282"/>
        </w:trPr>
        <w:tc>
          <w:tcPr>
            <w:tcW w:w="6580" w:type="dxa"/>
            <w:vAlign w:val="bottom"/>
          </w:tcPr>
          <w:p>
            <w:pPr>
              <w:jc w:val="right"/>
              <w:spacing w:after="0"/>
              <w:rPr>
                <w:sz w:val="20"/>
                <w:szCs w:val="20"/>
                <w:color w:val="auto"/>
              </w:rPr>
            </w:pPr>
            <w:r>
              <w:rPr>
                <w:rFonts w:ascii="Arial" w:cs="Arial" w:eastAsia="Arial" w:hAnsi="Arial"/>
                <w:sz w:val="20"/>
                <w:szCs w:val="20"/>
                <w:color w:val="auto"/>
                <w:w w:val="94"/>
              </w:rPr>
              <w:t xml:space="preserve">Ending retail </w:t>
            </w:r>
            <w:r>
              <w:rPr>
                <w:rFonts w:ascii="Arial" w:cs="Arial" w:eastAsia="Arial" w:hAnsi="Arial"/>
                <w:sz w:val="20"/>
                <w:szCs w:val="20"/>
                <w:color w:val="B4B4B4"/>
                <w:w w:val="94"/>
              </w:rPr>
              <w:t>. . . . . . . . . . . . . . . . . . . . . . . . . . . . . . . . . . . . . . . . . . . . . . . . . . . .</w:t>
            </w:r>
          </w:p>
        </w:tc>
        <w:tc>
          <w:tcPr>
            <w:tcW w:w="1080" w:type="dxa"/>
            <w:vAlign w:val="bottom"/>
          </w:tcPr>
          <w:p>
            <w:pPr>
              <w:jc w:val="right"/>
              <w:ind w:right="122"/>
              <w:spacing w:after="0"/>
              <w:rPr>
                <w:sz w:val="20"/>
                <w:szCs w:val="20"/>
                <w:color w:val="auto"/>
              </w:rPr>
            </w:pPr>
            <w:r>
              <w:rPr>
                <w:rFonts w:ascii="Arial" w:cs="Arial" w:eastAsia="Arial" w:hAnsi="Arial"/>
                <w:sz w:val="20"/>
                <w:szCs w:val="20"/>
                <w:color w:val="auto"/>
              </w:rPr>
              <w:t>373</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404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ind w:right="122"/>
              <w:spacing w:after="0"/>
              <w:rPr>
                <w:sz w:val="20"/>
                <w:szCs w:val="20"/>
                <w:color w:val="auto"/>
              </w:rPr>
            </w:pPr>
            <w:r>
              <w:rPr>
                <w:rFonts w:ascii="Arial" w:cs="Arial" w:eastAsia="Arial" w:hAnsi="Arial"/>
                <w:sz w:val="20"/>
                <w:szCs w:val="20"/>
                <w:color w:val="auto"/>
              </w:rPr>
              <w:t>390</w:t>
            </w:r>
          </w:p>
        </w:tc>
      </w:tr>
      <w:tr>
        <w:trPr>
          <w:trHeight w:val="569"/>
        </w:trPr>
        <w:tc>
          <w:tcPr>
            <w:tcW w:w="6580" w:type="dxa"/>
            <w:vAlign w:val="bottom"/>
          </w:tcPr>
          <w:p>
            <w:pPr>
              <w:spacing w:after="0"/>
              <w:rPr>
                <w:sz w:val="20"/>
                <w:szCs w:val="20"/>
                <w:color w:val="auto"/>
              </w:rPr>
            </w:pPr>
            <w:r>
              <w:rPr>
                <w:rFonts w:ascii="Arial" w:cs="Arial" w:eastAsia="Arial" w:hAnsi="Arial"/>
                <w:sz w:val="20"/>
                <w:szCs w:val="20"/>
                <w:b w:val="1"/>
                <w:bCs w:val="1"/>
                <w:color w:val="auto"/>
              </w:rPr>
              <w:t>Customer count - Natural gas customers</w:t>
            </w:r>
            <w:r>
              <w:rPr>
                <w:rFonts w:ascii="Arial" w:cs="Arial" w:eastAsia="Arial" w:hAnsi="Arial"/>
                <w:sz w:val="25"/>
                <w:szCs w:val="25"/>
                <w:b w:val="1"/>
                <w:bCs w:val="1"/>
                <w:color w:val="auto"/>
                <w:vertAlign w:val="superscript"/>
              </w:rPr>
              <w:t>(b)</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(in thousands)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2"/>
        </w:trPr>
        <w:tc>
          <w:tcPr>
            <w:tcW w:w="6580" w:type="dxa"/>
            <w:vAlign w:val="bottom"/>
          </w:tcPr>
          <w:p>
            <w:pPr>
              <w:ind w:left="240"/>
              <w:spacing w:after="0"/>
              <w:rPr>
                <w:sz w:val="20"/>
                <w:szCs w:val="20"/>
                <w:color w:val="auto"/>
              </w:rPr>
            </w:pPr>
            <w:r>
              <w:rPr>
                <w:rFonts w:ascii="Arial" w:cs="Arial" w:eastAsia="Arial" w:hAnsi="Arial"/>
                <w:sz w:val="20"/>
                <w:szCs w:val="20"/>
                <w:b w:val="1"/>
                <w:bCs w:val="1"/>
                <w:i w:val="1"/>
                <w:iCs w:val="1"/>
                <w:color w:val="auto"/>
              </w:rPr>
              <w:t>Home - East</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82"/>
        </w:trPr>
        <w:tc>
          <w:tcPr>
            <w:tcW w:w="6580" w:type="dxa"/>
            <w:vAlign w:val="bottom"/>
          </w:tcPr>
          <w:p>
            <w:pPr>
              <w:jc w:val="right"/>
              <w:spacing w:after="0"/>
              <w:rPr>
                <w:sz w:val="20"/>
                <w:szCs w:val="20"/>
                <w:color w:val="auto"/>
              </w:rPr>
            </w:pPr>
            <w:r>
              <w:rPr>
                <w:rFonts w:ascii="Arial" w:cs="Arial" w:eastAsia="Arial" w:hAnsi="Arial"/>
                <w:sz w:val="20"/>
                <w:szCs w:val="20"/>
                <w:color w:val="auto"/>
                <w:w w:val="94"/>
              </w:rPr>
              <w:t xml:space="preserve">Average retail </w:t>
            </w:r>
            <w:r>
              <w:rPr>
                <w:rFonts w:ascii="Arial" w:cs="Arial" w:eastAsia="Arial" w:hAnsi="Arial"/>
                <w:sz w:val="20"/>
                <w:szCs w:val="20"/>
                <w:color w:val="B4B4B4"/>
                <w:w w:val="94"/>
              </w:rPr>
              <w:t>. . . . . . . . . . . . . . . . . . . . . . . . . . . . . . . . . . . . . . . . . . . . . . . . . . .</w:t>
            </w:r>
          </w:p>
        </w:tc>
        <w:tc>
          <w:tcPr>
            <w:tcW w:w="1080" w:type="dxa"/>
            <w:vAlign w:val="bottom"/>
          </w:tcPr>
          <w:p>
            <w:pPr>
              <w:jc w:val="right"/>
              <w:ind w:right="122"/>
              <w:spacing w:after="0"/>
              <w:rPr>
                <w:sz w:val="20"/>
                <w:szCs w:val="20"/>
                <w:color w:val="auto"/>
              </w:rPr>
            </w:pPr>
            <w:r>
              <w:rPr>
                <w:rFonts w:ascii="Arial" w:cs="Arial" w:eastAsia="Arial" w:hAnsi="Arial"/>
                <w:sz w:val="20"/>
                <w:szCs w:val="20"/>
                <w:color w:val="auto"/>
              </w:rPr>
              <w:t>388</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390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ind w:right="122"/>
              <w:spacing w:after="0"/>
              <w:rPr>
                <w:sz w:val="20"/>
                <w:szCs w:val="20"/>
                <w:color w:val="auto"/>
              </w:rPr>
            </w:pPr>
            <w:r>
              <w:rPr>
                <w:rFonts w:ascii="Arial" w:cs="Arial" w:eastAsia="Arial" w:hAnsi="Arial"/>
                <w:sz w:val="20"/>
                <w:szCs w:val="20"/>
                <w:color w:val="auto"/>
              </w:rPr>
              <w:t>375</w:t>
            </w:r>
          </w:p>
        </w:tc>
      </w:tr>
      <w:tr>
        <w:trPr>
          <w:trHeight w:val="282"/>
        </w:trPr>
        <w:tc>
          <w:tcPr>
            <w:tcW w:w="6580" w:type="dxa"/>
            <w:vAlign w:val="bottom"/>
          </w:tcPr>
          <w:p>
            <w:pPr>
              <w:jc w:val="right"/>
              <w:spacing w:after="0"/>
              <w:rPr>
                <w:sz w:val="20"/>
                <w:szCs w:val="20"/>
                <w:color w:val="auto"/>
              </w:rPr>
            </w:pPr>
            <w:r>
              <w:rPr>
                <w:rFonts w:ascii="Arial" w:cs="Arial" w:eastAsia="Arial" w:hAnsi="Arial"/>
                <w:sz w:val="20"/>
                <w:szCs w:val="20"/>
                <w:color w:val="auto"/>
                <w:w w:val="94"/>
              </w:rPr>
              <w:t xml:space="preserve">Ending retail </w:t>
            </w:r>
            <w:r>
              <w:rPr>
                <w:rFonts w:ascii="Arial" w:cs="Arial" w:eastAsia="Arial" w:hAnsi="Arial"/>
                <w:sz w:val="20"/>
                <w:szCs w:val="20"/>
                <w:color w:val="B4B4B4"/>
                <w:w w:val="94"/>
              </w:rPr>
              <w:t>. . . . . . . . . . . . . . . . . . . . . . . . . . . . . . . . . . . . . . . . . . . . . . . . . . . .</w:t>
            </w:r>
          </w:p>
        </w:tc>
        <w:tc>
          <w:tcPr>
            <w:tcW w:w="1080" w:type="dxa"/>
            <w:vAlign w:val="bottom"/>
          </w:tcPr>
          <w:p>
            <w:pPr>
              <w:jc w:val="right"/>
              <w:ind w:right="122"/>
              <w:spacing w:after="0"/>
              <w:rPr>
                <w:sz w:val="20"/>
                <w:szCs w:val="20"/>
                <w:color w:val="auto"/>
              </w:rPr>
            </w:pPr>
            <w:r>
              <w:rPr>
                <w:rFonts w:ascii="Arial" w:cs="Arial" w:eastAsia="Arial" w:hAnsi="Arial"/>
                <w:sz w:val="20"/>
                <w:szCs w:val="20"/>
                <w:color w:val="auto"/>
              </w:rPr>
              <w:t>384</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385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ind w:right="122"/>
              <w:spacing w:after="0"/>
              <w:rPr>
                <w:sz w:val="20"/>
                <w:szCs w:val="20"/>
                <w:color w:val="auto"/>
              </w:rPr>
            </w:pPr>
            <w:r>
              <w:rPr>
                <w:rFonts w:ascii="Arial" w:cs="Arial" w:eastAsia="Arial" w:hAnsi="Arial"/>
                <w:sz w:val="20"/>
                <w:szCs w:val="20"/>
                <w:color w:val="auto"/>
              </w:rPr>
              <w:t>380</w:t>
            </w:r>
          </w:p>
        </w:tc>
      </w:tr>
      <w:tr>
        <w:trPr>
          <w:trHeight w:val="282"/>
        </w:trPr>
        <w:tc>
          <w:tcPr>
            <w:tcW w:w="6580" w:type="dxa"/>
            <w:vAlign w:val="bottom"/>
          </w:tcPr>
          <w:p>
            <w:pPr>
              <w:ind w:left="220"/>
              <w:spacing w:after="0"/>
              <w:rPr>
                <w:sz w:val="20"/>
                <w:szCs w:val="20"/>
                <w:color w:val="auto"/>
              </w:rPr>
            </w:pPr>
            <w:r>
              <w:rPr>
                <w:rFonts w:ascii="Arial" w:cs="Arial" w:eastAsia="Arial" w:hAnsi="Arial"/>
                <w:sz w:val="20"/>
                <w:szCs w:val="20"/>
                <w:b w:val="1"/>
                <w:bCs w:val="1"/>
                <w:i w:val="1"/>
                <w:iCs w:val="1"/>
                <w:color w:val="auto"/>
              </w:rPr>
              <w:t>Home - West/Services/Other</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2"/>
        </w:trPr>
        <w:tc>
          <w:tcPr>
            <w:tcW w:w="6580" w:type="dxa"/>
            <w:vAlign w:val="bottom"/>
          </w:tcPr>
          <w:p>
            <w:pPr>
              <w:jc w:val="right"/>
              <w:spacing w:after="0"/>
              <w:rPr>
                <w:sz w:val="20"/>
                <w:szCs w:val="20"/>
                <w:color w:val="auto"/>
              </w:rPr>
            </w:pPr>
            <w:r>
              <w:rPr>
                <w:rFonts w:ascii="Arial" w:cs="Arial" w:eastAsia="Arial" w:hAnsi="Arial"/>
                <w:sz w:val="20"/>
                <w:szCs w:val="20"/>
                <w:color w:val="auto"/>
                <w:w w:val="94"/>
              </w:rPr>
              <w:t xml:space="preserve">Average retail </w:t>
            </w:r>
            <w:r>
              <w:rPr>
                <w:rFonts w:ascii="Arial" w:cs="Arial" w:eastAsia="Arial" w:hAnsi="Arial"/>
                <w:sz w:val="20"/>
                <w:szCs w:val="20"/>
                <w:color w:val="B4B4B4"/>
                <w:w w:val="94"/>
              </w:rPr>
              <w:t>. . . . . . . . . . . . . . . . . . . . . . . . . . . . . . . . . . . . . . . . . . . . . . . . . . .</w:t>
            </w:r>
          </w:p>
        </w:tc>
        <w:tc>
          <w:tcPr>
            <w:tcW w:w="1080" w:type="dxa"/>
            <w:vAlign w:val="bottom"/>
          </w:tcPr>
          <w:p>
            <w:pPr>
              <w:jc w:val="right"/>
              <w:ind w:right="122"/>
              <w:spacing w:after="0"/>
              <w:rPr>
                <w:sz w:val="20"/>
                <w:szCs w:val="20"/>
                <w:color w:val="auto"/>
              </w:rPr>
            </w:pPr>
            <w:r>
              <w:rPr>
                <w:rFonts w:ascii="Arial" w:cs="Arial" w:eastAsia="Arial" w:hAnsi="Arial"/>
                <w:sz w:val="20"/>
                <w:szCs w:val="20"/>
                <w:color w:val="auto"/>
              </w:rPr>
              <w:t>353</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381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ind w:right="122"/>
              <w:spacing w:after="0"/>
              <w:rPr>
                <w:sz w:val="20"/>
                <w:szCs w:val="20"/>
                <w:color w:val="auto"/>
              </w:rPr>
            </w:pPr>
            <w:r>
              <w:rPr>
                <w:rFonts w:ascii="Arial" w:cs="Arial" w:eastAsia="Arial" w:hAnsi="Arial"/>
                <w:sz w:val="20"/>
                <w:szCs w:val="20"/>
                <w:color w:val="auto"/>
              </w:rPr>
              <w:t>416</w:t>
            </w:r>
          </w:p>
        </w:tc>
      </w:tr>
      <w:tr>
        <w:trPr>
          <w:trHeight w:val="282"/>
        </w:trPr>
        <w:tc>
          <w:tcPr>
            <w:tcW w:w="6580" w:type="dxa"/>
            <w:vAlign w:val="bottom"/>
          </w:tcPr>
          <w:p>
            <w:pPr>
              <w:jc w:val="right"/>
              <w:spacing w:after="0"/>
              <w:rPr>
                <w:sz w:val="20"/>
                <w:szCs w:val="20"/>
                <w:color w:val="auto"/>
              </w:rPr>
            </w:pPr>
            <w:r>
              <w:rPr>
                <w:rFonts w:ascii="Arial" w:cs="Arial" w:eastAsia="Arial" w:hAnsi="Arial"/>
                <w:sz w:val="20"/>
                <w:szCs w:val="20"/>
                <w:color w:val="auto"/>
                <w:w w:val="94"/>
              </w:rPr>
              <w:t xml:space="preserve">Ending retail </w:t>
            </w:r>
            <w:r>
              <w:rPr>
                <w:rFonts w:ascii="Arial" w:cs="Arial" w:eastAsia="Arial" w:hAnsi="Arial"/>
                <w:sz w:val="20"/>
                <w:szCs w:val="20"/>
                <w:color w:val="B4B4B4"/>
                <w:w w:val="94"/>
              </w:rPr>
              <w:t>. . . . . . . . . . . . . . . . . . . . . . . . . . . . . . . . . . . . . . . . . . . . . . . . . . . .</w:t>
            </w:r>
          </w:p>
        </w:tc>
        <w:tc>
          <w:tcPr>
            <w:tcW w:w="1080" w:type="dxa"/>
            <w:vAlign w:val="bottom"/>
          </w:tcPr>
          <w:p>
            <w:pPr>
              <w:jc w:val="right"/>
              <w:ind w:right="122"/>
              <w:spacing w:after="0"/>
              <w:rPr>
                <w:sz w:val="20"/>
                <w:szCs w:val="20"/>
                <w:color w:val="auto"/>
              </w:rPr>
            </w:pPr>
            <w:r>
              <w:rPr>
                <w:rFonts w:ascii="Arial" w:cs="Arial" w:eastAsia="Arial" w:hAnsi="Arial"/>
                <w:sz w:val="20"/>
                <w:szCs w:val="20"/>
                <w:color w:val="auto"/>
              </w:rPr>
              <w:t>347</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358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ind w:right="122"/>
              <w:spacing w:after="0"/>
              <w:rPr>
                <w:sz w:val="20"/>
                <w:szCs w:val="20"/>
                <w:color w:val="auto"/>
              </w:rPr>
            </w:pPr>
            <w:r>
              <w:rPr>
                <w:rFonts w:ascii="Arial" w:cs="Arial" w:eastAsia="Arial" w:hAnsi="Arial"/>
                <w:sz w:val="20"/>
                <w:szCs w:val="20"/>
                <w:color w:val="auto"/>
              </w:rPr>
              <w:t>396</w:t>
            </w:r>
          </w:p>
        </w:tc>
      </w:tr>
      <w:tr>
        <w:trPr>
          <w:trHeight w:val="564"/>
        </w:trPr>
        <w:tc>
          <w:tcPr>
            <w:tcW w:w="6580" w:type="dxa"/>
            <w:vAlign w:val="bottom"/>
          </w:tcPr>
          <w:p>
            <w:pPr>
              <w:jc w:val="right"/>
              <w:ind w:right="3261"/>
              <w:spacing w:after="0"/>
              <w:rPr>
                <w:sz w:val="20"/>
                <w:szCs w:val="20"/>
                <w:color w:val="auto"/>
              </w:rPr>
            </w:pPr>
            <w:r>
              <w:rPr>
                <w:rFonts w:ascii="Arial" w:cs="Arial" w:eastAsia="Arial" w:hAnsi="Arial"/>
                <w:sz w:val="20"/>
                <w:szCs w:val="20"/>
                <w:b w:val="1"/>
                <w:bCs w:val="1"/>
                <w:color w:val="auto"/>
                <w:w w:val="91"/>
              </w:rPr>
              <w:t xml:space="preserve">Total Customer count </w:t>
            </w:r>
            <w:r>
              <w:rPr>
                <w:rFonts w:ascii="Arial" w:cs="Arial" w:eastAsia="Arial" w:hAnsi="Arial"/>
                <w:sz w:val="20"/>
                <w:szCs w:val="20"/>
                <w:b w:val="1"/>
                <w:bCs w:val="1"/>
                <w:i w:val="1"/>
                <w:iCs w:val="1"/>
                <w:color w:val="auto"/>
                <w:w w:val="91"/>
              </w:rPr>
              <w:t>(in thousands)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2"/>
        </w:trPr>
        <w:tc>
          <w:tcPr>
            <w:tcW w:w="6580" w:type="dxa"/>
            <w:vAlign w:val="bottom"/>
          </w:tcPr>
          <w:p>
            <w:pPr>
              <w:jc w:val="right"/>
              <w:spacing w:after="0"/>
              <w:rPr>
                <w:sz w:val="20"/>
                <w:szCs w:val="20"/>
                <w:color w:val="auto"/>
              </w:rPr>
            </w:pPr>
            <w:r>
              <w:rPr>
                <w:rFonts w:ascii="Arial" w:cs="Arial" w:eastAsia="Arial" w:hAnsi="Arial"/>
                <w:sz w:val="20"/>
                <w:szCs w:val="20"/>
                <w:color w:val="auto"/>
                <w:w w:val="94"/>
              </w:rPr>
              <w:t xml:space="preserve">Average retail - Home - Electricity and Natural gas </w:t>
            </w:r>
            <w:r>
              <w:rPr>
                <w:rFonts w:ascii="Arial" w:cs="Arial" w:eastAsia="Arial" w:hAnsi="Arial"/>
                <w:sz w:val="20"/>
                <w:szCs w:val="20"/>
                <w:color w:val="B4B4B4"/>
                <w:w w:val="94"/>
              </w:rPr>
              <w:t>. . . . . . . . . . . . . . . . . . . . . .</w:t>
            </w:r>
          </w:p>
        </w:tc>
        <w:tc>
          <w:tcPr>
            <w:tcW w:w="1080" w:type="dxa"/>
            <w:vAlign w:val="bottom"/>
          </w:tcPr>
          <w:p>
            <w:pPr>
              <w:jc w:val="right"/>
              <w:ind w:right="122"/>
              <w:spacing w:after="0"/>
              <w:rPr>
                <w:sz w:val="20"/>
                <w:szCs w:val="20"/>
                <w:color w:val="auto"/>
              </w:rPr>
            </w:pPr>
            <w:r>
              <w:rPr>
                <w:rFonts w:ascii="Arial" w:cs="Arial" w:eastAsia="Arial" w:hAnsi="Arial"/>
                <w:sz w:val="20"/>
                <w:szCs w:val="20"/>
                <w:color w:val="auto"/>
              </w:rPr>
              <w:t>5,853</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5,508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ind w:right="122"/>
              <w:spacing w:after="0"/>
              <w:rPr>
                <w:sz w:val="20"/>
                <w:szCs w:val="20"/>
                <w:color w:val="auto"/>
              </w:rPr>
            </w:pPr>
            <w:r>
              <w:rPr>
                <w:rFonts w:ascii="Arial" w:cs="Arial" w:eastAsia="Arial" w:hAnsi="Arial"/>
                <w:sz w:val="20"/>
                <w:szCs w:val="20"/>
                <w:color w:val="auto"/>
                <w:w w:val="95"/>
              </w:rPr>
              <w:t>5,543</w:t>
            </w:r>
          </w:p>
        </w:tc>
      </w:tr>
      <w:tr>
        <w:trPr>
          <w:trHeight w:val="344"/>
        </w:trPr>
        <w:tc>
          <w:tcPr>
            <w:tcW w:w="6580" w:type="dxa"/>
            <w:vAlign w:val="bottom"/>
          </w:tcPr>
          <w:p>
            <w:pPr>
              <w:jc w:val="right"/>
              <w:spacing w:after="0"/>
              <w:rPr>
                <w:sz w:val="20"/>
                <w:szCs w:val="20"/>
                <w:color w:val="auto"/>
              </w:rPr>
            </w:pPr>
            <w:r>
              <w:rPr>
                <w:rFonts w:ascii="Arial" w:cs="Arial" w:eastAsia="Arial" w:hAnsi="Arial"/>
                <w:sz w:val="20"/>
                <w:szCs w:val="20"/>
                <w:color w:val="auto"/>
                <w:w w:val="93"/>
              </w:rPr>
              <w:t>Average - Vivint Smart Home</w:t>
            </w:r>
            <w:r>
              <w:rPr>
                <w:rFonts w:ascii="Arial" w:cs="Arial" w:eastAsia="Arial" w:hAnsi="Arial"/>
                <w:sz w:val="25"/>
                <w:szCs w:val="25"/>
                <w:color w:val="auto"/>
                <w:w w:val="93"/>
                <w:vertAlign w:val="superscript"/>
              </w:rPr>
              <w:t>(c)</w:t>
            </w:r>
            <w:r>
              <w:rPr>
                <w:rFonts w:ascii="Arial" w:cs="Arial" w:eastAsia="Arial" w:hAnsi="Arial"/>
                <w:sz w:val="20"/>
                <w:szCs w:val="20"/>
                <w:color w:val="auto"/>
                <w:w w:val="93"/>
              </w:rPr>
              <w:t xml:space="preserve">  </w:t>
            </w:r>
            <w:r>
              <w:rPr>
                <w:rFonts w:ascii="Arial" w:cs="Arial" w:eastAsia="Arial" w:hAnsi="Arial"/>
                <w:sz w:val="20"/>
                <w:szCs w:val="20"/>
                <w:color w:val="B4B4B4"/>
                <w:w w:val="93"/>
              </w:rPr>
              <w:t>. . . . . . . . . . . . . . . . . . . . . . . . . . . . . . . . . . . . .</w:t>
            </w:r>
          </w:p>
        </w:tc>
        <w:tc>
          <w:tcPr>
            <w:tcW w:w="1080" w:type="dxa"/>
            <w:vAlign w:val="bottom"/>
          </w:tcPr>
          <w:p>
            <w:pPr>
              <w:jc w:val="right"/>
              <w:ind w:right="122"/>
              <w:spacing w:after="0"/>
              <w:rPr>
                <w:sz w:val="20"/>
                <w:szCs w:val="20"/>
                <w:color w:val="auto"/>
              </w:rPr>
            </w:pPr>
            <w:r>
              <w:rPr>
                <w:rFonts w:ascii="Arial" w:cs="Arial" w:eastAsia="Arial" w:hAnsi="Arial"/>
                <w:sz w:val="20"/>
                <w:szCs w:val="20"/>
                <w:color w:val="auto"/>
              </w:rPr>
              <w:t>2,100</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2,008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ind w:right="122"/>
              <w:spacing w:after="0"/>
              <w:rPr>
                <w:sz w:val="20"/>
                <w:szCs w:val="20"/>
                <w:color w:val="auto"/>
              </w:rPr>
            </w:pPr>
            <w:r>
              <w:rPr>
                <w:rFonts w:ascii="Arial" w:cs="Arial" w:eastAsia="Arial" w:hAnsi="Arial"/>
                <w:sz w:val="20"/>
                <w:szCs w:val="20"/>
                <w:color w:val="auto"/>
              </w:rPr>
              <w:t>—</w:t>
            </w:r>
          </w:p>
        </w:tc>
      </w:tr>
      <w:tr>
        <w:trPr>
          <w:trHeight w:val="478"/>
        </w:trPr>
        <w:tc>
          <w:tcPr>
            <w:tcW w:w="6580" w:type="dxa"/>
            <w:vAlign w:val="bottom"/>
          </w:tcPr>
          <w:p>
            <w:pPr>
              <w:jc w:val="right"/>
              <w:spacing w:after="0"/>
              <w:rPr>
                <w:sz w:val="20"/>
                <w:szCs w:val="20"/>
                <w:color w:val="auto"/>
              </w:rPr>
            </w:pPr>
            <w:r>
              <w:rPr>
                <w:rFonts w:ascii="Arial" w:cs="Arial" w:eastAsia="Arial" w:hAnsi="Arial"/>
                <w:sz w:val="20"/>
                <w:szCs w:val="20"/>
                <w:color w:val="auto"/>
                <w:w w:val="94"/>
              </w:rPr>
              <w:t xml:space="preserve">Ending retail - Home - Electricity and Natural gas </w:t>
            </w:r>
            <w:r>
              <w:rPr>
                <w:rFonts w:ascii="Arial" w:cs="Arial" w:eastAsia="Arial" w:hAnsi="Arial"/>
                <w:sz w:val="20"/>
                <w:szCs w:val="20"/>
                <w:color w:val="B4B4B4"/>
                <w:w w:val="94"/>
              </w:rPr>
              <w:t>. . . . . . . . . . . . . . . . . . . . . . .</w:t>
            </w:r>
          </w:p>
        </w:tc>
        <w:tc>
          <w:tcPr>
            <w:tcW w:w="1080" w:type="dxa"/>
            <w:vAlign w:val="bottom"/>
          </w:tcPr>
          <w:p>
            <w:pPr>
              <w:jc w:val="right"/>
              <w:ind w:right="122"/>
              <w:spacing w:after="0"/>
              <w:rPr>
                <w:sz w:val="20"/>
                <w:szCs w:val="20"/>
                <w:color w:val="auto"/>
              </w:rPr>
            </w:pPr>
            <w:r>
              <w:rPr>
                <w:rFonts w:ascii="Arial" w:cs="Arial" w:eastAsia="Arial" w:hAnsi="Arial"/>
                <w:sz w:val="20"/>
                <w:szCs w:val="20"/>
                <w:color w:val="auto"/>
              </w:rPr>
              <w:t>5,820</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5,827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ind w:right="122"/>
              <w:spacing w:after="0"/>
              <w:rPr>
                <w:sz w:val="20"/>
                <w:szCs w:val="20"/>
                <w:color w:val="auto"/>
              </w:rPr>
            </w:pPr>
            <w:r>
              <w:rPr>
                <w:rFonts w:ascii="Arial" w:cs="Arial" w:eastAsia="Arial" w:hAnsi="Arial"/>
                <w:sz w:val="20"/>
                <w:szCs w:val="20"/>
                <w:color w:val="auto"/>
                <w:w w:val="95"/>
              </w:rPr>
              <w:t>5,406</w:t>
            </w:r>
          </w:p>
        </w:tc>
      </w:tr>
      <w:tr>
        <w:trPr>
          <w:trHeight w:val="279"/>
        </w:trPr>
        <w:tc>
          <w:tcPr>
            <w:tcW w:w="6580" w:type="dxa"/>
            <w:vAlign w:val="bottom"/>
          </w:tcPr>
          <w:p>
            <w:pPr>
              <w:jc w:val="right"/>
              <w:spacing w:after="0" w:line="280" w:lineRule="exact"/>
              <w:rPr>
                <w:sz w:val="20"/>
                <w:szCs w:val="20"/>
                <w:color w:val="auto"/>
              </w:rPr>
            </w:pPr>
            <w:r>
              <w:rPr>
                <w:rFonts w:ascii="Arial" w:cs="Arial" w:eastAsia="Arial" w:hAnsi="Arial"/>
                <w:sz w:val="20"/>
                <w:szCs w:val="20"/>
                <w:color w:val="auto"/>
                <w:w w:val="93"/>
              </w:rPr>
              <w:t>Ending - Vivint Smart Home</w:t>
            </w:r>
            <w:r>
              <w:rPr>
                <w:rFonts w:ascii="Arial" w:cs="Arial" w:eastAsia="Arial" w:hAnsi="Arial"/>
                <w:sz w:val="25"/>
                <w:szCs w:val="25"/>
                <w:color w:val="auto"/>
                <w:w w:val="93"/>
                <w:vertAlign w:val="superscript"/>
              </w:rPr>
              <w:t>(c)</w:t>
            </w:r>
            <w:r>
              <w:rPr>
                <w:rFonts w:ascii="Arial" w:cs="Arial" w:eastAsia="Arial" w:hAnsi="Arial"/>
                <w:sz w:val="20"/>
                <w:szCs w:val="20"/>
                <w:color w:val="auto"/>
                <w:w w:val="93"/>
              </w:rPr>
              <w:t xml:space="preserve">  </w:t>
            </w:r>
            <w:r>
              <w:rPr>
                <w:rFonts w:ascii="Arial" w:cs="Arial" w:eastAsia="Arial" w:hAnsi="Arial"/>
                <w:sz w:val="20"/>
                <w:szCs w:val="20"/>
                <w:color w:val="B4B4B4"/>
                <w:w w:val="93"/>
              </w:rPr>
              <w:t>. . . . . . . . . . . . . . . . . . . . . . . . . . . . . . . . . . . . . .</w:t>
            </w:r>
          </w:p>
        </w:tc>
        <w:tc>
          <w:tcPr>
            <w:tcW w:w="1080" w:type="dxa"/>
            <w:vAlign w:val="bottom"/>
          </w:tcPr>
          <w:p>
            <w:pPr>
              <w:jc w:val="right"/>
              <w:ind w:right="122"/>
              <w:spacing w:after="0"/>
              <w:rPr>
                <w:sz w:val="20"/>
                <w:szCs w:val="20"/>
                <w:color w:val="auto"/>
              </w:rPr>
            </w:pPr>
            <w:r>
              <w:rPr>
                <w:rFonts w:ascii="Arial" w:cs="Arial" w:eastAsia="Arial" w:hAnsi="Arial"/>
                <w:sz w:val="20"/>
                <w:szCs w:val="20"/>
                <w:color w:val="auto"/>
              </w:rPr>
              <w:t>2,154</w:t>
            </w:r>
          </w:p>
        </w:tc>
        <w:tc>
          <w:tcPr>
            <w:tcW w:w="1160" w:type="dxa"/>
            <w:vAlign w:val="bottom"/>
            <w:gridSpan w:val="2"/>
          </w:tcPr>
          <w:p>
            <w:pPr>
              <w:jc w:val="right"/>
              <w:ind w:right="121"/>
              <w:spacing w:after="0"/>
              <w:rPr>
                <w:sz w:val="20"/>
                <w:szCs w:val="20"/>
                <w:color w:val="auto"/>
              </w:rPr>
            </w:pPr>
            <w:r>
              <w:rPr>
                <w:rFonts w:ascii="Arial" w:cs="Arial" w:eastAsia="Arial" w:hAnsi="Arial"/>
                <w:sz w:val="20"/>
                <w:szCs w:val="20"/>
                <w:color w:val="auto"/>
              </w:rPr>
              <w:t>2,043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ind w:right="122"/>
              <w:spacing w:after="0"/>
              <w:rPr>
                <w:sz w:val="20"/>
                <w:szCs w:val="20"/>
                <w:color w:val="auto"/>
              </w:rPr>
            </w:pPr>
            <w:r>
              <w:rPr>
                <w:rFonts w:ascii="Arial" w:cs="Arial" w:eastAsia="Arial" w:hAnsi="Arial"/>
                <w:sz w:val="20"/>
                <w:szCs w:val="20"/>
                <w:color w:val="auto"/>
              </w:rPr>
              <w:t>—</w:t>
            </w:r>
          </w:p>
        </w:tc>
      </w:tr>
      <w:tr>
        <w:trPr>
          <w:trHeight w:val="213"/>
        </w:trPr>
        <w:tc>
          <w:tcPr>
            <w:tcW w:w="6580" w:type="dxa"/>
            <w:vAlign w:val="bottom"/>
          </w:tcPr>
          <w:p>
            <w:pPr>
              <w:ind w:left="240"/>
              <w:spacing w:after="0" w:line="212" w:lineRule="exact"/>
              <w:rPr>
                <w:sz w:val="20"/>
                <w:szCs w:val="20"/>
                <w:color w:val="auto"/>
              </w:rPr>
            </w:pPr>
            <w:r>
              <w:rPr>
                <w:rFonts w:ascii="Arial" w:cs="Arial" w:eastAsia="Arial" w:hAnsi="Arial"/>
                <w:sz w:val="20"/>
                <w:szCs w:val="20"/>
                <w:b w:val="1"/>
                <w:bCs w:val="1"/>
                <w:color w:val="auto"/>
              </w:rPr>
              <w:t>Total Ending retail and Vivint Smart Home</w:t>
            </w:r>
          </w:p>
        </w:tc>
        <w:tc>
          <w:tcPr>
            <w:tcW w:w="1080" w:type="dxa"/>
            <w:vAlign w:val="bottom"/>
            <w:tcBorders>
              <w:top w:val="single" w:sz="8" w:color="auto"/>
              <w:bottom w:val="single" w:sz="8" w:color="auto"/>
            </w:tcBorders>
          </w:tcPr>
          <w:p>
            <w:pPr>
              <w:jc w:val="right"/>
              <w:ind w:right="122"/>
              <w:spacing w:after="0" w:line="212" w:lineRule="exact"/>
              <w:rPr>
                <w:sz w:val="20"/>
                <w:szCs w:val="20"/>
                <w:color w:val="auto"/>
              </w:rPr>
            </w:pPr>
            <w:r>
              <w:rPr>
                <w:rFonts w:ascii="Arial" w:cs="Arial" w:eastAsia="Arial" w:hAnsi="Arial"/>
                <w:sz w:val="20"/>
                <w:szCs w:val="20"/>
                <w:color w:val="auto"/>
              </w:rPr>
              <w:t>7,974</w:t>
            </w: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121"/>
              <w:spacing w:after="0" w:line="212" w:lineRule="exact"/>
              <w:rPr>
                <w:sz w:val="20"/>
                <w:szCs w:val="20"/>
                <w:color w:val="auto"/>
              </w:rPr>
            </w:pPr>
            <w:r>
              <w:rPr>
                <w:rFonts w:ascii="Arial" w:cs="Arial" w:eastAsia="Arial" w:hAnsi="Arial"/>
                <w:sz w:val="20"/>
                <w:szCs w:val="20"/>
                <w:color w:val="auto"/>
              </w:rPr>
              <w:t>7,870</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22"/>
              <w:spacing w:after="0" w:line="212" w:lineRule="exact"/>
              <w:rPr>
                <w:sz w:val="20"/>
                <w:szCs w:val="20"/>
                <w:color w:val="auto"/>
              </w:rPr>
            </w:pPr>
            <w:r>
              <w:rPr>
                <w:rFonts w:ascii="Arial" w:cs="Arial" w:eastAsia="Arial" w:hAnsi="Arial"/>
                <w:sz w:val="20"/>
                <w:szCs w:val="20"/>
                <w:color w:val="auto"/>
                <w:w w:val="95"/>
              </w:rPr>
              <w:t>5,406</w:t>
            </w:r>
          </w:p>
        </w:tc>
      </w:tr>
      <w:tr>
        <w:trPr>
          <w:trHeight w:val="20"/>
        </w:trPr>
        <w:tc>
          <w:tcPr>
            <w:tcW w:w="6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-4641850</wp:posOffset>
            </wp:positionV>
            <wp:extent cx="6475095" cy="4648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extLst>
                    </a:blip>
                    <a:srcRect/>
                    <a:stretch>
                      <a:fillRect/>
                    </a:stretch>
                  </pic:blipFill>
                  <pic:spPr bwMode="auto">
                    <a:xfrm>
                      <a:off x="0" y="0"/>
                      <a:ext cx="6475095" cy="4648835"/>
                    </a:xfrm>
                    <a:prstGeom prst="rect">
                      <a:avLst/>
                    </a:prstGeom>
                    <a:noFill/>
                  </pic:spPr>
                </pic:pic>
              </a:graphicData>
            </a:graphic>
          </wp:anchor>
        </w:drawing>
      </w:r>
    </w:p>
    <w:p>
      <w:pPr>
        <w:ind w:left="260" w:hanging="207"/>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Home customer count includes recurring residential customers, services customers, and community choice</w:t>
      </w:r>
    </w:p>
    <w:p>
      <w:pPr>
        <w:spacing w:after="0" w:line="68" w:lineRule="exact"/>
        <w:rPr>
          <w:rFonts w:ascii="Arial" w:cs="Arial" w:eastAsia="Arial" w:hAnsi="Arial"/>
          <w:sz w:val="16"/>
          <w:szCs w:val="16"/>
          <w:color w:val="auto"/>
        </w:rPr>
      </w:pPr>
    </w:p>
    <w:p>
      <w:pPr>
        <w:ind w:left="280" w:hanging="227"/>
        <w:spacing w:after="0"/>
        <w:tabs>
          <w:tab w:leader="none" w:pos="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Dual fuel customers are included within electricity customer counts only</w:t>
      </w:r>
    </w:p>
    <w:p>
      <w:pPr>
        <w:spacing w:after="0" w:line="68" w:lineRule="exact"/>
        <w:rPr>
          <w:rFonts w:ascii="Arial" w:cs="Arial" w:eastAsia="Arial" w:hAnsi="Arial"/>
          <w:sz w:val="16"/>
          <w:szCs w:val="16"/>
          <w:color w:val="auto"/>
        </w:rPr>
      </w:pPr>
    </w:p>
    <w:p>
      <w:pPr>
        <w:ind w:left="260" w:hanging="207"/>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Vivint Smart Home includes customers that also purchase other NRG products</w:t>
      </w:r>
    </w:p>
    <w:p>
      <w:pPr>
        <w:spacing w:after="0" w:line="196" w:lineRule="exact"/>
        <w:rPr>
          <w:sz w:val="20"/>
          <w:szCs w:val="20"/>
          <w:color w:val="auto"/>
        </w:rPr>
      </w:pPr>
    </w:p>
    <w:p>
      <w:pPr>
        <w:ind w:firstLine="445"/>
        <w:spacing w:after="0" w:line="277" w:lineRule="auto"/>
        <w:rPr>
          <w:sz w:val="20"/>
          <w:szCs w:val="20"/>
          <w:color w:val="auto"/>
        </w:rPr>
      </w:pPr>
      <w:r>
        <w:rPr>
          <w:rFonts w:ascii="Arial" w:cs="Arial" w:eastAsia="Arial" w:hAnsi="Arial"/>
          <w:sz w:val="20"/>
          <w:szCs w:val="20"/>
          <w:color w:val="auto"/>
        </w:rPr>
        <w:t>The tables below present these performance metrics for the Company's generation portfolio, including leased facilities, for the years ended December 31, 2024 and 2023:</w:t>
      </w:r>
    </w:p>
    <w:p>
      <w:pPr>
        <w:spacing w:after="0" w:line="63" w:lineRule="exact"/>
        <w:rPr>
          <w:sz w:val="20"/>
          <w:szCs w:val="20"/>
          <w:color w:val="auto"/>
        </w:rPr>
      </w:pPr>
    </w:p>
    <w:tbl>
      <w:tblPr>
        <w:tblLayout w:type="fixed"/>
        <w:tblInd w:w="18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gridSpan w:val="5"/>
          </w:tcPr>
          <w:p>
            <w:pPr>
              <w:jc w:val="right"/>
              <w:ind w:right="1121"/>
              <w:spacing w:after="0"/>
              <w:rPr>
                <w:sz w:val="20"/>
                <w:szCs w:val="20"/>
                <w:color w:val="auto"/>
              </w:rPr>
            </w:pPr>
            <w:r>
              <w:rPr>
                <w:rFonts w:ascii="Arial" w:cs="Arial" w:eastAsia="Arial" w:hAnsi="Arial"/>
                <w:sz w:val="16"/>
                <w:szCs w:val="16"/>
                <w:b w:val="1"/>
                <w:bCs w:val="1"/>
                <w:color w:val="auto"/>
              </w:rPr>
              <w:t>Year Ended December 31, 2024</w:t>
            </w: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21"/>
              <w:spacing w:after="0" w:line="203" w:lineRule="exact"/>
              <w:rPr>
                <w:sz w:val="20"/>
                <w:szCs w:val="20"/>
                <w:color w:val="auto"/>
              </w:rPr>
            </w:pPr>
            <w:r>
              <w:rPr>
                <w:rFonts w:ascii="Arial" w:cs="Arial" w:eastAsia="Arial" w:hAnsi="Arial"/>
                <w:sz w:val="16"/>
                <w:szCs w:val="16"/>
                <w:b w:val="1"/>
                <w:bCs w:val="1"/>
                <w:color w:val="auto"/>
              </w:rPr>
              <w:t xml:space="preserve">Fossil Plants </w:t>
            </w:r>
            <w:r>
              <w:rPr>
                <w:rFonts w:ascii="Arial" w:cs="Arial" w:eastAsia="Arial" w:hAnsi="Arial"/>
                <w:sz w:val="20"/>
                <w:szCs w:val="20"/>
                <w:b w:val="1"/>
                <w:bCs w:val="1"/>
                <w:color w:val="auto"/>
                <w:vertAlign w:val="superscript"/>
              </w:rPr>
              <w:t>(a)</w:t>
            </w: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1400" w:type="dxa"/>
            <w:vAlign w:val="bottom"/>
            <w:vMerge w:val="restart"/>
          </w:tcPr>
          <w:p>
            <w:pPr>
              <w:jc w:val="right"/>
              <w:ind w:right="229"/>
              <w:spacing w:after="0"/>
              <w:rPr>
                <w:sz w:val="20"/>
                <w:szCs w:val="20"/>
                <w:color w:val="auto"/>
              </w:rPr>
            </w:pPr>
            <w:r>
              <w:rPr>
                <w:rFonts w:ascii="Arial" w:cs="Arial" w:eastAsia="Arial" w:hAnsi="Arial"/>
                <w:sz w:val="16"/>
                <w:szCs w:val="16"/>
                <w:b w:val="1"/>
                <w:bCs w:val="1"/>
                <w:color w:val="auto"/>
              </w:rPr>
              <w:t>Net Owned</w:t>
            </w:r>
          </w:p>
        </w:tc>
        <w:tc>
          <w:tcPr>
            <w:tcW w:w="60" w:type="dxa"/>
            <w:vAlign w:val="bottom"/>
          </w:tcPr>
          <w:p>
            <w:pPr>
              <w:spacing w:after="0"/>
              <w:rPr>
                <w:sz w:val="16"/>
                <w:szCs w:val="16"/>
                <w:color w:val="auto"/>
              </w:rPr>
            </w:pPr>
          </w:p>
        </w:tc>
        <w:tc>
          <w:tcPr>
            <w:tcW w:w="14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Net Generation</w:t>
            </w:r>
          </w:p>
        </w:tc>
        <w:tc>
          <w:tcPr>
            <w:tcW w:w="1480" w:type="dxa"/>
            <w:vAlign w:val="bottom"/>
            <w:vMerge w:val="restart"/>
          </w:tcPr>
          <w:p>
            <w:pPr>
              <w:jc w:val="right"/>
              <w:ind w:right="9"/>
              <w:spacing w:after="0"/>
              <w:rPr>
                <w:sz w:val="20"/>
                <w:szCs w:val="20"/>
                <w:color w:val="auto"/>
              </w:rPr>
            </w:pPr>
            <w:r>
              <w:rPr>
                <w:rFonts w:ascii="Arial" w:cs="Arial" w:eastAsia="Arial" w:hAnsi="Arial"/>
                <w:sz w:val="16"/>
                <w:szCs w:val="16"/>
                <w:b w:val="1"/>
                <w:bCs w:val="1"/>
                <w:color w:val="auto"/>
                <w:w w:val="97"/>
              </w:rPr>
              <w:t>Annual Equivalent</w:t>
            </w:r>
          </w:p>
        </w:tc>
        <w:tc>
          <w:tcPr>
            <w:tcW w:w="80" w:type="dxa"/>
            <w:vAlign w:val="bottom"/>
          </w:tcPr>
          <w:p>
            <w:pPr>
              <w:spacing w:after="0"/>
              <w:rPr>
                <w:sz w:val="16"/>
                <w:szCs w:val="16"/>
                <w:color w:val="auto"/>
              </w:rPr>
            </w:pPr>
          </w:p>
        </w:tc>
        <w:tc>
          <w:tcPr>
            <w:tcW w:w="152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Average Net Heat</w:t>
            </w:r>
          </w:p>
        </w:tc>
        <w:tc>
          <w:tcPr>
            <w:tcW w:w="80" w:type="dxa"/>
            <w:vAlign w:val="bottom"/>
          </w:tcPr>
          <w:p>
            <w:pPr>
              <w:spacing w:after="0"/>
              <w:rPr>
                <w:sz w:val="16"/>
                <w:szCs w:val="16"/>
                <w:color w:val="auto"/>
              </w:rPr>
            </w:pPr>
          </w:p>
        </w:tc>
        <w:tc>
          <w:tcPr>
            <w:tcW w:w="138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rPr>
              <w:t>Net Capacity</w:t>
            </w:r>
          </w:p>
        </w:tc>
        <w:tc>
          <w:tcPr>
            <w:tcW w:w="0" w:type="dxa"/>
            <w:vAlign w:val="bottom"/>
          </w:tcPr>
          <w:p>
            <w:pPr>
              <w:spacing w:after="0"/>
              <w:rPr>
                <w:sz w:val="1"/>
                <w:szCs w:val="1"/>
                <w:color w:val="auto"/>
              </w:rPr>
            </w:pPr>
          </w:p>
        </w:tc>
      </w:tr>
      <w:tr>
        <w:trPr>
          <w:trHeight w:val="158"/>
        </w:trPr>
        <w:tc>
          <w:tcPr>
            <w:tcW w:w="2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gridSpan w:val="2"/>
          </w:tcPr>
          <w:p>
            <w:pPr>
              <w:jc w:val="center"/>
              <w:ind w:right="60"/>
              <w:spacing w:after="0" w:line="158" w:lineRule="exact"/>
              <w:rPr>
                <w:sz w:val="20"/>
                <w:szCs w:val="20"/>
                <w:color w:val="auto"/>
              </w:rPr>
            </w:pPr>
            <w:r>
              <w:rPr>
                <w:rFonts w:ascii="Arial" w:cs="Arial" w:eastAsia="Arial" w:hAnsi="Arial"/>
                <w:sz w:val="16"/>
                <w:szCs w:val="16"/>
                <w:b w:val="1"/>
                <w:bCs w:val="1"/>
                <w:color w:val="auto"/>
                <w:w w:val="88"/>
              </w:rPr>
              <w:t>(In thousands of</w:t>
            </w:r>
          </w:p>
        </w:tc>
        <w:tc>
          <w:tcPr>
            <w:tcW w:w="1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1400" w:type="dxa"/>
            <w:vAlign w:val="bottom"/>
            <w:tcBorders>
              <w:bottom w:val="single" w:sz="8" w:color="auto"/>
            </w:tcBorders>
          </w:tcPr>
          <w:p>
            <w:pPr>
              <w:jc w:val="right"/>
              <w:ind w:right="69"/>
              <w:spacing w:after="0"/>
              <w:rPr>
                <w:sz w:val="20"/>
                <w:szCs w:val="20"/>
                <w:color w:val="auto"/>
              </w:rPr>
            </w:pPr>
            <w:r>
              <w:rPr>
                <w:rFonts w:ascii="Arial" w:cs="Arial" w:eastAsia="Arial" w:hAnsi="Arial"/>
                <w:sz w:val="16"/>
                <w:szCs w:val="16"/>
                <w:b w:val="1"/>
                <w:bCs w:val="1"/>
                <w:color w:val="auto"/>
              </w:rPr>
              <w:t>Capacity (MW)</w:t>
            </w:r>
          </w:p>
        </w:tc>
        <w:tc>
          <w:tcPr>
            <w:tcW w:w="60" w:type="dxa"/>
            <w:vAlign w:val="bottom"/>
          </w:tcPr>
          <w:p>
            <w:pPr>
              <w:spacing w:after="0"/>
              <w:rPr>
                <w:sz w:val="18"/>
                <w:szCs w:val="18"/>
                <w:color w:val="auto"/>
              </w:rPr>
            </w:pPr>
          </w:p>
        </w:tc>
        <w:tc>
          <w:tcPr>
            <w:tcW w:w="142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16"/>
                <w:szCs w:val="16"/>
                <w:b w:val="1"/>
                <w:bCs w:val="1"/>
                <w:color w:val="auto"/>
                <w:w w:val="90"/>
              </w:rPr>
              <w:t xml:space="preserve">MWh) </w:t>
            </w:r>
            <w:r>
              <w:rPr>
                <w:rFonts w:ascii="Arial" w:cs="Arial" w:eastAsia="Arial" w:hAnsi="Arial"/>
                <w:sz w:val="20"/>
                <w:szCs w:val="20"/>
                <w:b w:val="1"/>
                <w:bCs w:val="1"/>
                <w:color w:val="auto"/>
                <w:w w:val="90"/>
                <w:vertAlign w:val="superscript"/>
              </w:rPr>
              <w:t>(a)</w:t>
            </w:r>
          </w:p>
        </w:tc>
        <w:tc>
          <w:tcPr>
            <w:tcW w:w="60" w:type="dxa"/>
            <w:vAlign w:val="bottom"/>
          </w:tcPr>
          <w:p>
            <w:pPr>
              <w:spacing w:after="0"/>
              <w:rPr>
                <w:sz w:val="18"/>
                <w:szCs w:val="18"/>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6"/>
                <w:szCs w:val="16"/>
                <w:b w:val="1"/>
                <w:bCs w:val="1"/>
                <w:color w:val="auto"/>
                <w:w w:val="98"/>
              </w:rPr>
              <w:t>Availability Factor</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Rate BTU/kWh</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Factor</w:t>
            </w:r>
          </w:p>
        </w:tc>
        <w:tc>
          <w:tcPr>
            <w:tcW w:w="0" w:type="dxa"/>
            <w:vAlign w:val="bottom"/>
          </w:tcPr>
          <w:p>
            <w:pPr>
              <w:spacing w:after="0"/>
              <w:rPr>
                <w:sz w:val="1"/>
                <w:szCs w:val="1"/>
                <w:color w:val="auto"/>
              </w:rPr>
            </w:pPr>
          </w:p>
        </w:tc>
      </w:tr>
      <w:tr>
        <w:trPr>
          <w:trHeight w:val="260"/>
        </w:trPr>
        <w:tc>
          <w:tcPr>
            <w:tcW w:w="2500" w:type="dxa"/>
            <w:vAlign w:val="bottom"/>
          </w:tcPr>
          <w:p>
            <w:pPr>
              <w:spacing w:after="0"/>
              <w:rPr>
                <w:sz w:val="20"/>
                <w:szCs w:val="20"/>
                <w:color w:val="auto"/>
              </w:rPr>
            </w:pPr>
            <w:r>
              <w:rPr>
                <w:rFonts w:ascii="Arial" w:cs="Arial" w:eastAsia="Arial" w:hAnsi="Arial"/>
                <w:sz w:val="20"/>
                <w:szCs w:val="20"/>
                <w:color w:val="auto"/>
                <w:w w:val="91"/>
              </w:rPr>
              <w:t xml:space="preserve">Texas  </w:t>
            </w:r>
            <w:r>
              <w:rPr>
                <w:rFonts w:ascii="Arial" w:cs="Arial" w:eastAsia="Arial" w:hAnsi="Arial"/>
                <w:sz w:val="20"/>
                <w:szCs w:val="20"/>
                <w:color w:val="B4B4B4"/>
                <w:w w:val="91"/>
              </w:rPr>
              <w:t>. . . . . . . . . . . . . . . . . . .</w:t>
            </w:r>
          </w:p>
        </w:tc>
        <w:tc>
          <w:tcPr>
            <w:tcW w:w="1400" w:type="dxa"/>
            <w:vAlign w:val="bottom"/>
          </w:tcPr>
          <w:p>
            <w:pPr>
              <w:jc w:val="right"/>
              <w:ind w:right="9"/>
              <w:spacing w:after="0"/>
              <w:rPr>
                <w:sz w:val="20"/>
                <w:szCs w:val="20"/>
                <w:color w:val="auto"/>
              </w:rPr>
            </w:pPr>
            <w:r>
              <w:rPr>
                <w:rFonts w:ascii="Arial" w:cs="Arial" w:eastAsia="Arial" w:hAnsi="Arial"/>
                <w:sz w:val="20"/>
                <w:szCs w:val="20"/>
                <w:color w:val="auto"/>
              </w:rPr>
              <w:t>8,527</w:t>
            </w:r>
          </w:p>
        </w:tc>
        <w:tc>
          <w:tcPr>
            <w:tcW w:w="1480" w:type="dxa"/>
            <w:vAlign w:val="bottom"/>
            <w:gridSpan w:val="2"/>
          </w:tcPr>
          <w:p>
            <w:pPr>
              <w:jc w:val="right"/>
              <w:ind w:right="1"/>
              <w:spacing w:after="0"/>
              <w:rPr>
                <w:sz w:val="20"/>
                <w:szCs w:val="20"/>
                <w:color w:val="auto"/>
              </w:rPr>
            </w:pPr>
            <w:r>
              <w:rPr>
                <w:rFonts w:ascii="Arial" w:cs="Arial" w:eastAsia="Arial" w:hAnsi="Arial"/>
                <w:sz w:val="20"/>
                <w:szCs w:val="20"/>
                <w:color w:val="auto"/>
              </w:rPr>
              <w:t>23,350</w:t>
            </w:r>
          </w:p>
        </w:tc>
        <w:tc>
          <w:tcPr>
            <w:tcW w:w="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70.8 %</w:t>
            </w:r>
          </w:p>
        </w:tc>
        <w:tc>
          <w:tcPr>
            <w:tcW w:w="1600" w:type="dxa"/>
            <w:vAlign w:val="bottom"/>
            <w:gridSpan w:val="2"/>
          </w:tcPr>
          <w:p>
            <w:pPr>
              <w:jc w:val="right"/>
              <w:ind w:right="1"/>
              <w:spacing w:after="0"/>
              <w:rPr>
                <w:sz w:val="20"/>
                <w:szCs w:val="20"/>
                <w:color w:val="auto"/>
              </w:rPr>
            </w:pPr>
            <w:r>
              <w:rPr>
                <w:rFonts w:ascii="Arial" w:cs="Arial" w:eastAsia="Arial" w:hAnsi="Arial"/>
                <w:sz w:val="20"/>
                <w:szCs w:val="20"/>
                <w:color w:val="auto"/>
              </w:rPr>
              <w:t>11,337</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30.1 %</w:t>
            </w:r>
          </w:p>
        </w:tc>
        <w:tc>
          <w:tcPr>
            <w:tcW w:w="0" w:type="dxa"/>
            <w:vAlign w:val="bottom"/>
          </w:tcPr>
          <w:p>
            <w:pPr>
              <w:spacing w:after="0"/>
              <w:rPr>
                <w:sz w:val="1"/>
                <w:szCs w:val="1"/>
                <w:color w:val="auto"/>
              </w:rPr>
            </w:pPr>
          </w:p>
        </w:tc>
      </w:tr>
      <w:tr>
        <w:trPr>
          <w:trHeight w:val="297"/>
        </w:trPr>
        <w:tc>
          <w:tcPr>
            <w:tcW w:w="2500" w:type="dxa"/>
            <w:vAlign w:val="bottom"/>
          </w:tcPr>
          <w:p>
            <w:pPr>
              <w:spacing w:after="0"/>
              <w:rPr>
                <w:sz w:val="20"/>
                <w:szCs w:val="20"/>
                <w:color w:val="auto"/>
              </w:rPr>
            </w:pPr>
            <w:r>
              <w:rPr>
                <w:rFonts w:ascii="Arial" w:cs="Arial" w:eastAsia="Arial" w:hAnsi="Arial"/>
                <w:sz w:val="20"/>
                <w:szCs w:val="20"/>
                <w:color w:val="auto"/>
                <w:w w:val="90"/>
              </w:rPr>
              <w:t xml:space="preserve">East </w:t>
            </w:r>
            <w:r>
              <w:rPr>
                <w:rFonts w:ascii="Arial" w:cs="Arial" w:eastAsia="Arial" w:hAnsi="Arial"/>
                <w:sz w:val="20"/>
                <w:szCs w:val="20"/>
                <w:color w:val="B4B4B4"/>
                <w:w w:val="90"/>
              </w:rPr>
              <w:t>. . . . . . . . . . . . . . . . . . . . .</w:t>
            </w:r>
          </w:p>
        </w:tc>
        <w:tc>
          <w:tcPr>
            <w:tcW w:w="1400" w:type="dxa"/>
            <w:vAlign w:val="bottom"/>
          </w:tcPr>
          <w:p>
            <w:pPr>
              <w:jc w:val="right"/>
              <w:ind w:right="9"/>
              <w:spacing w:after="0"/>
              <w:rPr>
                <w:sz w:val="20"/>
                <w:szCs w:val="20"/>
                <w:color w:val="auto"/>
              </w:rPr>
            </w:pPr>
            <w:r>
              <w:rPr>
                <w:rFonts w:ascii="Arial" w:cs="Arial" w:eastAsia="Arial" w:hAnsi="Arial"/>
                <w:sz w:val="20"/>
                <w:szCs w:val="20"/>
                <w:color w:val="auto"/>
              </w:rPr>
              <w:t>2,483</w:t>
            </w:r>
          </w:p>
        </w:tc>
        <w:tc>
          <w:tcPr>
            <w:tcW w:w="1480" w:type="dxa"/>
            <w:vAlign w:val="bottom"/>
            <w:gridSpan w:val="2"/>
          </w:tcPr>
          <w:p>
            <w:pPr>
              <w:jc w:val="right"/>
              <w:ind w:right="1"/>
              <w:spacing w:after="0"/>
              <w:rPr>
                <w:sz w:val="20"/>
                <w:szCs w:val="20"/>
                <w:color w:val="auto"/>
              </w:rPr>
            </w:pPr>
            <w:r>
              <w:rPr>
                <w:rFonts w:ascii="Arial" w:cs="Arial" w:eastAsia="Arial" w:hAnsi="Arial"/>
                <w:sz w:val="20"/>
                <w:szCs w:val="20"/>
                <w:color w:val="auto"/>
              </w:rPr>
              <w:t>2,372</w:t>
            </w:r>
          </w:p>
        </w:tc>
        <w:tc>
          <w:tcPr>
            <w:tcW w:w="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78.4 %</w:t>
            </w:r>
          </w:p>
        </w:tc>
        <w:tc>
          <w:tcPr>
            <w:tcW w:w="1600" w:type="dxa"/>
            <w:vAlign w:val="bottom"/>
            <w:gridSpan w:val="2"/>
          </w:tcPr>
          <w:p>
            <w:pPr>
              <w:jc w:val="right"/>
              <w:ind w:right="1"/>
              <w:spacing w:after="0"/>
              <w:rPr>
                <w:sz w:val="20"/>
                <w:szCs w:val="20"/>
                <w:color w:val="auto"/>
              </w:rPr>
            </w:pPr>
            <w:r>
              <w:rPr>
                <w:rFonts w:ascii="Arial" w:cs="Arial" w:eastAsia="Arial" w:hAnsi="Arial"/>
                <w:sz w:val="20"/>
                <w:szCs w:val="20"/>
                <w:color w:val="auto"/>
              </w:rPr>
              <w:t>13,956</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10.9 %</w:t>
            </w:r>
          </w:p>
        </w:tc>
        <w:tc>
          <w:tcPr>
            <w:tcW w:w="0" w:type="dxa"/>
            <w:vAlign w:val="bottom"/>
          </w:tcPr>
          <w:p>
            <w:pPr>
              <w:spacing w:after="0"/>
              <w:rPr>
                <w:sz w:val="1"/>
                <w:szCs w:val="1"/>
                <w:color w:val="auto"/>
              </w:rPr>
            </w:pPr>
          </w:p>
        </w:tc>
      </w:tr>
      <w:tr>
        <w:trPr>
          <w:trHeight w:val="297"/>
        </w:trPr>
        <w:tc>
          <w:tcPr>
            <w:tcW w:w="2500" w:type="dxa"/>
            <w:vAlign w:val="bottom"/>
          </w:tcPr>
          <w:p>
            <w:pPr>
              <w:spacing w:after="0"/>
              <w:rPr>
                <w:sz w:val="20"/>
                <w:szCs w:val="20"/>
                <w:color w:val="auto"/>
              </w:rPr>
            </w:pPr>
            <w:r>
              <w:rPr>
                <w:rFonts w:ascii="Arial" w:cs="Arial" w:eastAsia="Arial" w:hAnsi="Arial"/>
                <w:sz w:val="20"/>
                <w:szCs w:val="20"/>
                <w:color w:val="auto"/>
                <w:w w:val="91"/>
              </w:rPr>
              <w:t xml:space="preserve">West/Services/Other </w:t>
            </w:r>
            <w:r>
              <w:rPr>
                <w:rFonts w:ascii="Arial" w:cs="Arial" w:eastAsia="Arial" w:hAnsi="Arial"/>
                <w:sz w:val="20"/>
                <w:szCs w:val="20"/>
                <w:color w:val="B4B4B4"/>
                <w:w w:val="91"/>
              </w:rPr>
              <w:t>. . . . . . . .</w:t>
            </w:r>
          </w:p>
        </w:tc>
        <w:tc>
          <w:tcPr>
            <w:tcW w:w="1400" w:type="dxa"/>
            <w:vAlign w:val="bottom"/>
          </w:tcPr>
          <w:p>
            <w:pPr>
              <w:jc w:val="right"/>
              <w:ind w:right="9"/>
              <w:spacing w:after="0"/>
              <w:rPr>
                <w:sz w:val="20"/>
                <w:szCs w:val="20"/>
                <w:color w:val="auto"/>
              </w:rPr>
            </w:pPr>
            <w:r>
              <w:rPr>
                <w:rFonts w:ascii="Arial" w:cs="Arial" w:eastAsia="Arial" w:hAnsi="Arial"/>
                <w:sz w:val="20"/>
                <w:szCs w:val="20"/>
                <w:color w:val="auto"/>
              </w:rPr>
              <w:t>1,143</w:t>
            </w:r>
          </w:p>
        </w:tc>
        <w:tc>
          <w:tcPr>
            <w:tcW w:w="1480" w:type="dxa"/>
            <w:vAlign w:val="bottom"/>
            <w:gridSpan w:val="2"/>
          </w:tcPr>
          <w:p>
            <w:pPr>
              <w:jc w:val="right"/>
              <w:ind w:right="1"/>
              <w:spacing w:after="0"/>
              <w:rPr>
                <w:sz w:val="20"/>
                <w:szCs w:val="20"/>
                <w:color w:val="auto"/>
              </w:rPr>
            </w:pPr>
            <w:r>
              <w:rPr>
                <w:rFonts w:ascii="Arial" w:cs="Arial" w:eastAsia="Arial" w:hAnsi="Arial"/>
                <w:sz w:val="20"/>
                <w:szCs w:val="20"/>
                <w:color w:val="auto"/>
              </w:rPr>
              <w:t>5,977</w:t>
            </w:r>
          </w:p>
        </w:tc>
        <w:tc>
          <w:tcPr>
            <w:tcW w:w="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70.2 %</w:t>
            </w:r>
          </w:p>
        </w:tc>
        <w:tc>
          <w:tcPr>
            <w:tcW w:w="1600" w:type="dxa"/>
            <w:vAlign w:val="bottom"/>
            <w:gridSpan w:val="2"/>
          </w:tcPr>
          <w:p>
            <w:pPr>
              <w:jc w:val="right"/>
              <w:ind w:right="1"/>
              <w:spacing w:after="0"/>
              <w:rPr>
                <w:sz w:val="20"/>
                <w:szCs w:val="20"/>
                <w:color w:val="auto"/>
              </w:rPr>
            </w:pPr>
            <w:r>
              <w:rPr>
                <w:rFonts w:ascii="Arial" w:cs="Arial" w:eastAsia="Arial" w:hAnsi="Arial"/>
                <w:sz w:val="20"/>
                <w:szCs w:val="20"/>
                <w:color w:val="auto"/>
              </w:rPr>
              <w:t>7,498</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57.6 %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-560705</wp:posOffset>
            </wp:positionV>
            <wp:extent cx="6475095" cy="581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extLst>
                    </a:blip>
                    <a:srcRect/>
                    <a:stretch>
                      <a:fillRect/>
                    </a:stretch>
                  </pic:blipFill>
                  <pic:spPr bwMode="auto">
                    <a:xfrm>
                      <a:off x="0" y="0"/>
                      <a:ext cx="6475095" cy="581660"/>
                    </a:xfrm>
                    <a:prstGeom prst="rect">
                      <a:avLst/>
                    </a:prstGeom>
                    <a:noFill/>
                  </pic:spPr>
                </pic:pic>
              </a:graphicData>
            </a:graphic>
          </wp:anchor>
        </w:drawing>
      </w:r>
    </w:p>
    <w:p>
      <w:pPr>
        <w:spacing w:after="0" w:line="42" w:lineRule="exact"/>
        <w:rPr>
          <w:sz w:val="20"/>
          <w:szCs w:val="20"/>
          <w:color w:val="auto"/>
        </w:rPr>
      </w:pPr>
    </w:p>
    <w:p>
      <w:pPr>
        <w:ind w:left="440" w:hanging="439"/>
        <w:spacing w:after="0"/>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Excludes equity method investments</w:t>
      </w:r>
    </w:p>
    <w:p>
      <w:pPr>
        <w:spacing w:after="0" w:line="200" w:lineRule="exact"/>
        <w:rPr>
          <w:sz w:val="20"/>
          <w:szCs w:val="20"/>
          <w:color w:val="auto"/>
        </w:rPr>
      </w:pP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215"/>
        </w:trPr>
        <w:tc>
          <w:tcPr>
            <w:tcW w:w="254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7"/>
          </w:tcPr>
          <w:p>
            <w:pPr>
              <w:ind w:left="1200"/>
              <w:spacing w:after="0"/>
              <w:rPr>
                <w:sz w:val="20"/>
                <w:szCs w:val="20"/>
                <w:color w:val="auto"/>
              </w:rPr>
            </w:pPr>
            <w:r>
              <w:rPr>
                <w:rFonts w:ascii="Arial" w:cs="Arial" w:eastAsia="Arial" w:hAnsi="Arial"/>
                <w:sz w:val="16"/>
                <w:szCs w:val="16"/>
                <w:b w:val="1"/>
                <w:bCs w:val="1"/>
                <w:color w:val="auto"/>
              </w:rPr>
              <w:t>Year Ended December 31, 2023</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00" w:type="dxa"/>
            <w:vAlign w:val="bottom"/>
            <w:tcBorders>
              <w:bottom w:val="single" w:sz="8" w:color="auto"/>
            </w:tcBorders>
            <w:gridSpan w:val="5"/>
          </w:tcPr>
          <w:p>
            <w:pPr>
              <w:ind w:left="1340"/>
              <w:spacing w:after="0" w:line="203" w:lineRule="exact"/>
              <w:rPr>
                <w:sz w:val="20"/>
                <w:szCs w:val="20"/>
                <w:color w:val="auto"/>
              </w:rPr>
            </w:pPr>
            <w:r>
              <w:rPr>
                <w:rFonts w:ascii="Arial" w:cs="Arial" w:eastAsia="Arial" w:hAnsi="Arial"/>
                <w:sz w:val="16"/>
                <w:szCs w:val="16"/>
                <w:b w:val="1"/>
                <w:bCs w:val="1"/>
                <w:color w:val="auto"/>
                <w:w w:val="90"/>
              </w:rPr>
              <w:t xml:space="preserve">Fossil and Nuclear Plants </w:t>
            </w:r>
            <w:r>
              <w:rPr>
                <w:rFonts w:ascii="Arial" w:cs="Arial" w:eastAsia="Arial" w:hAnsi="Arial"/>
                <w:sz w:val="20"/>
                <w:szCs w:val="20"/>
                <w:b w:val="1"/>
                <w:bCs w:val="1"/>
                <w:color w:val="auto"/>
                <w:w w:val="90"/>
                <w:vertAlign w:val="superscript"/>
              </w:rPr>
              <w:t>(a)</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1380" w:type="dxa"/>
            <w:vAlign w:val="bottom"/>
            <w:vMerge w:val="restart"/>
          </w:tcPr>
          <w:p>
            <w:pPr>
              <w:jc w:val="right"/>
              <w:ind w:right="209"/>
              <w:spacing w:after="0"/>
              <w:rPr>
                <w:sz w:val="20"/>
                <w:szCs w:val="20"/>
                <w:color w:val="auto"/>
              </w:rPr>
            </w:pPr>
            <w:r>
              <w:rPr>
                <w:rFonts w:ascii="Arial" w:cs="Arial" w:eastAsia="Arial" w:hAnsi="Arial"/>
                <w:sz w:val="16"/>
                <w:szCs w:val="16"/>
                <w:b w:val="1"/>
                <w:bCs w:val="1"/>
                <w:color w:val="auto"/>
              </w:rPr>
              <w:t>Net Owned</w:t>
            </w:r>
          </w:p>
        </w:tc>
        <w:tc>
          <w:tcPr>
            <w:tcW w:w="8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Net Generation</w:t>
            </w:r>
          </w:p>
        </w:tc>
        <w:tc>
          <w:tcPr>
            <w:tcW w:w="1480" w:type="dxa"/>
            <w:vAlign w:val="bottom"/>
            <w:vMerge w:val="restart"/>
          </w:tcPr>
          <w:p>
            <w:pPr>
              <w:jc w:val="right"/>
              <w:ind w:right="11"/>
              <w:spacing w:after="0"/>
              <w:rPr>
                <w:sz w:val="20"/>
                <w:szCs w:val="20"/>
                <w:color w:val="auto"/>
              </w:rPr>
            </w:pPr>
            <w:r>
              <w:rPr>
                <w:rFonts w:ascii="Arial" w:cs="Arial" w:eastAsia="Arial" w:hAnsi="Arial"/>
                <w:sz w:val="16"/>
                <w:szCs w:val="16"/>
                <w:b w:val="1"/>
                <w:bCs w:val="1"/>
                <w:color w:val="auto"/>
                <w:w w:val="97"/>
              </w:rPr>
              <w:t>Annual Equivalent</w:t>
            </w:r>
          </w:p>
        </w:tc>
        <w:tc>
          <w:tcPr>
            <w:tcW w:w="80" w:type="dxa"/>
            <w:vAlign w:val="bottom"/>
          </w:tcPr>
          <w:p>
            <w:pPr>
              <w:spacing w:after="0"/>
              <w:rPr>
                <w:sz w:val="16"/>
                <w:szCs w:val="16"/>
                <w:color w:val="auto"/>
              </w:rPr>
            </w:pPr>
          </w:p>
        </w:tc>
        <w:tc>
          <w:tcPr>
            <w:tcW w:w="174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Average Net Heat</w:t>
            </w:r>
          </w:p>
        </w:tc>
        <w:tc>
          <w:tcPr>
            <w:tcW w:w="1240" w:type="dxa"/>
            <w:vAlign w:val="bottom"/>
            <w:vMerge w:val="restart"/>
          </w:tcPr>
          <w:p>
            <w:pPr>
              <w:jc w:val="right"/>
              <w:ind w:right="149"/>
              <w:spacing w:after="0"/>
              <w:rPr>
                <w:sz w:val="20"/>
                <w:szCs w:val="20"/>
                <w:color w:val="auto"/>
              </w:rPr>
            </w:pPr>
            <w:r>
              <w:rPr>
                <w:rFonts w:ascii="Arial" w:cs="Arial" w:eastAsia="Arial" w:hAnsi="Arial"/>
                <w:sz w:val="16"/>
                <w:szCs w:val="16"/>
                <w:b w:val="1"/>
                <w:bCs w:val="1"/>
                <w:color w:val="auto"/>
              </w:rPr>
              <w:t>Net Capacity</w:t>
            </w:r>
          </w:p>
        </w:tc>
        <w:tc>
          <w:tcPr>
            <w:tcW w:w="0" w:type="dxa"/>
            <w:vAlign w:val="bottom"/>
          </w:tcPr>
          <w:p>
            <w:pPr>
              <w:spacing w:after="0"/>
              <w:rPr>
                <w:sz w:val="1"/>
                <w:szCs w:val="1"/>
                <w:color w:val="auto"/>
              </w:rPr>
            </w:pPr>
          </w:p>
        </w:tc>
      </w:tr>
      <w:tr>
        <w:trPr>
          <w:trHeight w:val="158"/>
        </w:trPr>
        <w:tc>
          <w:tcPr>
            <w:tcW w:w="254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center"/>
              <w:ind w:right="60"/>
              <w:spacing w:after="0" w:line="158" w:lineRule="exact"/>
              <w:rPr>
                <w:sz w:val="20"/>
                <w:szCs w:val="20"/>
                <w:color w:val="auto"/>
              </w:rPr>
            </w:pPr>
            <w:r>
              <w:rPr>
                <w:rFonts w:ascii="Arial" w:cs="Arial" w:eastAsia="Arial" w:hAnsi="Arial"/>
                <w:sz w:val="16"/>
                <w:szCs w:val="16"/>
                <w:b w:val="1"/>
                <w:bCs w:val="1"/>
                <w:color w:val="auto"/>
                <w:w w:val="88"/>
              </w:rPr>
              <w:t>(In thousands of</w:t>
            </w:r>
          </w:p>
        </w:tc>
        <w:tc>
          <w:tcPr>
            <w:tcW w:w="1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540" w:type="dxa"/>
            <w:vAlign w:val="bottom"/>
          </w:tcPr>
          <w:p>
            <w:pPr>
              <w:spacing w:after="0"/>
              <w:rPr>
                <w:sz w:val="18"/>
                <w:szCs w:val="18"/>
                <w:color w:val="auto"/>
              </w:rPr>
            </w:pPr>
          </w:p>
        </w:tc>
        <w:tc>
          <w:tcPr>
            <w:tcW w:w="1380" w:type="dxa"/>
            <w:vAlign w:val="bottom"/>
            <w:tcBorders>
              <w:bottom w:val="single" w:sz="8" w:color="auto"/>
            </w:tcBorders>
          </w:tcPr>
          <w:p>
            <w:pPr>
              <w:jc w:val="right"/>
              <w:ind w:right="69"/>
              <w:spacing w:after="0"/>
              <w:rPr>
                <w:sz w:val="20"/>
                <w:szCs w:val="20"/>
                <w:color w:val="auto"/>
              </w:rPr>
            </w:pPr>
            <w:r>
              <w:rPr>
                <w:rFonts w:ascii="Arial" w:cs="Arial" w:eastAsia="Arial" w:hAnsi="Arial"/>
                <w:sz w:val="16"/>
                <w:szCs w:val="16"/>
                <w:b w:val="1"/>
                <w:bCs w:val="1"/>
                <w:color w:val="auto"/>
              </w:rPr>
              <w:t>Capacity (MW)</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16"/>
                <w:szCs w:val="16"/>
                <w:b w:val="1"/>
                <w:bCs w:val="1"/>
                <w:color w:val="auto"/>
                <w:w w:val="93"/>
              </w:rPr>
              <w:t xml:space="preserve">MWh) </w:t>
            </w:r>
            <w:r>
              <w:rPr>
                <w:rFonts w:ascii="Arial" w:cs="Arial" w:eastAsia="Arial" w:hAnsi="Arial"/>
                <w:sz w:val="20"/>
                <w:szCs w:val="20"/>
                <w:b w:val="1"/>
                <w:bCs w:val="1"/>
                <w:color w:val="auto"/>
                <w:w w:val="93"/>
                <w:vertAlign w:val="superscript"/>
              </w:rPr>
              <w:t>(a)</w:t>
            </w:r>
          </w:p>
        </w:tc>
        <w:tc>
          <w:tcPr>
            <w:tcW w:w="60" w:type="dxa"/>
            <w:vAlign w:val="bottom"/>
          </w:tcPr>
          <w:p>
            <w:pPr>
              <w:spacing w:after="0"/>
              <w:rPr>
                <w:sz w:val="18"/>
                <w:szCs w:val="18"/>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w w:val="98"/>
              </w:rPr>
              <w:t>Availability Factor</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Rate BTU/kWh</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69"/>
              <w:spacing w:after="0"/>
              <w:rPr>
                <w:sz w:val="20"/>
                <w:szCs w:val="20"/>
                <w:color w:val="auto"/>
              </w:rPr>
            </w:pPr>
            <w:r>
              <w:rPr>
                <w:rFonts w:ascii="Arial" w:cs="Arial" w:eastAsia="Arial" w:hAnsi="Arial"/>
                <w:sz w:val="16"/>
                <w:szCs w:val="16"/>
                <w:b w:val="1"/>
                <w:bCs w:val="1"/>
                <w:color w:val="auto"/>
              </w:rPr>
              <w:t>Factor</w:t>
            </w:r>
          </w:p>
        </w:tc>
        <w:tc>
          <w:tcPr>
            <w:tcW w:w="0" w:type="dxa"/>
            <w:vAlign w:val="bottom"/>
          </w:tcPr>
          <w:p>
            <w:pPr>
              <w:spacing w:after="0"/>
              <w:rPr>
                <w:sz w:val="1"/>
                <w:szCs w:val="1"/>
                <w:color w:val="auto"/>
              </w:rPr>
            </w:pPr>
          </w:p>
        </w:tc>
      </w:tr>
      <w:tr>
        <w:trPr>
          <w:trHeight w:val="260"/>
        </w:trPr>
        <w:tc>
          <w:tcPr>
            <w:tcW w:w="2540" w:type="dxa"/>
            <w:vAlign w:val="bottom"/>
          </w:tcPr>
          <w:p>
            <w:pPr>
              <w:spacing w:after="0"/>
              <w:rPr>
                <w:sz w:val="20"/>
                <w:szCs w:val="20"/>
                <w:color w:val="auto"/>
              </w:rPr>
            </w:pPr>
            <w:r>
              <w:rPr>
                <w:rFonts w:ascii="Arial" w:cs="Arial" w:eastAsia="Arial" w:hAnsi="Arial"/>
                <w:sz w:val="20"/>
                <w:szCs w:val="20"/>
                <w:color w:val="auto"/>
                <w:w w:val="90"/>
              </w:rPr>
              <w:t xml:space="preserve">Texas </w:t>
            </w:r>
            <w:r>
              <w:rPr>
                <w:rFonts w:ascii="Arial" w:cs="Arial" w:eastAsia="Arial" w:hAnsi="Arial"/>
                <w:sz w:val="20"/>
                <w:szCs w:val="20"/>
                <w:color w:val="B4B4B4"/>
                <w:w w:val="90"/>
              </w:rPr>
              <w:t>. . . . . . . . . . . . . . . . . . . .</w:t>
            </w:r>
          </w:p>
        </w:tc>
        <w:tc>
          <w:tcPr>
            <w:tcW w:w="1380" w:type="dxa"/>
            <w:vAlign w:val="bottom"/>
          </w:tcPr>
          <w:p>
            <w:pPr>
              <w:jc w:val="right"/>
              <w:spacing w:after="0"/>
              <w:rPr>
                <w:sz w:val="20"/>
                <w:szCs w:val="20"/>
                <w:color w:val="auto"/>
              </w:rPr>
            </w:pPr>
            <w:r>
              <w:rPr>
                <w:rFonts w:ascii="Arial" w:cs="Arial" w:eastAsia="Arial" w:hAnsi="Arial"/>
                <w:sz w:val="20"/>
                <w:szCs w:val="20"/>
                <w:color w:val="auto"/>
              </w:rPr>
              <w:t>8,529</w:t>
            </w:r>
          </w:p>
        </w:tc>
        <w:tc>
          <w:tcPr>
            <w:tcW w:w="1460" w:type="dxa"/>
            <w:vAlign w:val="bottom"/>
            <w:gridSpan w:val="2"/>
          </w:tcPr>
          <w:p>
            <w:pPr>
              <w:jc w:val="right"/>
              <w:ind w:right="1"/>
              <w:spacing w:after="0"/>
              <w:rPr>
                <w:sz w:val="20"/>
                <w:szCs w:val="20"/>
                <w:color w:val="auto"/>
              </w:rPr>
            </w:pPr>
            <w:r>
              <w:rPr>
                <w:rFonts w:ascii="Arial" w:cs="Arial" w:eastAsia="Arial" w:hAnsi="Arial"/>
                <w:sz w:val="20"/>
                <w:szCs w:val="20"/>
                <w:color w:val="auto"/>
              </w:rPr>
              <w:t>30,776</w:t>
            </w:r>
          </w:p>
        </w:tc>
        <w:tc>
          <w:tcPr>
            <w:tcW w:w="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74.2 %</w:t>
            </w:r>
          </w:p>
        </w:tc>
        <w:tc>
          <w:tcPr>
            <w:tcW w:w="1600" w:type="dxa"/>
            <w:vAlign w:val="bottom"/>
            <w:gridSpan w:val="2"/>
          </w:tcPr>
          <w:p>
            <w:pPr>
              <w:jc w:val="right"/>
              <w:ind w:right="1"/>
              <w:spacing w:after="0"/>
              <w:rPr>
                <w:sz w:val="20"/>
                <w:szCs w:val="20"/>
                <w:color w:val="auto"/>
              </w:rPr>
            </w:pPr>
            <w:r>
              <w:rPr>
                <w:rFonts w:ascii="Arial" w:cs="Arial" w:eastAsia="Arial" w:hAnsi="Arial"/>
                <w:sz w:val="20"/>
                <w:szCs w:val="20"/>
                <w:color w:val="auto"/>
              </w:rPr>
              <w:t>11,175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35.4 %</w:t>
            </w:r>
          </w:p>
        </w:tc>
        <w:tc>
          <w:tcPr>
            <w:tcW w:w="0" w:type="dxa"/>
            <w:vAlign w:val="bottom"/>
          </w:tcPr>
          <w:p>
            <w:pPr>
              <w:spacing w:after="0"/>
              <w:rPr>
                <w:sz w:val="1"/>
                <w:szCs w:val="1"/>
                <w:color w:val="auto"/>
              </w:rPr>
            </w:pPr>
          </w:p>
        </w:tc>
      </w:tr>
      <w:tr>
        <w:trPr>
          <w:trHeight w:val="282"/>
        </w:trPr>
        <w:tc>
          <w:tcPr>
            <w:tcW w:w="2540" w:type="dxa"/>
            <w:vAlign w:val="bottom"/>
          </w:tcPr>
          <w:p>
            <w:pPr>
              <w:spacing w:after="0"/>
              <w:rPr>
                <w:sz w:val="20"/>
                <w:szCs w:val="20"/>
                <w:color w:val="auto"/>
              </w:rPr>
            </w:pPr>
            <w:r>
              <w:rPr>
                <w:rFonts w:ascii="Arial" w:cs="Arial" w:eastAsia="Arial" w:hAnsi="Arial"/>
                <w:sz w:val="20"/>
                <w:szCs w:val="20"/>
                <w:color w:val="auto"/>
                <w:w w:val="92"/>
              </w:rPr>
              <w:t xml:space="preserve">East </w:t>
            </w:r>
            <w:r>
              <w:rPr>
                <w:rFonts w:ascii="Arial" w:cs="Arial" w:eastAsia="Arial" w:hAnsi="Arial"/>
                <w:sz w:val="20"/>
                <w:szCs w:val="20"/>
                <w:color w:val="B4B4B4"/>
                <w:w w:val="92"/>
              </w:rPr>
              <w:t>. . . . . . . . . . . . . . . . . . . . .</w:t>
            </w:r>
          </w:p>
        </w:tc>
        <w:tc>
          <w:tcPr>
            <w:tcW w:w="1380" w:type="dxa"/>
            <w:vAlign w:val="bottom"/>
          </w:tcPr>
          <w:p>
            <w:pPr>
              <w:jc w:val="right"/>
              <w:spacing w:after="0"/>
              <w:rPr>
                <w:sz w:val="20"/>
                <w:szCs w:val="20"/>
                <w:color w:val="auto"/>
              </w:rPr>
            </w:pPr>
            <w:r>
              <w:rPr>
                <w:rFonts w:ascii="Arial" w:cs="Arial" w:eastAsia="Arial" w:hAnsi="Arial"/>
                <w:sz w:val="20"/>
                <w:szCs w:val="20"/>
                <w:color w:val="auto"/>
              </w:rPr>
              <w:t>2,483</w:t>
            </w:r>
          </w:p>
        </w:tc>
        <w:tc>
          <w:tcPr>
            <w:tcW w:w="1460" w:type="dxa"/>
            <w:vAlign w:val="bottom"/>
            <w:gridSpan w:val="2"/>
          </w:tcPr>
          <w:p>
            <w:pPr>
              <w:jc w:val="right"/>
              <w:ind w:right="1"/>
              <w:spacing w:after="0"/>
              <w:rPr>
                <w:sz w:val="20"/>
                <w:szCs w:val="20"/>
                <w:color w:val="auto"/>
              </w:rPr>
            </w:pPr>
            <w:r>
              <w:rPr>
                <w:rFonts w:ascii="Arial" w:cs="Arial" w:eastAsia="Arial" w:hAnsi="Arial"/>
                <w:sz w:val="20"/>
                <w:szCs w:val="20"/>
                <w:color w:val="auto"/>
              </w:rPr>
              <w:t>2,016</w:t>
            </w:r>
          </w:p>
        </w:tc>
        <w:tc>
          <w:tcPr>
            <w:tcW w:w="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85.5 %</w:t>
            </w:r>
          </w:p>
        </w:tc>
        <w:tc>
          <w:tcPr>
            <w:tcW w:w="1600" w:type="dxa"/>
            <w:vAlign w:val="bottom"/>
            <w:gridSpan w:val="2"/>
          </w:tcPr>
          <w:p>
            <w:pPr>
              <w:jc w:val="right"/>
              <w:ind w:right="1"/>
              <w:spacing w:after="0"/>
              <w:rPr>
                <w:sz w:val="20"/>
                <w:szCs w:val="20"/>
                <w:color w:val="auto"/>
              </w:rPr>
            </w:pPr>
            <w:r>
              <w:rPr>
                <w:rFonts w:ascii="Arial" w:cs="Arial" w:eastAsia="Arial" w:hAnsi="Arial"/>
                <w:sz w:val="20"/>
                <w:szCs w:val="20"/>
                <w:color w:val="auto"/>
              </w:rPr>
              <w:t>13,007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6.6 %</w:t>
            </w:r>
          </w:p>
        </w:tc>
        <w:tc>
          <w:tcPr>
            <w:tcW w:w="0" w:type="dxa"/>
            <w:vAlign w:val="bottom"/>
          </w:tcPr>
          <w:p>
            <w:pPr>
              <w:spacing w:after="0"/>
              <w:rPr>
                <w:sz w:val="1"/>
                <w:szCs w:val="1"/>
                <w:color w:val="auto"/>
              </w:rPr>
            </w:pPr>
          </w:p>
        </w:tc>
      </w:tr>
      <w:tr>
        <w:trPr>
          <w:trHeight w:val="282"/>
        </w:trPr>
        <w:tc>
          <w:tcPr>
            <w:tcW w:w="2540" w:type="dxa"/>
            <w:vAlign w:val="bottom"/>
          </w:tcPr>
          <w:p>
            <w:pPr>
              <w:spacing w:after="0"/>
              <w:rPr>
                <w:sz w:val="20"/>
                <w:szCs w:val="20"/>
                <w:color w:val="auto"/>
              </w:rPr>
            </w:pPr>
            <w:r>
              <w:rPr>
                <w:rFonts w:ascii="Arial" w:cs="Arial" w:eastAsia="Arial" w:hAnsi="Arial"/>
                <w:sz w:val="20"/>
                <w:szCs w:val="20"/>
                <w:color w:val="auto"/>
                <w:w w:val="92"/>
              </w:rPr>
              <w:t xml:space="preserve">West/Services/Other </w:t>
            </w:r>
            <w:r>
              <w:rPr>
                <w:rFonts w:ascii="Arial" w:cs="Arial" w:eastAsia="Arial" w:hAnsi="Arial"/>
                <w:sz w:val="20"/>
                <w:szCs w:val="20"/>
                <w:color w:val="B4B4B4"/>
                <w:w w:val="92"/>
              </w:rPr>
              <w:t>. . . . . . . .</w:t>
            </w:r>
          </w:p>
        </w:tc>
        <w:tc>
          <w:tcPr>
            <w:tcW w:w="1380" w:type="dxa"/>
            <w:vAlign w:val="bottom"/>
          </w:tcPr>
          <w:p>
            <w:pPr>
              <w:jc w:val="right"/>
              <w:spacing w:after="0"/>
              <w:rPr>
                <w:sz w:val="20"/>
                <w:szCs w:val="20"/>
                <w:color w:val="auto"/>
              </w:rPr>
            </w:pPr>
            <w:r>
              <w:rPr>
                <w:rFonts w:ascii="Arial" w:cs="Arial" w:eastAsia="Arial" w:hAnsi="Arial"/>
                <w:sz w:val="20"/>
                <w:szCs w:val="20"/>
                <w:color w:val="auto"/>
              </w:rPr>
              <w:t>1,169</w:t>
            </w:r>
          </w:p>
        </w:tc>
        <w:tc>
          <w:tcPr>
            <w:tcW w:w="1460" w:type="dxa"/>
            <w:vAlign w:val="bottom"/>
            <w:gridSpan w:val="2"/>
          </w:tcPr>
          <w:p>
            <w:pPr>
              <w:jc w:val="right"/>
              <w:ind w:right="1"/>
              <w:spacing w:after="0"/>
              <w:rPr>
                <w:sz w:val="20"/>
                <w:szCs w:val="20"/>
                <w:color w:val="auto"/>
              </w:rPr>
            </w:pPr>
            <w:r>
              <w:rPr>
                <w:rFonts w:ascii="Arial" w:cs="Arial" w:eastAsia="Arial" w:hAnsi="Arial"/>
                <w:sz w:val="20"/>
                <w:szCs w:val="20"/>
                <w:color w:val="auto"/>
              </w:rPr>
              <w:t>5,903</w:t>
            </w:r>
          </w:p>
        </w:tc>
        <w:tc>
          <w:tcPr>
            <w:tcW w:w="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73.5 %</w:t>
            </w:r>
          </w:p>
        </w:tc>
        <w:tc>
          <w:tcPr>
            <w:tcW w:w="1600" w:type="dxa"/>
            <w:vAlign w:val="bottom"/>
            <w:gridSpan w:val="2"/>
          </w:tcPr>
          <w:p>
            <w:pPr>
              <w:jc w:val="right"/>
              <w:ind w:right="1"/>
              <w:spacing w:after="0"/>
              <w:rPr>
                <w:sz w:val="20"/>
                <w:szCs w:val="20"/>
                <w:color w:val="auto"/>
              </w:rPr>
            </w:pPr>
            <w:r>
              <w:rPr>
                <w:rFonts w:ascii="Arial" w:cs="Arial" w:eastAsia="Arial" w:hAnsi="Arial"/>
                <w:sz w:val="20"/>
                <w:szCs w:val="20"/>
                <w:color w:val="auto"/>
              </w:rPr>
              <w:t>7,449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56.8 %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-541655</wp:posOffset>
            </wp:positionV>
            <wp:extent cx="6475095" cy="562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extLst>
                    </a:blip>
                    <a:srcRect/>
                    <a:stretch>
                      <a:fillRect/>
                    </a:stretch>
                  </pic:blipFill>
                  <pic:spPr bwMode="auto">
                    <a:xfrm>
                      <a:off x="0" y="0"/>
                      <a:ext cx="6475095" cy="562610"/>
                    </a:xfrm>
                    <a:prstGeom prst="rect">
                      <a:avLst/>
                    </a:prstGeom>
                    <a:noFill/>
                  </pic:spPr>
                </pic:pic>
              </a:graphicData>
            </a:graphic>
          </wp:anchor>
        </w:drawing>
      </w:r>
    </w:p>
    <w:p>
      <w:pPr>
        <w:spacing w:after="0" w:line="42" w:lineRule="exact"/>
        <w:rPr>
          <w:sz w:val="20"/>
          <w:szCs w:val="20"/>
          <w:color w:val="auto"/>
        </w:rPr>
      </w:pPr>
    </w:p>
    <w:p>
      <w:pPr>
        <w:ind w:left="440" w:hanging="439"/>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Excludes equity method investments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880" w:h="15480" w:orient="portrait"/>
          <w:cols w:equalWidth="0" w:num="1">
            <w:col w:w="10160"/>
          </w:cols>
          <w:pgMar w:left="860" w:top="605" w:right="860" w:bottom="0" w:gutter="0" w:footer="0" w:header="0"/>
        </w:sectPr>
      </w:pPr>
    </w:p>
    <w:bookmarkStart w:id="14" w:name="page15"/>
    <w:bookmarkEnd w:id="14"/>
    <w:p>
      <w:pPr>
        <w:ind w:left="440"/>
        <w:spacing w:after="0"/>
        <w:rPr>
          <w:sz w:val="20"/>
          <w:szCs w:val="20"/>
          <w:color w:val="auto"/>
        </w:rPr>
      </w:pPr>
      <w:r>
        <w:rPr>
          <w:rFonts w:ascii="Arial" w:cs="Arial" w:eastAsia="Arial" w:hAnsi="Arial"/>
          <w:sz w:val="20"/>
          <w:szCs w:val="20"/>
          <w:color w:val="auto"/>
        </w:rPr>
        <w:t>The following are industry statistics for the Company's fossil and nuclear plants, as defined by the NERC:</w:t>
      </w:r>
    </w:p>
    <w:p>
      <w:pPr>
        <w:spacing w:after="0" w:line="123"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20"/>
          <w:szCs w:val="20"/>
          <w:b w:val="1"/>
          <w:bCs w:val="1"/>
          <w:i w:val="1"/>
          <w:iCs w:val="1"/>
          <w:color w:val="auto"/>
        </w:rPr>
        <w:t xml:space="preserve">Annual Equivalent Availability Factor, or EAF </w:t>
      </w:r>
      <w:r>
        <w:rPr>
          <w:rFonts w:ascii="Arial" w:cs="Arial" w:eastAsia="Arial" w:hAnsi="Arial"/>
          <w:sz w:val="20"/>
          <w:szCs w:val="20"/>
          <w:color w:val="auto"/>
        </w:rPr>
        <w:t>— Measures the percentage of maximum generation available over time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fraction of net maximum generation that could be provided over a defined period of time after all types of outages and deratings, including seasonal deratings, are taken into account.</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 xml:space="preserve">Net Heat Rate </w:t>
      </w:r>
      <w:r>
        <w:rPr>
          <w:rFonts w:ascii="Arial" w:cs="Arial" w:eastAsia="Arial" w:hAnsi="Arial"/>
          <w:sz w:val="16"/>
          <w:szCs w:val="16"/>
          <w:color w:val="auto"/>
        </w:rPr>
        <w:t>— The net heat rate represents the total amount of fuel in BTU required to generate one net kWh provided.</w:t>
      </w:r>
    </w:p>
    <w:p>
      <w:pPr>
        <w:spacing w:after="0" w:line="172" w:lineRule="exact"/>
        <w:rPr>
          <w:sz w:val="20"/>
          <w:szCs w:val="20"/>
          <w:color w:val="auto"/>
        </w:rPr>
      </w:pPr>
    </w:p>
    <w:p>
      <w:pPr>
        <w:jc w:val="both"/>
        <w:ind w:firstLine="445"/>
        <w:spacing w:after="0" w:line="307" w:lineRule="auto"/>
        <w:rPr>
          <w:sz w:val="20"/>
          <w:szCs w:val="20"/>
          <w:color w:val="auto"/>
        </w:rPr>
      </w:pPr>
      <w:r>
        <w:rPr>
          <w:rFonts w:ascii="Arial" w:cs="Arial" w:eastAsia="Arial" w:hAnsi="Arial"/>
          <w:sz w:val="18"/>
          <w:szCs w:val="18"/>
          <w:b w:val="1"/>
          <w:bCs w:val="1"/>
          <w:i w:val="1"/>
          <w:iCs w:val="1"/>
          <w:color w:val="auto"/>
        </w:rPr>
        <w:t xml:space="preserve">Net Capacity Factor </w:t>
      </w:r>
      <w:r>
        <w:rPr>
          <w:rFonts w:ascii="Arial" w:cs="Arial" w:eastAsia="Arial" w:hAnsi="Arial"/>
          <w:sz w:val="18"/>
          <w:szCs w:val="18"/>
          <w:color w:val="auto"/>
        </w:rPr>
        <w:t>— The net amount of electricity that a generating unit produces over a period of time divided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amount of electricity it could have produced if it had run at full power over that time period. The net amount of electricity produced is the total amount of electricity generated minus the amount of electricity used during generation by the station.</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generation performance by region for the three years ended December 31, 2024, 2023 and 2022 is shown below:</w:t>
      </w:r>
    </w:p>
    <w:p>
      <w:pPr>
        <w:spacing w:after="0" w:line="138"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Net Generation</w:t>
            </w: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740" w:type="dxa"/>
            <w:vAlign w:val="bottom"/>
          </w:tcPr>
          <w:p>
            <w:pPr>
              <w:jc w:val="right"/>
              <w:ind w:right="5062"/>
              <w:spacing w:after="0"/>
              <w:rPr>
                <w:sz w:val="20"/>
                <w:szCs w:val="20"/>
                <w:color w:val="auto"/>
              </w:rPr>
            </w:pPr>
            <w:r>
              <w:rPr>
                <w:rFonts w:ascii="Arial" w:cs="Arial" w:eastAsia="Arial" w:hAnsi="Arial"/>
                <w:sz w:val="16"/>
                <w:szCs w:val="16"/>
                <w:b w:val="1"/>
                <w:bCs w:val="1"/>
                <w:color w:val="auto"/>
                <w:w w:val="90"/>
              </w:rPr>
              <w:t>(In thousands of MWh)</w:t>
            </w:r>
          </w:p>
        </w:tc>
        <w:tc>
          <w:tcPr>
            <w:tcW w:w="1040" w:type="dxa"/>
            <w:vAlign w:val="bottom"/>
          </w:tcPr>
          <w:p>
            <w:pPr>
              <w:jc w:val="right"/>
              <w:ind w:right="263"/>
              <w:spacing w:after="0"/>
              <w:rPr>
                <w:sz w:val="20"/>
                <w:szCs w:val="20"/>
                <w:color w:val="auto"/>
              </w:rPr>
            </w:pPr>
            <w:r>
              <w:rPr>
                <w:rFonts w:ascii="Arial" w:cs="Arial" w:eastAsia="Arial" w:hAnsi="Arial"/>
                <w:sz w:val="16"/>
                <w:szCs w:val="16"/>
                <w:b w:val="1"/>
                <w:bCs w:val="1"/>
                <w:color w:val="auto"/>
              </w:rPr>
              <w:t>2024</w:t>
            </w:r>
          </w:p>
        </w:tc>
        <w:tc>
          <w:tcPr>
            <w:tcW w:w="1140" w:type="dxa"/>
            <w:vAlign w:val="bottom"/>
            <w:gridSpan w:val="2"/>
          </w:tcPr>
          <w:p>
            <w:pPr>
              <w:jc w:val="right"/>
              <w:ind w:right="285"/>
              <w:spacing w:after="0"/>
              <w:rPr>
                <w:sz w:val="20"/>
                <w:szCs w:val="20"/>
                <w:color w:val="auto"/>
              </w:rPr>
            </w:pPr>
            <w:r>
              <w:rPr>
                <w:rFonts w:ascii="Arial" w:cs="Arial" w:eastAsia="Arial" w:hAnsi="Arial"/>
                <w:sz w:val="16"/>
                <w:szCs w:val="16"/>
                <w:b w:val="1"/>
                <w:bCs w:val="1"/>
                <w:color w:val="auto"/>
              </w:rPr>
              <w:t>2023</w:t>
            </w:r>
          </w:p>
        </w:tc>
        <w:tc>
          <w:tcPr>
            <w:tcW w:w="1120" w:type="dxa"/>
            <w:vAlign w:val="bottom"/>
            <w:gridSpan w:val="2"/>
          </w:tcPr>
          <w:p>
            <w:pPr>
              <w:jc w:val="right"/>
              <w:ind w:right="26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60"/>
        </w:trPr>
        <w:tc>
          <w:tcPr>
            <w:tcW w:w="6740" w:type="dxa"/>
            <w:vAlign w:val="bottom"/>
          </w:tcPr>
          <w:p>
            <w:pPr>
              <w:ind w:left="80"/>
              <w:spacing w:after="0"/>
              <w:rPr>
                <w:sz w:val="20"/>
                <w:szCs w:val="20"/>
                <w:color w:val="auto"/>
              </w:rPr>
            </w:pPr>
            <w:r>
              <w:rPr>
                <w:rFonts w:ascii="Arial" w:cs="Arial" w:eastAsia="Arial" w:hAnsi="Arial"/>
                <w:sz w:val="20"/>
                <w:szCs w:val="20"/>
                <w:b w:val="1"/>
                <w:bCs w:val="1"/>
                <w:color w:val="auto"/>
              </w:rPr>
              <w:t>Texas</w:t>
            </w:r>
          </w:p>
        </w:tc>
        <w:tc>
          <w:tcPr>
            <w:tcW w:w="10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6740" w:type="dxa"/>
            <w:vAlign w:val="bottom"/>
          </w:tcPr>
          <w:p>
            <w:pPr>
              <w:jc w:val="right"/>
              <w:spacing w:after="0"/>
              <w:rPr>
                <w:sz w:val="20"/>
                <w:szCs w:val="20"/>
                <w:color w:val="auto"/>
              </w:rPr>
            </w:pPr>
            <w:r>
              <w:rPr>
                <w:rFonts w:ascii="Arial" w:cs="Arial" w:eastAsia="Arial" w:hAnsi="Arial"/>
                <w:sz w:val="20"/>
                <w:szCs w:val="20"/>
                <w:color w:val="auto"/>
                <w:w w:val="92"/>
              </w:rPr>
              <w:t xml:space="preserve">Coal </w:t>
            </w:r>
            <w:r>
              <w:rPr>
                <w:rFonts w:ascii="Arial" w:cs="Arial" w:eastAsia="Arial" w:hAnsi="Arial"/>
                <w:sz w:val="20"/>
                <w:szCs w:val="20"/>
                <w:color w:val="B4B4B4"/>
                <w:w w:val="92"/>
              </w:rPr>
              <w:t>. . . . . . . . . . . . . . . . . . . . . . . . . . . . . . . . . . . . . . . . . . . . . . . . . . . . . .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15,433</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15,576</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18,860</w:t>
            </w:r>
          </w:p>
        </w:tc>
        <w:tc>
          <w:tcPr>
            <w:tcW w:w="0" w:type="dxa"/>
            <w:vAlign w:val="bottom"/>
          </w:tcPr>
          <w:p>
            <w:pPr>
              <w:spacing w:after="0"/>
              <w:rPr>
                <w:sz w:val="1"/>
                <w:szCs w:val="1"/>
                <w:color w:val="auto"/>
              </w:rPr>
            </w:pPr>
          </w:p>
        </w:tc>
      </w:tr>
      <w:tr>
        <w:trPr>
          <w:trHeight w:val="282"/>
        </w:trPr>
        <w:tc>
          <w:tcPr>
            <w:tcW w:w="6740" w:type="dxa"/>
            <w:vAlign w:val="bottom"/>
          </w:tcPr>
          <w:p>
            <w:pPr>
              <w:jc w:val="right"/>
              <w:spacing w:after="0"/>
              <w:rPr>
                <w:sz w:val="20"/>
                <w:szCs w:val="20"/>
                <w:color w:val="auto"/>
              </w:rPr>
            </w:pPr>
            <w:r>
              <w:rPr>
                <w:rFonts w:ascii="Arial" w:cs="Arial" w:eastAsia="Arial" w:hAnsi="Arial"/>
                <w:sz w:val="20"/>
                <w:szCs w:val="20"/>
                <w:color w:val="auto"/>
                <w:w w:val="91"/>
              </w:rPr>
              <w:t xml:space="preserve">Gas </w:t>
            </w:r>
            <w:r>
              <w:rPr>
                <w:rFonts w:ascii="Arial" w:cs="Arial" w:eastAsia="Arial" w:hAnsi="Arial"/>
                <w:sz w:val="20"/>
                <w:szCs w:val="20"/>
                <w:color w:val="B4B4B4"/>
                <w:w w:val="91"/>
              </w:rPr>
              <w:t>. . . . . . . . . . . . . . . . . . . . . . . . . . . . . . . . . . . . . . . . . . . . . . . . . . . . . . .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7,917</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7,333</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8,763</w:t>
            </w:r>
          </w:p>
        </w:tc>
        <w:tc>
          <w:tcPr>
            <w:tcW w:w="0" w:type="dxa"/>
            <w:vAlign w:val="bottom"/>
          </w:tcPr>
          <w:p>
            <w:pPr>
              <w:spacing w:after="0"/>
              <w:rPr>
                <w:sz w:val="1"/>
                <w:szCs w:val="1"/>
                <w:color w:val="auto"/>
              </w:rPr>
            </w:pPr>
          </w:p>
        </w:tc>
      </w:tr>
      <w:tr>
        <w:trPr>
          <w:trHeight w:val="284"/>
        </w:trPr>
        <w:tc>
          <w:tcPr>
            <w:tcW w:w="6740" w:type="dxa"/>
            <w:vAlign w:val="bottom"/>
          </w:tcPr>
          <w:p>
            <w:pPr>
              <w:jc w:val="right"/>
              <w:spacing w:after="0" w:line="284" w:lineRule="exact"/>
              <w:rPr>
                <w:sz w:val="20"/>
                <w:szCs w:val="20"/>
                <w:color w:val="auto"/>
              </w:rPr>
            </w:pPr>
            <w:r>
              <w:rPr>
                <w:rFonts w:ascii="Arial" w:cs="Arial" w:eastAsia="Arial" w:hAnsi="Arial"/>
                <w:sz w:val="20"/>
                <w:szCs w:val="20"/>
                <w:color w:val="auto"/>
                <w:w w:val="91"/>
              </w:rPr>
              <w:t xml:space="preserve">Nuclear </w:t>
            </w:r>
            <w:r>
              <w:rPr>
                <w:rFonts w:ascii="Arial" w:cs="Arial" w:eastAsia="Arial" w:hAnsi="Arial"/>
                <w:sz w:val="25"/>
                <w:szCs w:val="25"/>
                <w:color w:val="auto"/>
                <w:w w:val="91"/>
                <w:vertAlign w:val="superscript"/>
              </w:rPr>
              <w:t>(a)</w:t>
            </w:r>
            <w:r>
              <w:rPr>
                <w:rFonts w:ascii="Arial" w:cs="Arial" w:eastAsia="Arial" w:hAnsi="Arial"/>
                <w:sz w:val="20"/>
                <w:szCs w:val="20"/>
                <w:color w:val="auto"/>
                <w:w w:val="91"/>
              </w:rPr>
              <w:t xml:space="preserve"> </w:t>
            </w:r>
            <w:r>
              <w:rPr>
                <w:rFonts w:ascii="Arial" w:cs="Arial" w:eastAsia="Arial" w:hAnsi="Arial"/>
                <w:sz w:val="20"/>
                <w:szCs w:val="20"/>
                <w:color w:val="B4B4B4"/>
                <w:w w:val="91"/>
              </w:rPr>
              <w:t>. . . . . . . . . . . . . . . . . . . . . . . . . . . . . . . . . . . . . . . . . . . . . . . . . . . . . . . .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7,867</w:t>
            </w:r>
          </w:p>
        </w:tc>
        <w:tc>
          <w:tcPr>
            <w:tcW w:w="6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9,652</w:t>
            </w:r>
          </w:p>
        </w:tc>
        <w:tc>
          <w:tcPr>
            <w:tcW w:w="0" w:type="dxa"/>
            <w:vAlign w:val="bottom"/>
          </w:tcPr>
          <w:p>
            <w:pPr>
              <w:spacing w:after="0"/>
              <w:rPr>
                <w:sz w:val="1"/>
                <w:szCs w:val="1"/>
                <w:color w:val="auto"/>
              </w:rPr>
            </w:pPr>
          </w:p>
        </w:tc>
      </w:tr>
      <w:tr>
        <w:trPr>
          <w:trHeight w:val="242"/>
        </w:trPr>
        <w:tc>
          <w:tcPr>
            <w:tcW w:w="6740" w:type="dxa"/>
            <w:vAlign w:val="bottom"/>
          </w:tcPr>
          <w:p>
            <w:pPr>
              <w:jc w:val="right"/>
              <w:spacing w:after="0"/>
              <w:rPr>
                <w:sz w:val="20"/>
                <w:szCs w:val="20"/>
                <w:color w:val="auto"/>
              </w:rPr>
            </w:pPr>
            <w:r>
              <w:rPr>
                <w:rFonts w:ascii="Arial" w:cs="Arial" w:eastAsia="Arial" w:hAnsi="Arial"/>
                <w:sz w:val="20"/>
                <w:szCs w:val="20"/>
                <w:color w:val="auto"/>
                <w:w w:val="94"/>
              </w:rPr>
              <w:t xml:space="preserve">Total Texas </w:t>
            </w:r>
            <w:r>
              <w:rPr>
                <w:rFonts w:ascii="Arial" w:cs="Arial" w:eastAsia="Arial" w:hAnsi="Arial"/>
                <w:sz w:val="20"/>
                <w:szCs w:val="20"/>
                <w:color w:val="B4B4B4"/>
                <w:w w:val="94"/>
              </w:rPr>
              <w:t>. . . . . . . . . . . . . . . . . . . . . . . . . . . . . . . . . . . . . . . . . . . . . . .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23,350</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30,776</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37,275</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80"/>
              <w:spacing w:after="0"/>
              <w:rPr>
                <w:sz w:val="20"/>
                <w:szCs w:val="20"/>
                <w:color w:val="auto"/>
              </w:rPr>
            </w:pPr>
            <w:r>
              <w:rPr>
                <w:rFonts w:ascii="Arial" w:cs="Arial" w:eastAsia="Arial" w:hAnsi="Arial"/>
                <w:sz w:val="20"/>
                <w:szCs w:val="20"/>
                <w:b w:val="1"/>
                <w:bCs w:val="1"/>
                <w:color w:val="auto"/>
              </w:rPr>
              <w:t>East</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74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6740" w:type="dxa"/>
            <w:vAlign w:val="bottom"/>
          </w:tcPr>
          <w:p>
            <w:pPr>
              <w:jc w:val="right"/>
              <w:spacing w:after="0"/>
              <w:rPr>
                <w:sz w:val="20"/>
                <w:szCs w:val="20"/>
                <w:color w:val="auto"/>
              </w:rPr>
            </w:pPr>
            <w:r>
              <w:rPr>
                <w:rFonts w:ascii="Arial" w:cs="Arial" w:eastAsia="Arial" w:hAnsi="Arial"/>
                <w:sz w:val="20"/>
                <w:szCs w:val="20"/>
                <w:color w:val="auto"/>
                <w:w w:val="92"/>
              </w:rPr>
              <w:t xml:space="preserve">Coal </w:t>
            </w:r>
            <w:r>
              <w:rPr>
                <w:rFonts w:ascii="Arial" w:cs="Arial" w:eastAsia="Arial" w:hAnsi="Arial"/>
                <w:sz w:val="20"/>
                <w:szCs w:val="20"/>
                <w:color w:val="B4B4B4"/>
                <w:w w:val="92"/>
              </w:rPr>
              <w:t>. . . . . . . . . . . . . . . . . . . . . . . . . . . . . . . . . . . . . . . . . . . . . . . . . . . . . .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2,369</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1,328</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6,738</w:t>
            </w:r>
          </w:p>
        </w:tc>
        <w:tc>
          <w:tcPr>
            <w:tcW w:w="0" w:type="dxa"/>
            <w:vAlign w:val="bottom"/>
          </w:tcPr>
          <w:p>
            <w:pPr>
              <w:spacing w:after="0"/>
              <w:rPr>
                <w:sz w:val="1"/>
                <w:szCs w:val="1"/>
                <w:color w:val="auto"/>
              </w:rPr>
            </w:pPr>
          </w:p>
        </w:tc>
      </w:tr>
      <w:tr>
        <w:trPr>
          <w:trHeight w:val="282"/>
        </w:trPr>
        <w:tc>
          <w:tcPr>
            <w:tcW w:w="6740" w:type="dxa"/>
            <w:vAlign w:val="bottom"/>
          </w:tcPr>
          <w:p>
            <w:pPr>
              <w:jc w:val="right"/>
              <w:spacing w:after="0"/>
              <w:rPr>
                <w:sz w:val="20"/>
                <w:szCs w:val="20"/>
                <w:color w:val="auto"/>
              </w:rPr>
            </w:pPr>
            <w:r>
              <w:rPr>
                <w:rFonts w:ascii="Arial" w:cs="Arial" w:eastAsia="Arial" w:hAnsi="Arial"/>
                <w:sz w:val="20"/>
                <w:szCs w:val="20"/>
                <w:color w:val="auto"/>
                <w:w w:val="92"/>
              </w:rPr>
              <w:t xml:space="preserve">Oil  </w:t>
            </w:r>
            <w:r>
              <w:rPr>
                <w:rFonts w:ascii="Arial" w:cs="Arial" w:eastAsia="Arial" w:hAnsi="Arial"/>
                <w:sz w:val="20"/>
                <w:szCs w:val="20"/>
                <w:color w:val="B4B4B4"/>
                <w:w w:val="92"/>
              </w:rPr>
              <w:t>. . . . . . . . . . . . . . . . . . . . . . . . . . . . . . . . . . . . . . . . . . . . . . . . . . . . . . .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2</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3</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84"/>
        </w:trPr>
        <w:tc>
          <w:tcPr>
            <w:tcW w:w="6740" w:type="dxa"/>
            <w:vAlign w:val="bottom"/>
          </w:tcPr>
          <w:p>
            <w:pPr>
              <w:jc w:val="right"/>
              <w:spacing w:after="0"/>
              <w:rPr>
                <w:sz w:val="20"/>
                <w:szCs w:val="20"/>
                <w:color w:val="auto"/>
              </w:rPr>
            </w:pPr>
            <w:r>
              <w:rPr>
                <w:rFonts w:ascii="Arial" w:cs="Arial" w:eastAsia="Arial" w:hAnsi="Arial"/>
                <w:sz w:val="20"/>
                <w:szCs w:val="20"/>
                <w:color w:val="auto"/>
                <w:w w:val="91"/>
              </w:rPr>
              <w:t xml:space="preserve">Gas </w:t>
            </w:r>
            <w:r>
              <w:rPr>
                <w:rFonts w:ascii="Arial" w:cs="Arial" w:eastAsia="Arial" w:hAnsi="Arial"/>
                <w:sz w:val="20"/>
                <w:szCs w:val="20"/>
                <w:color w:val="B4B4B4"/>
                <w:w w:val="91"/>
              </w:rPr>
              <w:t>. . . . . . . . . . . . . . . . . . . . . . . . . . . . . . . . . . . . . . . . . . . . . . . . . . . . . . . . . . . . .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685</w:t>
            </w:r>
          </w:p>
        </w:tc>
        <w:tc>
          <w:tcPr>
            <w:tcW w:w="6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537</w:t>
            </w:r>
          </w:p>
        </w:tc>
        <w:tc>
          <w:tcPr>
            <w:tcW w:w="0" w:type="dxa"/>
            <w:vAlign w:val="bottom"/>
          </w:tcPr>
          <w:p>
            <w:pPr>
              <w:spacing w:after="0"/>
              <w:rPr>
                <w:sz w:val="1"/>
                <w:szCs w:val="1"/>
                <w:color w:val="auto"/>
              </w:rPr>
            </w:pPr>
          </w:p>
        </w:tc>
      </w:tr>
      <w:tr>
        <w:trPr>
          <w:trHeight w:val="242"/>
        </w:trPr>
        <w:tc>
          <w:tcPr>
            <w:tcW w:w="6740" w:type="dxa"/>
            <w:vAlign w:val="bottom"/>
          </w:tcPr>
          <w:p>
            <w:pPr>
              <w:jc w:val="right"/>
              <w:spacing w:after="0"/>
              <w:rPr>
                <w:sz w:val="20"/>
                <w:szCs w:val="20"/>
                <w:color w:val="auto"/>
              </w:rPr>
            </w:pPr>
            <w:r>
              <w:rPr>
                <w:rFonts w:ascii="Arial" w:cs="Arial" w:eastAsia="Arial" w:hAnsi="Arial"/>
                <w:sz w:val="20"/>
                <w:szCs w:val="20"/>
                <w:color w:val="auto"/>
                <w:w w:val="93"/>
              </w:rPr>
              <w:t xml:space="preserve">Total East </w:t>
            </w:r>
            <w:r>
              <w:rPr>
                <w:rFonts w:ascii="Arial" w:cs="Arial" w:eastAsia="Arial" w:hAnsi="Arial"/>
                <w:sz w:val="20"/>
                <w:szCs w:val="20"/>
                <w:color w:val="B4B4B4"/>
                <w:w w:val="93"/>
              </w:rPr>
              <w:t>. . . . . . . . . . . . . . . . . . . . . . . . . . . . . . . . . . . . . . . . . . . . . . . . .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2,372</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2,016</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7,282</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80"/>
              <w:spacing w:after="0"/>
              <w:rPr>
                <w:sz w:val="20"/>
                <w:szCs w:val="20"/>
                <w:color w:val="auto"/>
              </w:rPr>
            </w:pPr>
            <w:r>
              <w:rPr>
                <w:rFonts w:ascii="Arial" w:cs="Arial" w:eastAsia="Arial" w:hAnsi="Arial"/>
                <w:sz w:val="20"/>
                <w:szCs w:val="20"/>
                <w:b w:val="1"/>
                <w:bCs w:val="1"/>
                <w:color w:val="auto"/>
              </w:rPr>
              <w:t>West/Services/Other</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74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6740" w:type="dxa"/>
            <w:vAlign w:val="bottom"/>
          </w:tcPr>
          <w:p>
            <w:pPr>
              <w:jc w:val="right"/>
              <w:spacing w:after="0"/>
              <w:rPr>
                <w:sz w:val="20"/>
                <w:szCs w:val="20"/>
                <w:color w:val="auto"/>
              </w:rPr>
            </w:pPr>
            <w:r>
              <w:rPr>
                <w:rFonts w:ascii="Arial" w:cs="Arial" w:eastAsia="Arial" w:hAnsi="Arial"/>
                <w:sz w:val="20"/>
                <w:szCs w:val="20"/>
                <w:color w:val="auto"/>
                <w:w w:val="91"/>
              </w:rPr>
              <w:t xml:space="preserve">Gas </w:t>
            </w:r>
            <w:r>
              <w:rPr>
                <w:rFonts w:ascii="Arial" w:cs="Arial" w:eastAsia="Arial" w:hAnsi="Arial"/>
                <w:sz w:val="20"/>
                <w:szCs w:val="20"/>
                <w:color w:val="B4B4B4"/>
                <w:w w:val="91"/>
              </w:rPr>
              <w:t>. . . . . . . . . . . . . . . . . . . . . . . . . . . . . . . . . . . . . . . . . . . . . . . . . . . . . . .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5,974</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5,899</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6,669</w:t>
            </w:r>
          </w:p>
        </w:tc>
        <w:tc>
          <w:tcPr>
            <w:tcW w:w="0" w:type="dxa"/>
            <w:vAlign w:val="bottom"/>
          </w:tcPr>
          <w:p>
            <w:pPr>
              <w:spacing w:after="0"/>
              <w:rPr>
                <w:sz w:val="1"/>
                <w:szCs w:val="1"/>
                <w:color w:val="auto"/>
              </w:rPr>
            </w:pPr>
          </w:p>
        </w:tc>
      </w:tr>
      <w:tr>
        <w:trPr>
          <w:trHeight w:val="284"/>
        </w:trPr>
        <w:tc>
          <w:tcPr>
            <w:tcW w:w="6740" w:type="dxa"/>
            <w:vAlign w:val="bottom"/>
          </w:tcPr>
          <w:p>
            <w:pPr>
              <w:jc w:val="right"/>
              <w:spacing w:after="0"/>
              <w:rPr>
                <w:sz w:val="20"/>
                <w:szCs w:val="20"/>
                <w:color w:val="auto"/>
              </w:rPr>
            </w:pPr>
            <w:r>
              <w:rPr>
                <w:rFonts w:ascii="Arial" w:cs="Arial" w:eastAsia="Arial" w:hAnsi="Arial"/>
                <w:sz w:val="20"/>
                <w:szCs w:val="20"/>
                <w:color w:val="auto"/>
                <w:w w:val="91"/>
              </w:rPr>
              <w:t xml:space="preserve">Renewables  </w:t>
            </w:r>
            <w:r>
              <w:rPr>
                <w:rFonts w:ascii="Arial" w:cs="Arial" w:eastAsia="Arial" w:hAnsi="Arial"/>
                <w:sz w:val="20"/>
                <w:szCs w:val="20"/>
                <w:color w:val="B4B4B4"/>
                <w:w w:val="91"/>
              </w:rPr>
              <w:t>. . . . . . . . . . . . . . . . . . . . . . . . . . . . . . . . . . . . . . . . . . . . . . . . . . . . . .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42"/>
        </w:trPr>
        <w:tc>
          <w:tcPr>
            <w:tcW w:w="6740" w:type="dxa"/>
            <w:vAlign w:val="bottom"/>
          </w:tcPr>
          <w:p>
            <w:pPr>
              <w:jc w:val="right"/>
              <w:spacing w:after="0"/>
              <w:rPr>
                <w:sz w:val="20"/>
                <w:szCs w:val="20"/>
                <w:color w:val="auto"/>
              </w:rPr>
            </w:pPr>
            <w:r>
              <w:rPr>
                <w:rFonts w:ascii="Arial" w:cs="Arial" w:eastAsia="Arial" w:hAnsi="Arial"/>
                <w:sz w:val="20"/>
                <w:szCs w:val="20"/>
                <w:color w:val="auto"/>
                <w:w w:val="94"/>
              </w:rPr>
              <w:t xml:space="preserve">Total West/Services/Other  </w:t>
            </w:r>
            <w:r>
              <w:rPr>
                <w:rFonts w:ascii="Arial" w:cs="Arial" w:eastAsia="Arial" w:hAnsi="Arial"/>
                <w:sz w:val="20"/>
                <w:szCs w:val="20"/>
                <w:color w:val="B4B4B4"/>
                <w:w w:val="94"/>
              </w:rPr>
              <w:t>. . . . . . . . . . . . . . . . . . . . . . . . . . . . . . . . . . . . . . . . .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5,977</w:t>
            </w:r>
          </w:p>
        </w:tc>
        <w:tc>
          <w:tcPr>
            <w:tcW w:w="8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5,903</w:t>
            </w:r>
          </w:p>
        </w:tc>
        <w:tc>
          <w:tcPr>
            <w:tcW w:w="6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6,676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80"/>
              <w:spacing w:after="0"/>
              <w:rPr>
                <w:sz w:val="20"/>
                <w:szCs w:val="20"/>
                <w:color w:val="auto"/>
              </w:rPr>
            </w:pPr>
            <w:r>
              <w:rPr>
                <w:rFonts w:ascii="Arial" w:cs="Arial" w:eastAsia="Arial" w:hAnsi="Arial"/>
                <w:sz w:val="20"/>
                <w:szCs w:val="20"/>
                <w:b w:val="1"/>
                <w:bCs w:val="1"/>
                <w:color w:val="auto"/>
              </w:rPr>
              <w:t>Total generation performance</w:t>
            </w: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740" w:type="dxa"/>
            <w:vAlign w:val="bottom"/>
            <w:vMerge w:val="continue"/>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vMerge w:val="continue"/>
          </w:tcPr>
          <w:p>
            <w:pPr>
              <w:jc w:val="right"/>
              <w:spacing w:after="0" w:line="200" w:lineRule="exact"/>
              <w:rPr>
                <w:sz w:val="20"/>
                <w:szCs w:val="20"/>
                <w:color w:val="auto"/>
              </w:rPr>
            </w:pPr>
            <w:r>
              <w:rPr>
                <w:rFonts w:ascii="Arial" w:cs="Arial" w:eastAsia="Arial" w:hAnsi="Arial"/>
                <w:sz w:val="20"/>
                <w:szCs w:val="20"/>
                <w:b w:val="1"/>
                <w:bCs w:val="1"/>
                <w:color w:val="B4B4B4"/>
              </w:rPr>
              <w:t>. . . . . . . . . . . . . . . . . . . . . . . . . . . . . . . . .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31,699</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38,695</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51,233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-2897505</wp:posOffset>
            </wp:positionV>
            <wp:extent cx="6466205" cy="2904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extLst>
                    </a:blip>
                    <a:srcRect/>
                    <a:stretch>
                      <a:fillRect/>
                    </a:stretch>
                  </pic:blipFill>
                  <pic:spPr bwMode="auto">
                    <a:xfrm>
                      <a:off x="0" y="0"/>
                      <a:ext cx="6466205" cy="2904490"/>
                    </a:xfrm>
                    <a:prstGeom prst="rect">
                      <a:avLst/>
                    </a:prstGeom>
                    <a:noFill/>
                  </pic:spPr>
                </pic:pic>
              </a:graphicData>
            </a:graphic>
          </wp:anchor>
        </w:drawing>
      </w:r>
    </w:p>
    <w:p>
      <w:pPr>
        <w:ind w:left="440" w:hanging="439"/>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Reflects the Company's undivided interest in total MWh generated by STP. The Company sold its interest in STP on November 1, 2023</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13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While there has been consolidation in the competitive retail energy space over the past few years, there is still considerable competition for customers. In Texas, there is healthy competition in deregulated areas and customers can choose providers based on the most appealing offers. Outside of Texas, electricity retailers compete with the incumbent utilities, in addition to other retail electric providers, which can inhibit competition depending on the market rules of the state. There is a high degree of fragmentation, with both large and small competitors offering a range of value propositions, including value, rewards, and sustainability-based offerings.</w:t>
      </w:r>
    </w:p>
    <w:p>
      <w:pPr>
        <w:spacing w:after="0" w:line="9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Wholesale generation is highly fragmented and diverse in terms of industry structure by region. As such, there is wide variation in the capabilities, resources, nature and identities of the Company’s competitors depending on the market. Competitors include regulated utilities, municipalities, cooperatives, other independent power producers, and power marketers or trading companies, including those owned by financial institutions.</w:t>
      </w:r>
    </w:p>
    <w:p>
      <w:pPr>
        <w:spacing w:after="0" w:line="84"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9"/>
          <w:szCs w:val="19"/>
          <w:color w:val="auto"/>
        </w:rPr>
        <w:t>The smart home market is an expanding global opportunity and is in the early stages of broad consumer adoption. It is highly competitive and fragmented. Major competitors range from large-cap technology companies seeking to expand their core market opportunity who predominantly offer do-it-yourself devices that put a large burden on homeowners to self-install and support many devices, to security-based providers, as well as industrial and telecommunications companies that offer connected home experiences. Vivint Smart Home provides the full smart home experience, with an end-to-end solution that includes a wide range of unique capabilities and use cases. Currently, the vast majority of competitors do not offer comprehensive smart home solutions and accompanying services.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 and Price Volatility</w:t>
      </w:r>
    </w:p>
    <w:p>
      <w:pPr>
        <w:spacing w:after="0" w:line="134" w:lineRule="exact"/>
        <w:rPr>
          <w:sz w:val="20"/>
          <w:szCs w:val="20"/>
          <w:color w:val="auto"/>
        </w:rPr>
      </w:pPr>
    </w:p>
    <w:p>
      <w:pPr>
        <w:jc w:val="both"/>
        <w:ind w:firstLine="463"/>
        <w:spacing w:after="0" w:line="305" w:lineRule="auto"/>
        <w:rPr>
          <w:sz w:val="20"/>
          <w:szCs w:val="20"/>
          <w:color w:val="auto"/>
        </w:rPr>
      </w:pPr>
      <w:r>
        <w:rPr>
          <w:rFonts w:ascii="Arial" w:cs="Arial" w:eastAsia="Arial" w:hAnsi="Arial"/>
          <w:sz w:val="18"/>
          <w:szCs w:val="18"/>
          <w:color w:val="auto"/>
        </w:rPr>
        <w:t>The sale of power and natural gas to retail customers are seasonal businesses with the demand for power generally peaking during the summer, and the demand for natural gas generally peaking during the winter. As a result, net working capital requirements for the Company's retail operations generally increase during summer and winter months along with the</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880" w:h="15480" w:orient="portrait"/>
          <w:cols w:equalWidth="0" w:num="1">
            <w:col w:w="10160"/>
          </w:cols>
          <w:pgMar w:left="860" w:top="512" w:right="860" w:bottom="0" w:gutter="0" w:footer="0" w:header="0"/>
          <w:type w:val="continuous"/>
        </w:sectPr>
      </w:pPr>
    </w:p>
    <w:bookmarkStart w:id="15" w:name="page16"/>
    <w:bookmarkEnd w:id="15"/>
    <w:p>
      <w:pPr>
        <w:jc w:val="both"/>
        <w:spacing w:after="0" w:line="257" w:lineRule="auto"/>
        <w:rPr>
          <w:sz w:val="20"/>
          <w:szCs w:val="20"/>
          <w:color w:val="auto"/>
        </w:rPr>
      </w:pPr>
      <w:r>
        <w:rPr>
          <w:rFonts w:ascii="Arial" w:cs="Arial" w:eastAsia="Arial" w:hAnsi="Arial"/>
          <w:sz w:val="20"/>
          <w:szCs w:val="20"/>
          <w:color w:val="auto"/>
        </w:rPr>
        <w:t>higher revenues, and then decline during off-peak months. Weather may impact operating results and extreme weather conditions could have a material impact. The rates charged to retail customers may be impacted by fluctuations in total power prices and market dynamics, such as the price of natural gas, transmission constraints, competitor actions, and changes in market heat rates.</w:t>
      </w:r>
    </w:p>
    <w:p>
      <w:pPr>
        <w:spacing w:after="0" w:line="84" w:lineRule="exact"/>
        <w:rPr>
          <w:sz w:val="20"/>
          <w:szCs w:val="20"/>
          <w:color w:val="auto"/>
        </w:rPr>
      </w:pPr>
    </w:p>
    <w:p>
      <w:pPr>
        <w:jc w:val="both"/>
        <w:ind w:firstLine="463"/>
        <w:spacing w:after="0" w:line="295" w:lineRule="auto"/>
        <w:rPr>
          <w:sz w:val="20"/>
          <w:szCs w:val="20"/>
          <w:color w:val="auto"/>
        </w:rPr>
      </w:pPr>
      <w:r>
        <w:rPr>
          <w:rFonts w:ascii="Arial" w:cs="Arial" w:eastAsia="Arial" w:hAnsi="Arial"/>
          <w:sz w:val="18"/>
          <w:szCs w:val="18"/>
          <w:color w:val="auto"/>
        </w:rPr>
        <w:t>Annual and quarterly operating results of the Company's generation portfolio can be significantly affected by weather and energy commodity price volatility. Significant other events, such as the demand for natural gas, interruptions in fuel supply infrastructure and relative levels of hydroelectric capacity can increase seasonal fuel and power price volatility. The preceding factors related to seasonality and price volatility are fairly uniform across the regions in which the Company operates.</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Framework</w:t>
      </w:r>
    </w:p>
    <w:p>
      <w:pPr>
        <w:spacing w:after="0" w:line="134" w:lineRule="exact"/>
        <w:rPr>
          <w:sz w:val="20"/>
          <w:szCs w:val="20"/>
          <w:color w:val="auto"/>
        </w:rPr>
      </w:pPr>
    </w:p>
    <w:p>
      <w:pPr>
        <w:jc w:val="both"/>
        <w:ind w:firstLine="445"/>
        <w:spacing w:after="0" w:line="281" w:lineRule="auto"/>
        <w:rPr>
          <w:sz w:val="20"/>
          <w:szCs w:val="20"/>
          <w:color w:val="auto"/>
        </w:rPr>
      </w:pPr>
      <w:r>
        <w:rPr>
          <w:rFonts w:ascii="Arial" w:cs="Arial" w:eastAsia="Arial" w:hAnsi="Arial"/>
          <w:sz w:val="18"/>
          <w:szCs w:val="18"/>
          <w:color w:val="auto"/>
        </w:rPr>
        <w:t>NRG sells electricity, natural gas and related products and services, and smart home products and services to customers throughout the U.S. and Canada. In most of the states and regions that have introduced retail consumer choice, NRG competitively offers electricity, natural gas and other value-enhancing services to customers. Each retail consumer choice state or province establishes its own retail competition laws and regulations, and the specific operational, licensing, and compliance requirements vary by state or province. Regulated terms and conditions of default service, as well as any movement to replace default service with competitive services, as is done in ERCOT, can affect customer participation in retail competition. In Canada, NRG sells energy and related services to residential and commercial customers in the province of Alberta pursuant both to a regulated rate service governed by provincial regulations as well as a competitive service with rates set by market forces. Sales of energy to commercial customers take place in other provinces as well. The attractiveness of NRG's retail offerings may be impacted by the rules, regulations, market structure and communication requirements from public utility commissions in each state and province.</w:t>
      </w:r>
    </w:p>
    <w:p>
      <w:pPr>
        <w:spacing w:after="0" w:line="67"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9"/>
          <w:szCs w:val="19"/>
          <w:color w:val="auto"/>
        </w:rPr>
        <w:t>NRG's fleet of power plants which it owns, operates or manages are located in organized energy markets, known as RTOs or ISOs. Each organized market administers day-ahead and real-time centralized bid-based energy and ancillary services markets pursuant to tariffs approved by FERC, or in the case of ERCOT, market rules approved by the PUCT. These tariffs and rules dictate how the energy markets operate, how market participants make bilateral sales with one another and how entities with market-based rates are compensated. Established prices reflect the value of energy at the specific location and time it is delivered, which is known as the Locational Marginal Price. Each market is subject to market mitigation measures designed to limit the exercise of locational market power. These market structures facilitate NRG's sale of power and capacity products at market-based rates.</w:t>
      </w:r>
    </w:p>
    <w:p>
      <w:pPr>
        <w:spacing w:after="0" w:line="75" w:lineRule="exact"/>
        <w:rPr>
          <w:sz w:val="20"/>
          <w:szCs w:val="20"/>
          <w:color w:val="auto"/>
        </w:rPr>
      </w:pPr>
    </w:p>
    <w:p>
      <w:pPr>
        <w:jc w:val="both"/>
        <w:ind w:firstLine="445"/>
        <w:spacing w:after="0" w:line="358" w:lineRule="auto"/>
        <w:rPr>
          <w:sz w:val="20"/>
          <w:szCs w:val="20"/>
          <w:color w:val="auto"/>
        </w:rPr>
      </w:pPr>
      <w:r>
        <w:rPr>
          <w:rFonts w:ascii="Arial" w:cs="Arial" w:eastAsia="Arial" w:hAnsi="Arial"/>
          <w:sz w:val="16"/>
          <w:szCs w:val="16"/>
          <w:color w:val="auto"/>
        </w:rPr>
        <w:t>Other than ERCOT and AESO, each of the ISO regions also operates a capacity or resource adequacy market that provides an opportunity for generating and demand response resources to earn revenues to offset their fixed costs that are not recovered in the energy and ancillary services markets. The ISOs are also responsible for transmission planning and operations.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Texas</w:t>
      </w:r>
    </w:p>
    <w:p>
      <w:pPr>
        <w:spacing w:after="0" w:line="11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9"/>
          <w:szCs w:val="19"/>
          <w:color w:val="auto"/>
        </w:rPr>
        <w:t>NRG's business in Texas is subject to standards and regulations adopted by the PUCT and ERCOT</w:t>
      </w:r>
      <w:r>
        <w:rPr>
          <w:rFonts w:ascii="Arial" w:cs="Arial" w:eastAsia="Arial" w:hAnsi="Arial"/>
          <w:sz w:val="24"/>
          <w:szCs w:val="24"/>
          <w:color w:val="auto"/>
          <w:vertAlign w:val="superscript"/>
        </w:rPr>
        <w:t>1</w:t>
      </w:r>
      <w:r>
        <w:rPr>
          <w:rFonts w:ascii="Arial" w:cs="Arial" w:eastAsia="Arial" w:hAnsi="Arial"/>
          <w:sz w:val="19"/>
          <w:szCs w:val="19"/>
          <w:color w:val="auto"/>
        </w:rPr>
        <w:t>, including the requirement for retailers to be certified by the PUCT in order to contract with end-users to sell electricity. The ERCOT market is one of the nation's largest and, historically, fastest growing power markets. ERCOT is an energy-only market. The majority of the retail load in the ERCOT market region is served by competitive retail suppliers, except certain areas that have not opted into competitive consumer choice and are served by municipal utilities and electric cooperatives.</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East</w:t>
      </w:r>
    </w:p>
    <w:p>
      <w:pPr>
        <w:spacing w:after="0" w:line="130"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While most of the states in the East region of the U.S. have introduced some level of retail consumer choice for electricity and/or natural gas, the incumbent utilities currently provide default service in most of the states and as a result typically serve the majority of residential customers. NRG’s retail activities in the East include both direct sales to end-use customers as well as sales through municipal aggregations, both of which are subject to standards and regulations adopted by the ISOs, state public utility commissions and legislators, including the requirement for retailers to be certified in each state in order to contract with end-users to sell electricity.</w:t>
      </w:r>
    </w:p>
    <w:p>
      <w:pPr>
        <w:spacing w:after="0" w:line="90" w:lineRule="exact"/>
        <w:rPr>
          <w:sz w:val="20"/>
          <w:szCs w:val="20"/>
          <w:color w:val="auto"/>
        </w:rPr>
      </w:pPr>
    </w:p>
    <w:p>
      <w:pPr>
        <w:jc w:val="both"/>
        <w:ind w:firstLine="445"/>
        <w:spacing w:after="0" w:line="323" w:lineRule="auto"/>
        <w:rPr>
          <w:sz w:val="20"/>
          <w:szCs w:val="20"/>
          <w:color w:val="auto"/>
        </w:rPr>
      </w:pPr>
      <w:r>
        <w:rPr>
          <w:rFonts w:ascii="Arial" w:cs="Arial" w:eastAsia="Arial" w:hAnsi="Arial"/>
          <w:sz w:val="16"/>
          <w:szCs w:val="16"/>
          <w:color w:val="auto"/>
        </w:rPr>
        <w:t>Power plants owned, operated or managed by NRG and NRG's demand response assets located in the East region of the U.S. are within the control areas of PJM, NYISO, ISO-NE and MISO. Each of the market regions in the East region provides for robust competition in the day-ahead and real-time energy and ancillary services markets. Additionally, the assets in the East region receive a significant portion of their revenues from capacity markets. PJM and ISO-NE use a forward capacity auction, while NYISO uses a month-ahead capacity auction. MISO has an annual auction. Capacity market prices are sensitive to design parameters, as well as additions of new capacity. PJM and ISO-NE operate a pay-for-performance model where capacity payments are modified based on real-time generator performance during certain system conditions. In such markets, NRG’s actual capacity revenues will be the combination of cleared auction prices times the quantity of MW cleared, plus the net of 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56515</wp:posOffset>
                </wp:positionV>
                <wp:extent cx="25146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4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4.45pt" to="198.05pt,4.45pt" o:allowincell="f" strokecolor="#000000" strokeweight="1pt"/>
            </w:pict>
          </mc:Fallback>
        </mc:AlternateContent>
      </w:r>
    </w:p>
    <w:p>
      <w:pPr>
        <w:spacing w:after="0" w:line="55" w:lineRule="exact"/>
        <w:rPr>
          <w:sz w:val="20"/>
          <w:szCs w:val="20"/>
          <w:color w:val="auto"/>
        </w:rPr>
      </w:pPr>
    </w:p>
    <w:p>
      <w:pPr>
        <w:ind w:left="120" w:hanging="119"/>
        <w:spacing w:after="0"/>
        <w:tabs>
          <w:tab w:leader="none" w:pos="12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The Cottonwood facility is located in Deweyville, Texas, but operates in the MISO market</w:t>
      </w:r>
    </w:p>
    <w:p>
      <w:pPr>
        <w:sectPr>
          <w:pgSz w:w="11880" w:h="15480" w:orient="portrait"/>
          <w:cols w:equalWidth="0" w:num="1">
            <w:col w:w="10160"/>
          </w:cols>
          <w:pgMar w:left="860" w:top="512" w:right="860" w:bottom="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880" w:h="15480" w:orient="portrait"/>
          <w:cols w:equalWidth="0" w:num="1">
            <w:col w:w="10160"/>
          </w:cols>
          <w:pgMar w:left="860" w:top="512" w:right="860" w:bottom="0" w:gutter="0" w:footer="0" w:header="0"/>
          <w:type w:val="continuous"/>
        </w:sectPr>
      </w:pPr>
    </w:p>
    <w:bookmarkStart w:id="16" w:name="page17"/>
    <w:bookmarkEnd w:id="16"/>
    <w:p>
      <w:pPr>
        <w:jc w:val="both"/>
        <w:spacing w:after="0" w:line="277" w:lineRule="auto"/>
        <w:rPr>
          <w:sz w:val="20"/>
          <w:szCs w:val="20"/>
          <w:color w:val="auto"/>
        </w:rPr>
      </w:pPr>
      <w:r>
        <w:rPr>
          <w:rFonts w:ascii="Arial" w:cs="Arial" w:eastAsia="Arial" w:hAnsi="Arial"/>
          <w:sz w:val="20"/>
          <w:szCs w:val="20"/>
          <w:color w:val="auto"/>
        </w:rPr>
        <w:t>over-performance "bonus payments" and any under-performance charges. Additionally, bidding rules allow for the incorporation of a risk premium into generator bids.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West</w:t>
      </w:r>
    </w:p>
    <w:p>
      <w:pPr>
        <w:spacing w:after="0" w:line="130" w:lineRule="exact"/>
        <w:rPr>
          <w:sz w:val="20"/>
          <w:szCs w:val="20"/>
          <w:color w:val="auto"/>
        </w:rPr>
      </w:pPr>
    </w:p>
    <w:p>
      <w:pPr>
        <w:jc w:val="both"/>
        <w:ind w:firstLine="445"/>
        <w:spacing w:after="0" w:line="281" w:lineRule="auto"/>
        <w:rPr>
          <w:sz w:val="20"/>
          <w:szCs w:val="20"/>
          <w:color w:val="auto"/>
        </w:rPr>
      </w:pPr>
      <w:r>
        <w:rPr>
          <w:rFonts w:ascii="Arial" w:cs="Arial" w:eastAsia="Arial" w:hAnsi="Arial"/>
          <w:sz w:val="18"/>
          <w:szCs w:val="18"/>
          <w:color w:val="auto"/>
        </w:rPr>
        <w:t>In the West region of the U.S., NRG is an LSE and sells electricity at retail in California’s Direct Access marketplace, as well as through community choice aggregations in the state. Additionally, NRG sells natural gas as both a retail supplier and wholesaler principally in California. NRG also owns equity interests in, operates, or manages power plants located entirely within the CAISO footprint. The CAISO operates day-ahead and real-time locational markets for energy and ancillary services, while managing congestion primarily through nodal prices. The CAISO system facilitates NRG's sale and purchase of power, ancillary services and capacity products at market-based rates, either within the CAISO's centralized energy and ancillary service markets or bilaterally. The CPUC also determines capacity requirements for LSEs and for specified local areas utilizing inputs from the CAISO. Both the CAISO and CPUC rules require LSEs to contract with sufficient generation resources in order to maintain minimum levels of generation within defined local areas. Additionally, the CAISO has independent authority to contract with needed resources under certain circumstances, typically either when LSEs have failed to procure sufficient resources, or system conditions change unexpectedly.</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Canada</w:t>
      </w:r>
    </w:p>
    <w:p>
      <w:pPr>
        <w:spacing w:after="0" w:line="130"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9"/>
          <w:szCs w:val="19"/>
          <w:color w:val="auto"/>
        </w:rPr>
        <w:t>In Canada, NRG sells to residential and commercial retail customers in Alberta, within the AESO footprint, under both regulated rates approved by the AUC as well as through competitive service. The Company's regulated rates are approved through periodic rate applications that establish rates for power and gas sales as well as for recovery of other costs associated with operating the regulated business. In addition, the Company sells energy to commercial customers in other provinces. All sales and operations are subject to applicable federal and provincial laws and regulations.</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Vivint Smart Home</w:t>
      </w:r>
    </w:p>
    <w:p>
      <w:pPr>
        <w:spacing w:after="0" w:line="130"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Vivint Smart Home operates in all states throughout the U.S. that regulate in some manner the sale, installation, servicing, monitoring or maintenance of smart home and electronic security systems. Vivint Smart Home and its sales representatives are typically required to obtain and maintain licenses, certifications or similar permits from governmental entities as a condition to engaging in the smart home and security service business. Vivint Smart Home is subject to federal and state laws related to consumer financing which may include rules related to fees and charges, disclosures and regulation of the party extending consumer credit.</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Energy Regulatory Matters</w:t>
      </w:r>
    </w:p>
    <w:p>
      <w:pPr>
        <w:spacing w:after="0" w:line="134"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8"/>
          <w:szCs w:val="18"/>
          <w:color w:val="auto"/>
        </w:rPr>
        <w:t>As participants in wholesale and retail energy markets and owners and operators of power plants, certain NRG entities are subject to regulation by various federal and state government agencies. These include the CFTC, FERC, NRC and the PUCT, as well as other public utility commissions in certain states where NRG's generation or distributed generation assets are located. In addition, NRG is subject to the market rules, procedures and protocols of the various ISO and RTO markets in which it participates. Likewise, certain NRG entities participating in the retail markets are subject to rules and regulations established by the states and provinces in which NRG entities are licensed to sell at retail. NRG must also comply with the mandatory reliability requirements imposed by NERC and the regional reliability entities in the regions where NRG operates.</w:t>
      </w:r>
    </w:p>
    <w:p>
      <w:pPr>
        <w:spacing w:after="0" w:line="61" w:lineRule="exact"/>
        <w:rPr>
          <w:sz w:val="20"/>
          <w:szCs w:val="20"/>
          <w:color w:val="auto"/>
        </w:rPr>
      </w:pPr>
    </w:p>
    <w:p>
      <w:pPr>
        <w:jc w:val="both"/>
        <w:ind w:firstLine="445"/>
        <w:spacing w:after="0" w:line="335" w:lineRule="auto"/>
        <w:rPr>
          <w:sz w:val="20"/>
          <w:szCs w:val="20"/>
          <w:color w:val="auto"/>
        </w:rPr>
      </w:pPr>
      <w:r>
        <w:rPr>
          <w:rFonts w:ascii="Arial" w:cs="Arial" w:eastAsia="Arial" w:hAnsi="Arial"/>
          <w:sz w:val="18"/>
          <w:szCs w:val="18"/>
          <w:color w:val="auto"/>
        </w:rPr>
        <w:t>NRG's operations within the ERCOT footprint are not subject to rate regulation by FERC, as they are deemed to operate solely within the ERCOT market and not in interstate commerce. These operations are subject to regulation by the PUCT.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State and Provincial Energy Regulation</w:t>
      </w:r>
    </w:p>
    <w:p>
      <w:pPr>
        <w:spacing w:after="0" w:line="130" w:lineRule="exact"/>
        <w:rPr>
          <w:sz w:val="20"/>
          <w:szCs w:val="20"/>
          <w:color w:val="auto"/>
        </w:rPr>
      </w:pPr>
    </w:p>
    <w:p>
      <w:pPr>
        <w:jc w:val="both"/>
        <w:ind w:firstLine="445"/>
        <w:spacing w:after="0" w:line="280" w:lineRule="auto"/>
        <w:rPr>
          <w:sz w:val="20"/>
          <w:szCs w:val="20"/>
          <w:color w:val="auto"/>
        </w:rPr>
      </w:pPr>
      <w:r>
        <w:rPr>
          <w:rFonts w:ascii="Arial" w:cs="Arial" w:eastAsia="Arial" w:hAnsi="Arial"/>
          <w:sz w:val="18"/>
          <w:szCs w:val="18"/>
          <w:b w:val="1"/>
          <w:bCs w:val="1"/>
          <w:i w:val="1"/>
          <w:iCs w:val="1"/>
          <w:color w:val="auto"/>
        </w:rPr>
        <w:t xml:space="preserve">Maryland Legislation </w:t>
      </w:r>
      <w:r>
        <w:rPr>
          <w:rFonts w:ascii="Arial" w:cs="Arial" w:eastAsia="Arial" w:hAnsi="Arial"/>
          <w:sz w:val="18"/>
          <w:szCs w:val="18"/>
          <w:color w:val="auto"/>
        </w:rPr>
        <w:t>— On May 9, 2024, Maryland Governor Wes Moore signed Senate Bill 1 into law, which restricts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competitive retail electric and natural gas market in Maryland, affecting residential customers but not commercial and industrial customers. Key provisions of the law took effect on January 1, 2025. The legislation imposes a price cap on residential contracts tied to a trailing 12-month historical average of utility rates, with only a limited exception for renewable power products. Renewable products must now have their price pre-approved by the Maryland Public Service Commission and source their renewable electricity certificates from within the PJM region. The law also requires that any variable-price contract not contain a change in price more than once a year, except time-of-use contracts, and limits contract terms to 12 months. It requires affirmative consent for the renewal of customer contracts for renewable power products. The law also imposes licensing requirements on energy salespeople. The law states that it does not impair existing contracts. On October 1, 2024, Green Mountain Energy Company, NRG’s renewable electricity provider, along with a retail trade association to which NRG belongs, filed a lawsuit in federal court challenging the constitutionality of Senate Bill 1. On November 18, 2024, the trial court denied the plaintiffs' motion for a preliminary injunction. The plaintiffs, including Green Mountain, have filed an appeal to this denial to the Fourth Circuit Court of Appeals. The appeal is pending.</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880" w:h="15480" w:orient="portrait"/>
          <w:cols w:equalWidth="0" w:num="1">
            <w:col w:w="10160"/>
          </w:cols>
          <w:pgMar w:left="860" w:top="512" w:right="860" w:bottom="0" w:gutter="0" w:footer="0" w:header="0"/>
          <w:type w:val="continuous"/>
        </w:sectPr>
      </w:pPr>
    </w:p>
    <w:bookmarkStart w:id="17" w:name="page18"/>
    <w:bookmarkEnd w:id="17"/>
    <w:p>
      <w:pPr>
        <w:jc w:val="both"/>
        <w:ind w:firstLine="445"/>
        <w:spacing w:after="0" w:line="326" w:lineRule="auto"/>
        <w:rPr>
          <w:sz w:val="20"/>
          <w:szCs w:val="20"/>
          <w:color w:val="auto"/>
        </w:rPr>
      </w:pPr>
      <w:r>
        <w:rPr>
          <w:rFonts w:ascii="Arial" w:cs="Arial" w:eastAsia="Arial" w:hAnsi="Arial"/>
          <w:sz w:val="16"/>
          <w:szCs w:val="16"/>
          <w:b w:val="1"/>
          <w:bCs w:val="1"/>
          <w:i w:val="1"/>
          <w:iCs w:val="1"/>
          <w:color w:val="auto"/>
        </w:rPr>
        <w:t xml:space="preserve">Alberta Rate of Last Resort </w:t>
      </w:r>
      <w:r>
        <w:rPr>
          <w:rFonts w:ascii="Arial" w:cs="Arial" w:eastAsia="Arial" w:hAnsi="Arial"/>
          <w:sz w:val="16"/>
          <w:szCs w:val="16"/>
          <w:color w:val="auto"/>
        </w:rPr>
        <w:t>— On September 27, 2024, the government of Alberta legislative assembly adopted the 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Last Resort Regulation to transition the regulated electricity rate from a monthly, variable rate “Regulated Rate Option” to a two-year, fixed rate “Rate of Last Resort” effective January 1, 2025. On November 29, 2024, the Alberta Utilities Commission approved a negotiated settlement between Direct Energy Regulated Services and the Utilities Consumer Advocate to establish the Rate of Last Resort price-setting methodology as well as the rate itself for the first two years of the four-year period. Under the government’s regulation, customers may return to the Rate of Last Resort at any time, and the price for the second two-year term may only vary from the first two-year term by 10%. The new rates may provide risks and benefits to the Company.</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Regional Regulatory Developments</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 xml:space="preserve">NRG is affected by rule/tariff changes that occur in the ISO regions. For further discussion on regulatory developments, see Item 15 — Note 23, </w:t>
      </w:r>
      <w:r>
        <w:rPr>
          <w:rFonts w:ascii="Arial" w:cs="Arial" w:eastAsia="Arial" w:hAnsi="Arial"/>
          <w:sz w:val="20"/>
          <w:szCs w:val="20"/>
          <w:b w:val="1"/>
          <w:bCs w:val="1"/>
          <w:i w:val="1"/>
          <w:iCs w:val="1"/>
          <w:color w:val="auto"/>
        </w:rPr>
        <w:t>Regulatory Matters,</w:t>
      </w:r>
      <w:r>
        <w:rPr>
          <w:rFonts w:ascii="Arial" w:cs="Arial" w:eastAsia="Arial" w:hAnsi="Arial"/>
          <w:sz w:val="20"/>
          <w:szCs w:val="20"/>
          <w:color w:val="auto"/>
        </w:rPr>
        <w:t xml:space="preserve"> to the Consolidated Financial Statements.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ERCOT/PUCT</w:t>
      </w:r>
    </w:p>
    <w:p>
      <w:pPr>
        <w:spacing w:after="0" w:line="12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9"/>
          <w:szCs w:val="19"/>
          <w:b w:val="1"/>
          <w:bCs w:val="1"/>
          <w:i w:val="1"/>
          <w:iCs w:val="1"/>
          <w:color w:val="auto"/>
        </w:rPr>
        <w:t xml:space="preserve">Public Utility Commission of Texas’ Actions with Respect to Wholesale Pricing and Market Design — </w:t>
      </w:r>
      <w:r>
        <w:rPr>
          <w:rFonts w:ascii="Arial" w:cs="Arial" w:eastAsia="Arial" w:hAnsi="Arial"/>
          <w:sz w:val="19"/>
          <w:szCs w:val="19"/>
          <w:color w:val="auto"/>
        </w:rPr>
        <w:t>The PUCT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continues to analyze and implement multiple options for promoting increased reliability in the wholesale electric market, including the adoption of a reliability standard for resource adequacy and market-based mechanisms to achieve this standard. The Commission adopted a reliability standard that became effective in September 2024.</w:t>
      </w:r>
    </w:p>
    <w:p>
      <w:pPr>
        <w:spacing w:after="0" w:line="64"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20"/>
          <w:szCs w:val="20"/>
          <w:color w:val="auto"/>
        </w:rPr>
        <w:t>In 2023, the Texas Legislature authorized implementation of the Performance Credit Mechanism ("PCM"), which will measure real-time contribution to system reliability and provide compensation for resources to be available, subject to certain "guardrails" such as an absolute annual net cost cap, as part of its adoption of the PUCT Sunset Bill (House Bill 1500). The Texas Legislature also directed the PUCT to implement additional market design changes such as the creation of a new ancillary service called Dispatchable Reliability Reserve Service ("DRRS") to further increase ERCOT's capability to manage net load variability and firming requirements for new generation resources which penalize poor performance during periods of low grid reserves. The PUCT directed ERCOT to implement DRRS as a standalone product which will delay implementation until 2026 or 2027.</w:t>
      </w:r>
    </w:p>
    <w:p>
      <w:pPr>
        <w:spacing w:after="0" w:line="84" w:lineRule="exact"/>
        <w:rPr>
          <w:sz w:val="20"/>
          <w:szCs w:val="20"/>
          <w:color w:val="auto"/>
        </w:rPr>
      </w:pPr>
    </w:p>
    <w:p>
      <w:pPr>
        <w:jc w:val="both"/>
        <w:ind w:firstLine="445"/>
        <w:spacing w:after="0" w:line="281" w:lineRule="auto"/>
        <w:rPr>
          <w:sz w:val="20"/>
          <w:szCs w:val="20"/>
          <w:color w:val="auto"/>
        </w:rPr>
      </w:pPr>
      <w:r>
        <w:rPr>
          <w:rFonts w:ascii="Arial" w:cs="Arial" w:eastAsia="Arial" w:hAnsi="Arial"/>
          <w:sz w:val="18"/>
          <w:szCs w:val="18"/>
          <w:b w:val="1"/>
          <w:bCs w:val="1"/>
          <w:i w:val="1"/>
          <w:iCs w:val="1"/>
          <w:color w:val="auto"/>
        </w:rPr>
        <w:t xml:space="preserve">Texas Energy Fund </w:t>
      </w:r>
      <w:r>
        <w:rPr>
          <w:rFonts w:ascii="Arial" w:cs="Arial" w:eastAsia="Arial" w:hAnsi="Arial"/>
          <w:sz w:val="18"/>
          <w:szCs w:val="18"/>
          <w:color w:val="auto"/>
        </w:rPr>
        <w:t>— Through Senate Bill 2627, the Texas Legislature created the Texas Energy Fund, which received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voter approval in November 2023, and will provide grants and low-interest loans (3%) to incentivize the development of more dispatchable generation and smaller backup generation in ERCOT. The PUCT adopted a rule in March 2024, which establishes the application and participation requirements and the process by which the Texas Energy Fund loan proceeds for dispatchable generation in ERCOT will be distributed. The initial window for submitting loan applications was opened on June 1, 2024 and closed on July 27, 2024. NRG, through its subsidiaries, filed for loan proceeds for three separate projects, totaling more than 1,500 MWs of capacity. The PUCT also adopted a rule for the completion bonus grant program in April 2024, which provides for opportunities for grants of $120,000 per MW for dispatchable generation projects interconnected before June 1, 2026, or $80,000 per MW for dispatchable generation projects interconnected on or after June 1, 2026 but before June 1, 2029, subject to performance requirements. Applications for completion bonus grants can be submitted beginning in January 2025. Availability of grant funds may be impacted by the 10,000 MW collective cap on the ERCOT loan and grant program.</w:t>
      </w:r>
    </w:p>
    <w:p>
      <w:pPr>
        <w:spacing w:after="0" w:line="70"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color w:val="auto"/>
        </w:rPr>
        <w:t>On August 29, 2024, the PUCT approved an initial portfolio of projects to move into a due diligence process with its third-party administrator. NRG THW GT LLC's 415 MW gas peakers, which is projected to become commercially operational in 2026, was among the projects selected to move into diligence, and that process is underway. On December 12, 2024, the PUCT approved two additional projects to move into due diligence, including Cedar Bayou Unit 5’s 689 MW combined cycle generating facility, which is projected to become commercially operational in 2028. Approximately 9,700 MW of projects are currently approved to undergo due diligence.</w:t>
      </w:r>
    </w:p>
    <w:p>
      <w:pPr>
        <w:spacing w:after="0" w:line="71"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8"/>
          <w:szCs w:val="18"/>
          <w:b w:val="1"/>
          <w:bCs w:val="1"/>
          <w:i w:val="1"/>
          <w:iCs w:val="1"/>
          <w:color w:val="auto"/>
        </w:rPr>
        <w:t xml:space="preserve">Real-time Co-optimization of Energy and Ancillary Services ("RTC") </w:t>
      </w:r>
      <w:r>
        <w:rPr>
          <w:rFonts w:ascii="Arial" w:cs="Arial" w:eastAsia="Arial" w:hAnsi="Arial"/>
          <w:sz w:val="18"/>
          <w:szCs w:val="18"/>
          <w:color w:val="auto"/>
        </w:rPr>
        <w:t>— ERCOT is progressing with a multi-year project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upgrade its systems to co-optimize the dispatch of energy and ancillary services in real-time. The RTC project will also replace the Operating Reserve Demand Curve with demand curves for each ancillary service product which will act as the primary scarcity pricing mechanism when energy or ancillary services are in shortage. ERCOT anticipates commencing market trials for testing the RTC project in Spring 2025 with production to go-live on December 5, 2025.</w:t>
      </w:r>
    </w:p>
    <w:p>
      <w:pPr>
        <w:spacing w:after="0" w:line="52"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9"/>
          <w:szCs w:val="19"/>
          <w:b w:val="1"/>
          <w:bCs w:val="1"/>
          <w:i w:val="1"/>
          <w:iCs w:val="1"/>
          <w:color w:val="auto"/>
        </w:rPr>
        <w:t xml:space="preserve">Supreme Court of Texas Ruling on Pricing during Winter Storm Uri </w:t>
      </w:r>
      <w:r>
        <w:rPr>
          <w:rFonts w:ascii="Arial" w:cs="Arial" w:eastAsia="Arial" w:hAnsi="Arial"/>
          <w:sz w:val="19"/>
          <w:szCs w:val="19"/>
          <w:color w:val="auto"/>
        </w:rPr>
        <w:t>— On June 14, 2024, the Supreme Court of Texas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affirmed the validity of two orders issued by the PUCT on February 15 and 16, 2021, respectively, governing scarcity pricing in the ERCOT wholesale electricity market during Winter Storm Uri. The Supreme Court's order reversed the judgment of the Third Court of Appeals, which had held that the PUCT exceeded its statutory authority by ordering the market price of energy to be set at the high system wide offer cap due to scarcity conditions as a result of firm load shed occurring in ERCOT. In addition to holding that the PUCT's orders were consistent with the agency's statutory authority, the Supreme Court of Texas found that the PUCT had substantially complied with the Administrative Procedure Act's procedural rulemaking requirements in issuing its orders.</w:t>
      </w:r>
    </w:p>
    <w:p>
      <w:pPr>
        <w:sectPr>
          <w:pgSz w:w="11880" w:h="15480" w:orient="portrait"/>
          <w:cols w:equalWidth="0" w:num="1">
            <w:col w:w="10160"/>
          </w:cols>
          <w:pgMar w:left="860" w:top="50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880" w:h="15480" w:orient="portrait"/>
          <w:cols w:equalWidth="0" w:num="1">
            <w:col w:w="10160"/>
          </w:cols>
          <w:pgMar w:left="860" w:top="508" w:right="860" w:bottom="0" w:gutter="0" w:footer="0" w:header="0"/>
          <w:type w:val="continuous"/>
        </w:sectPr>
      </w:pPr>
    </w:p>
    <w:bookmarkStart w:id="18" w:name="page19"/>
    <w:bookmarkEnd w:id="18"/>
    <w:p>
      <w:pPr>
        <w:jc w:val="both"/>
        <w:ind w:firstLine="445"/>
        <w:spacing w:after="0" w:line="270" w:lineRule="auto"/>
        <w:rPr>
          <w:sz w:val="20"/>
          <w:szCs w:val="20"/>
          <w:color w:val="auto"/>
        </w:rPr>
      </w:pPr>
      <w:r>
        <w:rPr>
          <w:rFonts w:ascii="Arial" w:cs="Arial" w:eastAsia="Arial" w:hAnsi="Arial"/>
          <w:sz w:val="19"/>
          <w:szCs w:val="19"/>
          <w:b w:val="1"/>
          <w:bCs w:val="1"/>
          <w:i w:val="1"/>
          <w:iCs w:val="1"/>
          <w:color w:val="auto"/>
        </w:rPr>
        <w:t xml:space="preserve">Voluntary Mitigation Plan (“VMP”) Changes </w:t>
      </w:r>
      <w:r>
        <w:rPr>
          <w:rFonts w:ascii="Arial" w:cs="Arial" w:eastAsia="Arial" w:hAnsi="Arial"/>
          <w:sz w:val="19"/>
          <w:szCs w:val="19"/>
          <w:color w:val="auto"/>
        </w:rPr>
        <w:t>— On March 13, 2023, the PUCT Staff determined that a portion of NRG's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VMP should be terminated due to the increase in procurement of ancillary services by ERCOT, specifically non-spin reserve services, following Winter Storm Uri. As such, PUCT Staff terminated part of the VMP for NRG which provides protection from wholesale market power abuse accusations related to offers for ancillary services. NRG agreed with these changes to the VMP. At the March 23, 2023 open meeting, the PUCT approved the amended VMP. In February 2024, NRG filed a notice of intent with the PUCT and terminated its existing VMP as of March 1, 2024.</w:t>
      </w:r>
    </w:p>
    <w:p>
      <w:pPr>
        <w:spacing w:after="0" w:line="70"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20"/>
          <w:szCs w:val="20"/>
          <w:b w:val="1"/>
          <w:bCs w:val="1"/>
          <w:i w:val="1"/>
          <w:iCs w:val="1"/>
          <w:color w:val="auto"/>
        </w:rPr>
        <w:t xml:space="preserve">Lubbock, Texas Transition to Competition </w:t>
      </w:r>
      <w:r>
        <w:rPr>
          <w:rFonts w:ascii="Arial" w:cs="Arial" w:eastAsia="Arial" w:hAnsi="Arial"/>
          <w:sz w:val="20"/>
          <w:szCs w:val="20"/>
          <w:color w:val="auto"/>
        </w:rPr>
        <w:t>— The customers of Lubbock Power and Light ("LP&amp;L"), a municipally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owned utility, entered the Texas retail competitive market in March 2024. Starting in January 2024, LP&amp;L customers were able to shop for a REP. Customers who did not select a REP by February 15, 2024 were assigned to one of three default REPs, one of which is Reliant. LP&amp;L customers started transitioning to their chosen REP or a default REP on March 4, 2024, which concluded in early April 2024.</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PJM</w:t>
      </w:r>
    </w:p>
    <w:p>
      <w:pPr>
        <w:spacing w:after="0" w:line="126" w:lineRule="exact"/>
        <w:rPr>
          <w:sz w:val="20"/>
          <w:szCs w:val="20"/>
          <w:color w:val="auto"/>
        </w:rPr>
      </w:pPr>
    </w:p>
    <w:p>
      <w:pPr>
        <w:jc w:val="both"/>
        <w:ind w:firstLine="445"/>
        <w:spacing w:after="0" w:line="278" w:lineRule="auto"/>
        <w:rPr>
          <w:sz w:val="20"/>
          <w:szCs w:val="20"/>
          <w:color w:val="auto"/>
        </w:rPr>
      </w:pPr>
      <w:r>
        <w:rPr>
          <w:rFonts w:ascii="Arial" w:cs="Arial" w:eastAsia="Arial" w:hAnsi="Arial"/>
          <w:sz w:val="18"/>
          <w:szCs w:val="18"/>
          <w:b w:val="1"/>
          <w:bCs w:val="1"/>
          <w:i w:val="1"/>
          <w:iCs w:val="1"/>
          <w:color w:val="auto"/>
        </w:rPr>
        <w:t xml:space="preserve">Capacity Market Litigation and Reforms </w:t>
      </w:r>
      <w:r>
        <w:rPr>
          <w:rFonts w:ascii="Arial" w:cs="Arial" w:eastAsia="Arial" w:hAnsi="Arial"/>
          <w:sz w:val="18"/>
          <w:szCs w:val="18"/>
          <w:color w:val="auto"/>
        </w:rPr>
        <w:t>— On September 27, 2024, various public interest organizations filed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complaint at FERC against PJM seeking changes to the treatment of RMRs in the capacity market. On November 18, 2024, various state consumer advocates filed a complaint at FERC against PJM seeking revisions to several aspects of PJM’s capacity market, including requiring resources previously subject to categorical exemptions to participate in capacity auctions, longer notice periods for deactivating generating resources, and several other changes. On December 9, 2024, PJM submitted a filing at FERC proposing various capacity market updates regarding the treatment of qualifying resources that are retained under RMR agreements as capacity, retention of a dual-fuel fired combustion turbine plant as the reference resource, and updates to the Non-Performance Charge based on the RTO Net CONE for the 2026/2027 and 2027/2028 Delivery Years. On February 14, 2025, FERC approved PJM’s filings. On December 13, 2024, PJM filed tariff changes to add provisions enabling a one-time reliability-based expansion of the eligibility criteria for PJM’s interconnection process intended to allow a limited number of additional resources to participate in an upcoming interconnection queue. On February 11, 2025, FERC approved PJM’s filing. On December 20, 2024, PJM submitted tariff changes that propose to require all Existing Generation Capacity Resources to offer into the capacity auctions beginning with the 2026/2027 Delivery Year as well as certain enhancements to the Market Seller Offer Cap. On February 20, 2025, FERC approved PJM’s filing. On December 30, 2024, Pennsylvania Governor Josh Shapiro and the Commonwealth of Pennsylvania filed a complaint at FERC alleging that PJM’s demand curve cap is unjust and unreasonable. The complaint seeks to lower the demand curve cap to be 1.5 times net CONE of the reference resource. On January 28, 2025, PJM notified stakeholders that it had reached an agreement with Governor Shapiro, and on February 14, 2025, PJM and Governor Shapiro filed a join settlement agreement establishing the capacity market temporary price cap and price floor for the next two auctions and also filed a motion to dismiss the December 30, 2024 complaint. Any changes approved by FERC could affect future capacity prices.</w:t>
      </w:r>
    </w:p>
    <w:p>
      <w:pPr>
        <w:spacing w:after="0" w:line="76"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9"/>
          <w:szCs w:val="19"/>
          <w:b w:val="1"/>
          <w:bCs w:val="1"/>
          <w:i w:val="1"/>
          <w:iCs w:val="1"/>
          <w:color w:val="auto"/>
        </w:rPr>
        <w:t xml:space="preserve">Revisions to PJM Locational Deliverability Area (“LDA”) Reliability Requirement </w:t>
      </w:r>
      <w:r>
        <w:rPr>
          <w:rFonts w:ascii="Arial" w:cs="Arial" w:eastAsia="Arial" w:hAnsi="Arial"/>
          <w:sz w:val="19"/>
          <w:szCs w:val="19"/>
          <w:color w:val="auto"/>
        </w:rPr>
        <w:t>— The Base Residual Auction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("BRA") for the 2024/2025 delivery year commenced on December 7, 2022 and closed on December 13, 2022. On December 19, 2022, PJM announced that it would delay the publication of the auction results. On December 23, 2022, PJM made a filing at FERC to revise the definition of LDA Reliability Requirement in the Tariff. This would allow PJM to exclude certain resources from the calculation of the LDA Reliability Requirement. On February 21, 2023, FERC accepted PJM's filing. Multiple parties, including NRG, filed for rehearing. Rehearing was denied by operation of law, and multiple parties, including the Company, filed appeals to the Third Circuit Court of Appeals. On March 12, 2024, the court vacated the portion of the FERC orders that allow PJM to apply the LDA Reliability Requirement to the 2024/2025 capacity auction. On March 29, 2024, PJM filed a petition seeking confirmation as to the capacity commitments rules for the 2024/2025 auction. On April 22, 2024, multiple parties filed a complaint seeking to find the revised rate unjust and unreasonable and implement rates consistent with FERC's February 2023 decision, which was denied on July 9, 2024. Those parties filed an appeal to the Court of Appeals for the D.C. Circuit on November 5, 2024.</w:t>
      </w:r>
    </w:p>
    <w:p>
      <w:pPr>
        <w:spacing w:after="0" w:line="79"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8"/>
          <w:szCs w:val="18"/>
          <w:color w:val="auto"/>
        </w:rPr>
        <w:t>On May 6, 2024, FERC directed PJM to recalculate the 2024/2025 auction results under the Initial LDA Reliability Requirement rules, and further directed PJM to rerun the Third Incremental Auction. PJM published the revised BRA and Third Incremental Auction results on May 8, 2024 and May 23, 2024, respectively. On June 14, 2024, multiple parties filed appeals to the Third Circuit Court of Appeals seeking review of the May 6, 2024 FERC orders approving PJM's petition to restore the original capacity commitment rules for PJM to recalculate the 2024/2025 BRA and the rerun of the 2024/2025 BRA. As a result, the capacity for the 2024/2025 delivery year in the Delmarva Power and Light South zone resulted in higher prices. This outcome may change depending upon the disposition of the outstanding complaint and appeals.</w:t>
      </w:r>
    </w:p>
    <w:p>
      <w:pPr>
        <w:sectPr>
          <w:pgSz w:w="11880" w:h="15480" w:orient="portrait"/>
          <w:cols w:equalWidth="0" w:num="1">
            <w:col w:w="10160"/>
          </w:cols>
          <w:pgMar w:left="860" w:top="50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880" w:h="15480" w:orient="portrait"/>
          <w:cols w:equalWidth="0" w:num="1">
            <w:col w:w="10160"/>
          </w:cols>
          <w:pgMar w:left="860" w:top="508" w:right="860" w:bottom="0" w:gutter="0" w:footer="0" w:header="0"/>
          <w:type w:val="continuous"/>
        </w:sectPr>
      </w:pPr>
    </w:p>
    <w:bookmarkStart w:id="19" w:name="page20"/>
    <w:bookmarkEnd w:id="19"/>
    <w:p>
      <w:pPr>
        <w:jc w:val="both"/>
        <w:ind w:firstLine="445"/>
        <w:spacing w:after="0" w:line="254" w:lineRule="auto"/>
        <w:rPr>
          <w:sz w:val="20"/>
          <w:szCs w:val="20"/>
          <w:color w:val="auto"/>
        </w:rPr>
      </w:pPr>
      <w:r>
        <w:rPr>
          <w:rFonts w:ascii="Arial" w:cs="Arial" w:eastAsia="Arial" w:hAnsi="Arial"/>
          <w:sz w:val="20"/>
          <w:szCs w:val="20"/>
          <w:b w:val="1"/>
          <w:bCs w:val="1"/>
          <w:i w:val="1"/>
          <w:iCs w:val="1"/>
          <w:color w:val="auto"/>
        </w:rPr>
        <w:t xml:space="preserve">PJM Base Residual Auction Revisions and Delay — </w:t>
      </w:r>
      <w:r>
        <w:rPr>
          <w:rFonts w:ascii="Arial" w:cs="Arial" w:eastAsia="Arial" w:hAnsi="Arial"/>
          <w:sz w:val="20"/>
          <w:szCs w:val="20"/>
          <w:color w:val="auto"/>
        </w:rPr>
        <w:t>On October 13, 2023, PJM made two filings at FERC. In the first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filing, PJM proposed revisions to the Market Seller Offer Cap, which FERC rejected on February 6, 2024. The second filing proposed to make changes to PJM’s resource adequacy risk modeling and capacity accreditation processes, which FERC approved, with condition, on January 20, 2024. The approved changes were in effect for the 2025/2026 BRA that occurred in July 2024. In November 2024, at PJM’s request, FERC approved delays to future BRAs. The 2026/2027 BRA is currently scheduled for July 2025.</w:t>
      </w:r>
    </w:p>
    <w:p>
      <w:pPr>
        <w:spacing w:after="0" w:line="84" w:lineRule="exact"/>
        <w:rPr>
          <w:sz w:val="20"/>
          <w:szCs w:val="20"/>
          <w:color w:val="auto"/>
        </w:rPr>
      </w:pPr>
    </w:p>
    <w:p>
      <w:pPr>
        <w:jc w:val="both"/>
        <w:ind w:firstLine="445"/>
        <w:spacing w:after="0" w:line="266" w:lineRule="auto"/>
        <w:rPr>
          <w:sz w:val="20"/>
          <w:szCs w:val="20"/>
          <w:color w:val="auto"/>
        </w:rPr>
      </w:pPr>
      <w:r>
        <w:rPr>
          <w:rFonts w:ascii="Arial" w:cs="Arial" w:eastAsia="Arial" w:hAnsi="Arial"/>
          <w:sz w:val="19"/>
          <w:szCs w:val="19"/>
          <w:b w:val="1"/>
          <w:bCs w:val="1"/>
          <w:i w:val="1"/>
          <w:iCs w:val="1"/>
          <w:color w:val="auto"/>
        </w:rPr>
        <w:t xml:space="preserve">Indian River RMR Proceeding </w:t>
      </w:r>
      <w:r>
        <w:rPr>
          <w:rFonts w:ascii="Arial" w:cs="Arial" w:eastAsia="Arial" w:hAnsi="Arial"/>
          <w:sz w:val="19"/>
          <w:szCs w:val="19"/>
          <w:color w:val="auto"/>
        </w:rPr>
        <w:t>— On June 29, 2021, Indian River notified PJM that it intended to retire Unit 4, effective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May 31, 2022, due to expected uneconomic operations. On July 30, 2021, PJM responded to the deactivation notice and stated that PJM had identified reliability violations resulting from the proposed deactivation of Unit 4. NRG filed a cost based RMR rate schedule at FERC on April 1, 2022. FERC accepted the rate schedule with a June 1, 2022 effective date, subject to refund and established hearing and settlement procedures. The Company reached settlement with a number of the intervening parties and the settlement agreement was filed at FERC on April 2, 2024. On January 16, 2025, FERC issued an order approving the settlement agreement. On February 14, 2025, the Independent Market Monitor and the Maryland Office of the People’s Counsel filed a request for a rehearing of the January 16, 2025 FERC order. PJM announced the Delmarva Power transmission upgrades were completed in December 2024 and as a result, PJM sent NRG a termination notice. Indian River Unit 4 retired on February 23, 2025.</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Independent Market Monitor Market Seller Offer Cap Complaint </w:t>
      </w:r>
      <w:r>
        <w:rPr>
          <w:rFonts w:ascii="Arial" w:cs="Arial" w:eastAsia="Arial" w:hAnsi="Arial"/>
          <w:sz w:val="21"/>
          <w:szCs w:val="21"/>
          <w:b w:val="1"/>
          <w:bCs w:val="1"/>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March 18, 2021, finding that the calculation of</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default Market Seller Offer Cap was unjust and unreasonable, FERC issued an order, which permitted the PJM May 2021 capacity auction for the 2022/2023 delivery year to continue under the existing rules and set a procedural schedule for parties to file briefs with possible solutions. On September 2, 2021, FERC issued an order in response to a complaint filed by the PJM Independent Market Monitor's proposal, which eliminated the Cost of New Entry-based Market Seller Offer Cap, implemented a limited default cap for certain asset classes based on going-forward costs and provided for unit specific cost review by the Independent Market Monitor for all other non-zero offers into the auctions. On October 4, 2021, as required by the Order, PJM submitted its compliance tariff and certain parties filed a motion for rehearing, which was denied by operation of law. On February 18, 2022, FERC addressed the arguments raised on rehearing and rejected the rehearing requests. Multiple parties filed appeals at the Court of Appeals for the D.C. Circuit, and on August 15, 2023, the Court denied the petitions for review. On January 12, 2024, the generator trade association filed a petition for review with the U.S. Supreme Court to overturn the August 15, 2023 judgment. On May 28, 2024, the U.S Supreme Court denied the petition for review.</w:t>
      </w:r>
    </w:p>
    <w:p>
      <w:pPr>
        <w:spacing w:after="0" w:line="6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20"/>
          <w:szCs w:val="20"/>
          <w:b w:val="1"/>
          <w:bCs w:val="1"/>
          <w:i w:val="1"/>
          <w:iCs w:val="1"/>
          <w:color w:val="auto"/>
        </w:rPr>
        <w:t xml:space="preserve">Final Rule on Reactive Power Payments </w:t>
      </w:r>
      <w:r>
        <w:rPr>
          <w:rFonts w:ascii="Arial" w:cs="Arial" w:eastAsia="Arial" w:hAnsi="Arial"/>
          <w:sz w:val="20"/>
          <w:szCs w:val="20"/>
          <w:color w:val="auto"/>
        </w:rPr>
        <w:t>— On October 17, 2024, FERC issued its final rule on reactive power,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eliminating compensation for a generator’s reactive power within the standard power factor. ISOs must make a compliance filing, but FERC will permit ISO-NE, NYISO, and PJM to request a later effective date. This change affects the payments provided to generators providing reactive power service.</w:t>
      </w:r>
    </w:p>
    <w:p>
      <w:pPr>
        <w:spacing w:after="0" w:line="76"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9"/>
          <w:szCs w:val="19"/>
          <w:b w:val="1"/>
          <w:bCs w:val="1"/>
          <w:i w:val="1"/>
          <w:iCs w:val="1"/>
          <w:color w:val="auto"/>
        </w:rPr>
        <w:t xml:space="preserve">Change to Energy Efficiency in the PJM Capacity Auction </w:t>
      </w:r>
      <w:r>
        <w:rPr>
          <w:rFonts w:ascii="Arial" w:cs="Arial" w:eastAsia="Arial" w:hAnsi="Arial"/>
          <w:sz w:val="19"/>
          <w:szCs w:val="19"/>
          <w:color w:val="auto"/>
        </w:rPr>
        <w:t>— On November 5, 2024, FERC approved PJM’s proposal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terminate compensation paid through the PJM capacity market to energy efficiency resources beginning in the 2026/2027 auction year. However, energy efficiency resources will be counted as a reduction in the PJM load forecast that is the basis of the PJM capacity auction. FERC's action will eliminate wholesale market financial support for utility-run programs authorized by state utility commissions, as well as certain third-party providers of energy efficiency services. NRG's demand-side programming is not significantly affected by the modification</w:t>
      </w:r>
      <w:r>
        <w:rPr>
          <w:rFonts w:ascii="Arial" w:cs="Arial" w:eastAsia="Arial" w:hAnsi="Arial"/>
          <w:sz w:val="19"/>
          <w:szCs w:val="19"/>
          <w:b w:val="1"/>
          <w:bCs w:val="1"/>
          <w:i w:val="1"/>
          <w:iCs w:val="1"/>
          <w:color w:val="auto"/>
        </w:rPr>
        <w:t>.</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Other Regulatory Matters</w:t>
      </w:r>
    </w:p>
    <w:p>
      <w:pPr>
        <w:spacing w:after="0" w:line="13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From time to time, NRG entities may be subject to examinations, investigations and/or enforcement actions by federal, state and provincial licensing and regulatory agencies and may face the risk of penalties for violation of financial services, consumer protection and other applicable laws and regulations.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Regulatory Matters</w:t>
      </w:r>
    </w:p>
    <w:p>
      <w:pPr>
        <w:spacing w:after="0" w:line="134"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8"/>
          <w:szCs w:val="18"/>
          <w:color w:val="auto"/>
        </w:rPr>
        <w:t>NRG is subject to numerous environmental laws in the development, construction, ownership and operation of power plants. These laws generally require that governmental permits and approvals be obtained before construction and maintained during operation of power plants. Federal and state environmental laws generally have become more stringent over time. Future laws may require the addition of emissions controls or other environmental controls, impose restrictions on the Company's operations including unit retirements or impose obligations related to historic coal ash use, storage and disposal. Complying with environmental laws often involves specialized human resources and significant capital and operating expenses, as well as occasionally curtailing operations. NRG decides to invest capital for environmental controls based on the relative certainty of the requirements, an evaluation of compliance options and the expected economic returns on capital.</w:t>
      </w:r>
    </w:p>
    <w:p>
      <w:pPr>
        <w:sectPr>
          <w:pgSz w:w="11880" w:h="15480" w:orient="portrait"/>
          <w:cols w:equalWidth="0" w:num="1">
            <w:col w:w="10160"/>
          </w:cols>
          <w:pgMar w:left="860" w:top="50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880" w:h="15480" w:orient="portrait"/>
          <w:cols w:equalWidth="0" w:num="1">
            <w:col w:w="10160"/>
          </w:cols>
          <w:pgMar w:left="860" w:top="508" w:right="860" w:bottom="0" w:gutter="0" w:footer="0" w:header="0"/>
          <w:type w:val="continuous"/>
        </w:sectPr>
      </w:pPr>
    </w:p>
    <w:bookmarkStart w:id="20" w:name="page21"/>
    <w:bookmarkEnd w:id="20"/>
    <w:p>
      <w:pPr>
        <w:jc w:val="both"/>
        <w:ind w:firstLine="445"/>
        <w:spacing w:after="0" w:line="257" w:lineRule="auto"/>
        <w:rPr>
          <w:sz w:val="20"/>
          <w:szCs w:val="20"/>
          <w:color w:val="auto"/>
        </w:rPr>
      </w:pPr>
      <w:r>
        <w:rPr>
          <w:rFonts w:ascii="Arial" w:cs="Arial" w:eastAsia="Arial" w:hAnsi="Arial"/>
          <w:sz w:val="20"/>
          <w:szCs w:val="20"/>
          <w:color w:val="auto"/>
        </w:rPr>
        <w:t>Several regulations that affect the Company have been and continue to be revised by the EPA, including requirements regarding coal ash, GHG emissions, NAAQS revisions and implementation, and effluent limitation guidelines. NRG will evaluate the impact of these regulations as they are revised but cannot fully predict the impact of each until anticipated revisions, legal challenges and reconsiderations are resolved.</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Air</w:t>
      </w:r>
    </w:p>
    <w:p>
      <w:pPr>
        <w:spacing w:after="0" w:line="130"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8"/>
          <w:szCs w:val="18"/>
          <w:color w:val="auto"/>
        </w:rPr>
        <w:t>The CAA and related regulations (as well as similar state and local requirements) have the potential to affect air emissions, operating practices and pollution control equipment required at power plants. Under the CAA, the EPA sets NAAQS for certain pollutants including SO</w:t>
      </w:r>
      <w:r>
        <w:rPr>
          <w:rFonts w:ascii="Arial" w:cs="Arial" w:eastAsia="Arial" w:hAnsi="Arial"/>
          <w:sz w:val="23"/>
          <w:szCs w:val="23"/>
          <w:color w:val="auto"/>
          <w:vertAlign w:val="subscript"/>
        </w:rPr>
        <w:t>2</w:t>
      </w:r>
      <w:r>
        <w:rPr>
          <w:rFonts w:ascii="Arial" w:cs="Arial" w:eastAsia="Arial" w:hAnsi="Arial"/>
          <w:sz w:val="18"/>
          <w:szCs w:val="18"/>
          <w:color w:val="auto"/>
        </w:rPr>
        <w:t>, ozone, and PM2.5. Many of the Company's facilities are located in or near areas that are classified by the EPA as not achieving certain NAAQS (non-attainment areas). The relevant NAAQS may become more stringent. In March 2024, the EPA increased the stringency of the PM2.5 NAAQS. The Company maintains a comprehensive compliance strategy to address continuing and new requirements. Complying with increasingly stringent air regulations could require the installation of additional emissions control equipment at some NRG facilities or retiring of units if installing such controls is not economic. Significant changes to air regulatory programs affecting the Company are described below.</w:t>
      </w:r>
    </w:p>
    <w:p>
      <w:pPr>
        <w:spacing w:after="0" w:line="67"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8"/>
          <w:szCs w:val="18"/>
          <w:b w:val="1"/>
          <w:bCs w:val="1"/>
          <w:i w:val="1"/>
          <w:iCs w:val="1"/>
          <w:color w:val="auto"/>
        </w:rPr>
        <w:t xml:space="preserve">CPP/ACE Rules </w:t>
      </w:r>
      <w:r>
        <w:rPr>
          <w:rFonts w:ascii="Arial" w:cs="Arial" w:eastAsia="Arial" w:hAnsi="Arial"/>
          <w:sz w:val="18"/>
          <w:szCs w:val="18"/>
          <w:color w:val="auto"/>
        </w:rPr>
        <w:t>— The attention in recent years on GHG emissions has resulted in federal and state regulations. In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EPA promulgated the ACE rule, which rescinded the CPP, which had sought to broadly regulate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from the power sector. On January 19, 2021, the D.C. Circuit vacated the ACE rule (but on February 22, 2021, at the EPA's request, stayed the issuance of the portion of the mandate that would vacate the repeal of the CPP). On June 30, 2022, the U.S. Supreme Court held that the "generation shifting" approach in the CPP exceeded the powers granted to the EPA by Congress. The Court did not address the related issues of whether the EPA may adopt only measures applied at each source. On May 9, 2024, the EPA promulgated a rule that repealed the ACE rule and significantly revised the manner in which new combustion-turbine and existing steam EGU's GHG emissions will be regulated including capturing and storing/sequestering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 some instances. This rule has been challenged by numerous parties in the D.C. Circuit including 27 states with 22 states intervening in support of the rule. The DC Circuit held oral arguments related to this rule in December 2024. On February 5, 2025, the DOJ filed a motion asking the court to hold proceedings in abeyance while the new administration evaluates the rule. The court granted the motion on February 19, 2025.</w:t>
      </w:r>
    </w:p>
    <w:p>
      <w:pPr>
        <w:spacing w:after="0" w:line="79" w:lineRule="exact"/>
        <w:rPr>
          <w:sz w:val="20"/>
          <w:szCs w:val="20"/>
          <w:color w:val="auto"/>
        </w:rPr>
      </w:pPr>
    </w:p>
    <w:p>
      <w:pPr>
        <w:jc w:val="both"/>
        <w:ind w:firstLine="445"/>
        <w:spacing w:after="0" w:line="280" w:lineRule="auto"/>
        <w:rPr>
          <w:sz w:val="20"/>
          <w:szCs w:val="20"/>
          <w:color w:val="auto"/>
        </w:rPr>
      </w:pPr>
      <w:r>
        <w:rPr>
          <w:rFonts w:ascii="Arial" w:cs="Arial" w:eastAsia="Arial" w:hAnsi="Arial"/>
          <w:sz w:val="18"/>
          <w:szCs w:val="18"/>
          <w:b w:val="1"/>
          <w:bCs w:val="1"/>
          <w:i w:val="1"/>
          <w:iCs w:val="1"/>
          <w:color w:val="auto"/>
        </w:rPr>
        <w:t xml:space="preserve">Cross-State Air Pollution Rule (“CSAPR”) </w:t>
      </w:r>
      <w:r>
        <w:rPr>
          <w:rFonts w:ascii="Arial" w:cs="Arial" w:eastAsia="Arial" w:hAnsi="Arial"/>
          <w:sz w:val="18"/>
          <w:szCs w:val="18"/>
          <w:color w:val="auto"/>
        </w:rPr>
        <w:t>— On March 15, 2023, the EPA signed and released a prepublication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final rule that sought to significantly revise the CSAPR to address the good-neighbor obligations of the 2015 ozone NAAQS for 23 states after earlier having disapproved numerous state plans to address the issue. Several states, including Texas, challenged the EPA's disapproval of their state plans. On May 1, 2023, the U.S. Court of Appeals for the Fifth Circuit stayed the EPA's disapproval of Texas' and Louisiana's state plans, which disapprovals are a condition precedent to the EPA imposing its plan on Texas and Louisiana. Several other states are also similarly situated because of similar stays. Nonetheless, on June 5, 2023, the EPA promulgated this rule. On July 31, 2023, the EPA promulgated an interim final rule that addresses the various judicial orders that have stayed several State-Implementation-Plan disapprovals by limiting the effectiveness of certain requirements of the final rule promulgated on June 5, 2023 in Texas and several other states. On June 27, 2024, the U.S. Supreme Court stayed the final rule in the 11 states where the rule had not already been stayed. The Company cannot predict the outcome of the legal challenges to the: (i) various state disapprovals; (ii) the final rule promulgated on June 5, 2023; and (iii) the interim final rule promulgated on July 31, 2023 that seeks to address the judicial orders. The Company anticipates that the new U.S. presidential administration will revisit this rule.</w:t>
      </w:r>
    </w:p>
    <w:p>
      <w:pPr>
        <w:spacing w:after="0" w:line="68" w:lineRule="exact"/>
        <w:rPr>
          <w:sz w:val="20"/>
          <w:szCs w:val="20"/>
          <w:color w:val="auto"/>
        </w:rPr>
      </w:pPr>
    </w:p>
    <w:p>
      <w:pPr>
        <w:jc w:val="both"/>
        <w:ind w:firstLine="445"/>
        <w:spacing w:after="0" w:line="236" w:lineRule="auto"/>
        <w:rPr>
          <w:sz w:val="20"/>
          <w:szCs w:val="20"/>
          <w:color w:val="auto"/>
        </w:rPr>
      </w:pPr>
      <w:r>
        <w:rPr>
          <w:rFonts w:ascii="Arial" w:cs="Arial" w:eastAsia="Arial" w:hAnsi="Arial"/>
          <w:sz w:val="19"/>
          <w:szCs w:val="19"/>
          <w:b w:val="1"/>
          <w:bCs w:val="1"/>
          <w:i w:val="1"/>
          <w:iCs w:val="1"/>
          <w:color w:val="auto"/>
        </w:rPr>
        <w:t xml:space="preserve">Regional Haze Proposal </w:t>
      </w:r>
      <w:r>
        <w:rPr>
          <w:rFonts w:ascii="Arial" w:cs="Arial" w:eastAsia="Arial" w:hAnsi="Arial"/>
          <w:sz w:val="19"/>
          <w:szCs w:val="19"/>
          <w:color w:val="auto"/>
        </w:rPr>
        <w:t>— On May 2023, the EPA proposed to withdraw the existing Texas Sulfur Dioxide Trading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Program and replace it with unit-specific SO</w:t>
      </w:r>
      <w:r>
        <w:rPr>
          <w:rFonts w:ascii="Arial" w:cs="Arial" w:eastAsia="Arial" w:hAnsi="Arial"/>
          <w:sz w:val="24"/>
          <w:szCs w:val="24"/>
          <w:color w:val="auto"/>
          <w:vertAlign w:val="subscript"/>
        </w:rPr>
        <w:t>2</w:t>
      </w:r>
      <w:r>
        <w:rPr>
          <w:rFonts w:ascii="Arial" w:cs="Arial" w:eastAsia="Arial" w:hAnsi="Arial"/>
          <w:sz w:val="19"/>
          <w:szCs w:val="19"/>
          <w:color w:val="auto"/>
        </w:rPr>
        <w:t xml:space="preserve"> limits for 12 units in Texas to address requirements to improve visibility at National Parks and Wilderness areas. If finalized as proposed, the rule would result in more stringent SO</w:t>
      </w:r>
      <w:r>
        <w:rPr>
          <w:rFonts w:ascii="Arial" w:cs="Arial" w:eastAsia="Arial" w:hAnsi="Arial"/>
          <w:sz w:val="24"/>
          <w:szCs w:val="24"/>
          <w:color w:val="auto"/>
          <w:vertAlign w:val="subscript"/>
        </w:rPr>
        <w:t>2</w:t>
      </w:r>
      <w:r>
        <w:rPr>
          <w:rFonts w:ascii="Arial" w:cs="Arial" w:eastAsia="Arial" w:hAnsi="Arial"/>
          <w:sz w:val="19"/>
          <w:szCs w:val="19"/>
          <w:color w:val="auto"/>
        </w:rPr>
        <w:t xml:space="preserve"> limits for two of the Company's coal-fired units in Texas. The Company cannot predict the outcome of this proposal.</w:t>
      </w:r>
    </w:p>
    <w:p>
      <w:pPr>
        <w:spacing w:after="0" w:line="31"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20"/>
          <w:szCs w:val="20"/>
          <w:b w:val="1"/>
          <w:bCs w:val="1"/>
          <w:i w:val="1"/>
          <w:iCs w:val="1"/>
          <w:color w:val="auto"/>
        </w:rPr>
        <w:t xml:space="preserve">Greenhouse Gas Emissions </w:t>
      </w:r>
      <w:r>
        <w:rPr>
          <w:rFonts w:ascii="Arial" w:cs="Arial" w:eastAsia="Arial" w:hAnsi="Arial"/>
          <w:sz w:val="20"/>
          <w:szCs w:val="20"/>
          <w:color w:val="auto"/>
        </w:rPr>
        <w:t>— NRG emits CO</w:t>
      </w:r>
      <w:r>
        <w:rPr>
          <w:rFonts w:ascii="Arial" w:cs="Arial" w:eastAsia="Arial" w:hAnsi="Arial"/>
          <w:sz w:val="25"/>
          <w:szCs w:val="25"/>
          <w:color w:val="auto"/>
          <w:vertAlign w:val="subscript"/>
        </w:rPr>
        <w:t>2</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when generating electricity at its facilities. Nearly all of NRG's domestic</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GHG emissions are subject to federal (U.S. EPA) GHG reporting requirements.</w:t>
      </w:r>
    </w:p>
    <w:p>
      <w:pPr>
        <w:spacing w:after="0" w:line="39"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20"/>
          <w:szCs w:val="20"/>
          <w:color w:val="auto"/>
        </w:rPr>
        <w:t>NRG's climate goals are to reduce greenhouse gas emissions by 50% by 2025, from its current 2014 base year, and to achieve net-zero emissions by 2050. Greenhouse gas emissions included in NRG's goals are directly controlled emissions, emissions from purchased electricity for NRG's consumption and emissions from employee business travel. In March 2021, the Science Based Targets initiative validated NRG's 2025 and 2050 goals as aligned with a 1.5 degree Celsius trajectory. This validation was based on NRG’s business in 2020, prior to its acquisition of Direct Energy and Vivint. Following the acquisitions, the magnitude of NRG’s indirect emissions changed, and the Company is currently in the process of analyzing these emissions.</w:t>
      </w:r>
    </w:p>
    <w:p>
      <w:pPr>
        <w:spacing w:after="0" w:line="29" w:lineRule="exact"/>
        <w:rPr>
          <w:sz w:val="20"/>
          <w:szCs w:val="20"/>
          <w:color w:val="auto"/>
        </w:rPr>
      </w:pPr>
    </w:p>
    <w:p>
      <w:pPr>
        <w:jc w:val="both"/>
        <w:ind w:firstLine="445"/>
        <w:spacing w:after="0" w:line="303" w:lineRule="auto"/>
        <w:rPr>
          <w:sz w:val="20"/>
          <w:szCs w:val="20"/>
          <w:color w:val="auto"/>
        </w:rPr>
      </w:pPr>
      <w:r>
        <w:rPr>
          <w:rFonts w:ascii="Arial" w:cs="Arial" w:eastAsia="Arial" w:hAnsi="Arial"/>
          <w:sz w:val="18"/>
          <w:szCs w:val="18"/>
          <w:color w:val="auto"/>
        </w:rPr>
        <w:t>From the current 2014 base year through 2024, the Company's directly controlled CO</w:t>
      </w:r>
      <w:r>
        <w:rPr>
          <w:rFonts w:ascii="Arial" w:cs="Arial" w:eastAsia="Arial" w:hAnsi="Arial"/>
          <w:sz w:val="23"/>
          <w:szCs w:val="23"/>
          <w:color w:val="auto"/>
          <w:vertAlign w:val="subscript"/>
        </w:rPr>
        <w:t>2</w:t>
      </w:r>
      <w:r>
        <w:rPr>
          <w:rFonts w:ascii="Arial" w:cs="Arial" w:eastAsia="Arial" w:hAnsi="Arial"/>
          <w:sz w:val="18"/>
          <w:szCs w:val="18"/>
          <w:color w:val="auto"/>
        </w:rPr>
        <w:t>e emissions decreased from 58 million metric tons to 25 million metric tons, representing a cumulative 57% reduction. The decrease is attributed to reductions in fleet-wide annual net generation and an overall market-driven shift away from coal as a primary fuel to natural gas. The</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880" w:h="15480" w:orient="portrait"/>
          <w:cols w:equalWidth="0" w:num="1">
            <w:col w:w="10160"/>
          </w:cols>
          <w:pgMar w:left="860" w:top="512" w:right="860" w:bottom="0" w:gutter="0" w:footer="0" w:header="0"/>
          <w:type w:val="continuous"/>
        </w:sectPr>
      </w:pPr>
    </w:p>
    <w:bookmarkStart w:id="21" w:name="page22"/>
    <w:bookmarkEnd w:id="21"/>
    <w:p>
      <w:pPr>
        <w:jc w:val="both"/>
        <w:spacing w:after="0" w:line="277" w:lineRule="auto"/>
        <w:rPr>
          <w:sz w:val="20"/>
          <w:szCs w:val="20"/>
          <w:color w:val="auto"/>
        </w:rPr>
      </w:pPr>
      <w:r>
        <w:rPr>
          <w:rFonts w:ascii="Arial" w:cs="Arial" w:eastAsia="Arial" w:hAnsi="Arial"/>
          <w:sz w:val="20"/>
          <w:szCs w:val="20"/>
          <w:color w:val="auto"/>
        </w:rPr>
        <w:t>continued achievement of NRG's 2025 emissions reduction targets could be impacted by volatility within the power markets, driven by market conditions and changes in regulatory policies.</w:t>
      </w:r>
    </w:p>
    <w:p>
      <w:pPr>
        <w:spacing w:after="0" w:line="6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As of December 31, 2024, less than 5% of the Company's consolidated revenues were derived from coal-fired operating assets.</w:t>
      </w:r>
    </w:p>
    <w:p>
      <w:pPr>
        <w:spacing w:after="0" w:line="63"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9"/>
          <w:szCs w:val="19"/>
          <w:color w:val="auto"/>
        </w:rPr>
        <w:t>The following charts reflect the Company’s domestic generation portfolio, including leased facilities and those accounted for through equity method investments, but excluding the battery storage and remaining renewables activity. Prior year information on U.S. CO</w:t>
      </w:r>
      <w:r>
        <w:rPr>
          <w:rFonts w:ascii="Arial" w:cs="Arial" w:eastAsia="Arial" w:hAnsi="Arial"/>
          <w:sz w:val="24"/>
          <w:szCs w:val="24"/>
          <w:color w:val="auto"/>
          <w:vertAlign w:val="subscript"/>
        </w:rPr>
        <w:t>2</w:t>
      </w:r>
      <w:r>
        <w:rPr>
          <w:rFonts w:ascii="Arial" w:cs="Arial" w:eastAsia="Arial" w:hAnsi="Arial"/>
          <w:sz w:val="19"/>
          <w:szCs w:val="19"/>
          <w:color w:val="auto"/>
        </w:rPr>
        <w:t>e emissions and U.S. generation was adjusted to remove divested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12065</wp:posOffset>
            </wp:positionV>
            <wp:extent cx="6336665" cy="278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extLst>
                    </a:blip>
                    <a:srcRect/>
                    <a:stretch>
                      <a:fillRect/>
                    </a:stretch>
                  </pic:blipFill>
                  <pic:spPr bwMode="auto">
                    <a:xfrm>
                      <a:off x="0" y="0"/>
                      <a:ext cx="6336665" cy="278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20"/>
          <w:szCs w:val="20"/>
          <w:b w:val="1"/>
          <w:bCs w:val="1"/>
          <w:i w:val="1"/>
          <w:iCs w:val="1"/>
          <w:color w:val="auto"/>
        </w:rPr>
        <w:t xml:space="preserve">Mercury and Air Toxics Standards (“MATS”) </w:t>
      </w:r>
      <w:r>
        <w:rPr>
          <w:rFonts w:ascii="Arial" w:cs="Arial" w:eastAsia="Arial" w:hAnsi="Arial"/>
          <w:sz w:val="20"/>
          <w:szCs w:val="20"/>
          <w:color w:val="auto"/>
        </w:rPr>
        <w:t>— On May 7, 2024, the EPA promulgated a final rule that amends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MATS rule by, among other things, increasing the stringency of the filterable particulate matter standard at coal-burning units. The deadline for complying with this more stringent standard is 2027. Twenty three states have challenged this rule in the D.C. Circuit. Accordingly, the outcome of this rulemaking is uncertain. The Company anticipates that the new U.S. presidential administration will revisit this rule.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Byproducts</w:t>
      </w:r>
    </w:p>
    <w:p>
      <w:pPr>
        <w:spacing w:after="0" w:line="134"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19"/>
          <w:szCs w:val="19"/>
          <w:color w:val="auto"/>
        </w:rPr>
        <w:t>In April 2015, the EPA finalized the rule regulating byproducts of coal combustion (e.g., ash and gypsum) as solid wastes under the RCRA. On July 30, 2018, the EPA promulgated a rule that amended the ash rule by extending some of the deadlines and providing more flexibility for compliance. On August 21, 2018, the D.C. Circuit found, among other things, that the EPA had not adequately regulated unlined ponds and legacy surface impoundments. On August 28, 2020, the EPA finalized "A Holistic Approach to Closure Part A: Deadline to Initiate Closure," which amended the April 2015 Rule to address the August 2018 D.C. Circuit decision and extend some of the deadlines. On November 12, 2020, the EPA finalized "A Holistic Approach to Closure Part B: Alternative Demonstration for Unlined Surface Impoundments," which further amended the April 2015 Rule to, among other things, provide procedures for requesting approval to operate existing ash impoundments with an alternate liner. On May 8, 2024, the EPA promulgated a rule that establishes requirements for: (i) inactive (or legacy) surface impoundments at inactive facilities and (ii) coal combustion residuals ("CCR") management units (regardless of how or when the CCR was placed) at regulated facilities. The rule also creates an obligation to conduct site assessments (at all active and certain inactive facilities) to determine whether CCR management units are present. The rule has been challenged in the D.C. Circuit and the outcome of the legal challenges is uncertain. The Company anticipates that the new U.S. presidential administration will revisit this rule.</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Domestic Site Remediation Matters</w:t>
      </w:r>
    </w:p>
    <w:p>
      <w:pPr>
        <w:spacing w:after="0" w:line="134"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8"/>
          <w:szCs w:val="18"/>
          <w:color w:val="auto"/>
        </w:rPr>
        <w:t>Under certain federal, state and local environmental laws, a current or previous owner or operator of a facility, including an electric generating facility, may be required to investigate and remediate releases or threatened releases of hazardous or toxic substances or petroleum products. NRG may be responsible for property damage, personal injury and investigation and remediation costs incurred by a party in connection with hazardous material releases or threatened releases. These laws impose liability without regard to whether the owner knew of or caused the presence of the hazardous substances, and the courts have interpreted liability under such laws to be strict (without fault) and joint and several. Cleanup obligations can often be triggered during the closure or decommissioning of a facility, in addition to spills during its operations.</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880" w:h="15480" w:orient="portrait"/>
          <w:cols w:equalWidth="0" w:num="1">
            <w:col w:w="10160"/>
          </w:cols>
          <w:pgMar w:left="860" w:top="512" w:right="860" w:bottom="0" w:gutter="0" w:footer="0" w:header="0"/>
          <w:type w:val="continuous"/>
        </w:sectPr>
      </w:pPr>
    </w:p>
    <w:bookmarkStart w:id="22" w:name="page23"/>
    <w:bookmarkEnd w:id="22"/>
    <w:p>
      <w:pPr>
        <w:jc w:val="both"/>
        <w:ind w:firstLine="445"/>
        <w:spacing w:after="0" w:line="276" w:lineRule="auto"/>
        <w:rPr>
          <w:sz w:val="20"/>
          <w:szCs w:val="20"/>
          <w:color w:val="auto"/>
        </w:rPr>
      </w:pPr>
      <w:r>
        <w:rPr>
          <w:rFonts w:ascii="Arial" w:cs="Arial" w:eastAsia="Arial" w:hAnsi="Arial"/>
          <w:sz w:val="19"/>
          <w:szCs w:val="19"/>
          <w:b w:val="1"/>
          <w:bCs w:val="1"/>
          <w:i w:val="1"/>
          <w:iCs w:val="1"/>
          <w:color w:val="auto"/>
        </w:rPr>
        <w:t xml:space="preserve">Jewett Mine Lignite Contract </w:t>
      </w:r>
      <w:r>
        <w:rPr>
          <w:rFonts w:ascii="Arial" w:cs="Arial" w:eastAsia="Arial" w:hAnsi="Arial"/>
          <w:sz w:val="22"/>
          <w:szCs w:val="22"/>
          <w:b w:val="1"/>
          <w:bCs w:val="1"/>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Company's Limestone facility historically burned lignite obtained from the Jewett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mine. Active mining ceased as of December 31, 2016; however, the Company remains responsible for reclamation activities and is responsible for all reclamation costs. NRG has recorded an adequate ARO liability. The Railroad Commission of Texas has imposed a bond obligation of approximately $112 million for the reclamation of the Jewett mine, which NRG supports through surety bonds. The cost of the reclamation may exceed the value of the bonds. NRG may provide additional performance assurance if required by the Railroad Commission of Texas.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Water</w:t>
      </w:r>
    </w:p>
    <w:p>
      <w:pPr>
        <w:spacing w:after="0" w:line="130"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Company is required under the Clean Water Act to comply with intake and discharge requirements, requirements for technological controls and operating practices. As with air quality regulations, federal and state water regulations have become more stringent and imposed new requirements.</w:t>
      </w:r>
    </w:p>
    <w:p>
      <w:pPr>
        <w:spacing w:after="0" w:line="75" w:lineRule="exact"/>
        <w:rPr>
          <w:sz w:val="20"/>
          <w:szCs w:val="20"/>
          <w:color w:val="auto"/>
        </w:rPr>
      </w:pPr>
    </w:p>
    <w:p>
      <w:pPr>
        <w:jc w:val="both"/>
        <w:ind w:firstLine="445"/>
        <w:spacing w:after="0" w:line="316" w:lineRule="auto"/>
        <w:rPr>
          <w:sz w:val="20"/>
          <w:szCs w:val="20"/>
          <w:color w:val="auto"/>
        </w:rPr>
      </w:pPr>
      <w:r>
        <w:rPr>
          <w:rFonts w:ascii="Arial" w:cs="Arial" w:eastAsia="Arial" w:hAnsi="Arial"/>
          <w:sz w:val="16"/>
          <w:szCs w:val="16"/>
          <w:b w:val="1"/>
          <w:bCs w:val="1"/>
          <w:i w:val="1"/>
          <w:iCs w:val="1"/>
          <w:color w:val="auto"/>
        </w:rPr>
        <w:t xml:space="preserve">ELG </w:t>
      </w:r>
      <w:r>
        <w:rPr>
          <w:rFonts w:ascii="Arial" w:cs="Arial" w:eastAsia="Arial" w:hAnsi="Arial"/>
          <w:sz w:val="16"/>
          <w:szCs w:val="16"/>
          <w:color w:val="auto"/>
        </w:rPr>
        <w:t>— In 2015, the EPA revised the ELG for Steam Electric Generating Facilities, which imposed more stringent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requirements (as individual permits were renewed) for wastewater streams from FGD, fly ash, bottom ash and flue gas mercury control. In 2017, the EPA promulgated a final rule that, among other things, postponed the compliance dates to preserve the status quo for FGD wastewater and bottom ash transport water by two years to November 2020 until the EPA amended the rule. On October 13, 2020, the EPA amended the 2015 ELG rule by: (i) altering the stringency of certain limits for FGD wastewater;</w:t>
      </w:r>
    </w:p>
    <w:p>
      <w:pPr>
        <w:spacing w:after="0" w:line="1" w:lineRule="exact"/>
        <w:rPr>
          <w:sz w:val="20"/>
          <w:szCs w:val="20"/>
          <w:color w:val="auto"/>
        </w:rPr>
      </w:pPr>
    </w:p>
    <w:p>
      <w:pPr>
        <w:jc w:val="both"/>
        <w:ind w:firstLine="1"/>
        <w:spacing w:after="0" w:line="263" w:lineRule="auto"/>
        <w:tabs>
          <w:tab w:leader="none" w:pos="316" w:val="left"/>
        </w:tabs>
        <w:numPr>
          <w:ilvl w:val="0"/>
          <w:numId w:val="10"/>
        </w:numPr>
        <w:rPr>
          <w:rFonts w:ascii="Arial" w:cs="Arial" w:eastAsia="Arial" w:hAnsi="Arial"/>
          <w:sz w:val="19"/>
          <w:szCs w:val="19"/>
          <w:color w:val="auto"/>
        </w:rPr>
      </w:pPr>
      <w:r>
        <w:rPr>
          <w:rFonts w:ascii="Arial" w:cs="Arial" w:eastAsia="Arial" w:hAnsi="Arial"/>
          <w:sz w:val="19"/>
          <w:szCs w:val="19"/>
          <w:color w:val="auto"/>
        </w:rPr>
        <w:t>relaxing the zero-discharge requirement for bottom ash transport water; and (iii) changing several deadlines. In October 2021, NRG informed its regulators that the Company intends to comply with the ELG by ceasing combustion of coal by the end of 2028 at its domestic coal units outside of Texas, and installing appropriate controls by the end of 2025 at its two plants that have coal-fired units in Texas. On May 9, 2024, the EPA promulgated a rule that revises the ELG by, among other things, further restricting the discharge of (i) FGD wastewater, (ii) bottom ash transport water, and (iii) combustion residual leachate. The rule was challenged in numerous courts, but the cases have been consolidated in the Eighth Circuit of the U.S. Court of Appeals. The outcome of the legal challenges is uncertain. On February 19, 2025, the DOJ filed a motion asking the court to hold proceedings in abeyance while the new administration evaluates the rule. The Company anticipates that the new U.S. presidential administration will revisit this rule.</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Regional Environmental Developments</w:t>
      </w:r>
    </w:p>
    <w:p>
      <w:pPr>
        <w:spacing w:after="0" w:line="130"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8"/>
          <w:szCs w:val="18"/>
          <w:b w:val="1"/>
          <w:bCs w:val="1"/>
          <w:i w:val="1"/>
          <w:iCs w:val="1"/>
          <w:color w:val="auto"/>
        </w:rPr>
        <w:t xml:space="preserve">Ash Regulation in Illinois </w:t>
      </w:r>
      <w:r>
        <w:rPr>
          <w:rFonts w:ascii="Arial" w:cs="Arial" w:eastAsia="Arial" w:hAnsi="Arial"/>
          <w:sz w:val="18"/>
          <w:szCs w:val="18"/>
          <w:color w:val="auto"/>
        </w:rPr>
        <w:t>— On July 30, 2019, Illinois enacted legislation that required the state to promulgate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regarding coal ash at surface impoundments. On April 15, 2021, the state promulgated the implementing regulation, which became effective on April 21, 2021. NRG has applied for initial operating permits and construction permits (for closure and retrofits) as required by the regulation and is waiting for most of its permits to be issued by the Illinois EPA.</w:t>
      </w:r>
    </w:p>
    <w:p>
      <w:pPr>
        <w:spacing w:after="0" w:line="48"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20"/>
          <w:szCs w:val="20"/>
          <w:b w:val="1"/>
          <w:bCs w:val="1"/>
          <w:i w:val="1"/>
          <w:iCs w:val="1"/>
          <w:color w:val="auto"/>
        </w:rPr>
        <w:t xml:space="preserve">Houston Nonattainment for 2008 Ozone Standard </w:t>
      </w:r>
      <w:r>
        <w:rPr>
          <w:rFonts w:ascii="Arial" w:cs="Arial" w:eastAsia="Arial" w:hAnsi="Arial"/>
          <w:sz w:val="20"/>
          <w:szCs w:val="20"/>
          <w:color w:val="auto"/>
        </w:rPr>
        <w:t>— In 2022, the EPA changed the Houston area’s classification from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Serious to Severe nonattainment for the 2008 Ozone Standard. Accordingly, Texas is required to develop a new control strategy and submit it to the EPA.</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Customers</w:t>
      </w:r>
    </w:p>
    <w:p>
      <w:pPr>
        <w:spacing w:after="0" w:line="13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NRG sells to a wide variety of customers, primarily end-use customers in the residential, commercial and industrial, and wholesale sectors. The Company owns and operates power plants to generate and sell power to wholesale customers, such as utilities and other intermediaries. The Company had no customer that comprised more than 10% of the Company's consolidated revenues for the year ended December 31, 2024.</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w:t>
      </w:r>
    </w:p>
    <w:p>
      <w:pPr>
        <w:spacing w:after="0" w:line="13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As of December 31, 2024, NRG and its consolidated subsidiaries had 15,637 employees, including 7,028 active smart home direct sales and installation individuals, which are largely seasonal. Approximately 4% of the Company's employees were covered by U.S. collective bargaining agreements. During 2024, the Company did not experience any labor stoppages or labor disputes at any of its facilities.</w:t>
      </w:r>
    </w:p>
    <w:p>
      <w:pPr>
        <w:spacing w:after="0" w:line="8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NRG believes its employees are vital to its success and is committed to offering employees a rewarding career that provides opportunities for growth and the ability to make valuable contributions toward the achievement of the Company’s business objectives. NRG focuses on safety, health and wellness, employee engagement, talent development and total rewards for its workforce.</w:t>
      </w:r>
    </w:p>
    <w:p>
      <w:pPr>
        <w:sectPr>
          <w:pgSz w:w="11880" w:h="15480" w:orient="portrait"/>
          <w:cols w:equalWidth="0" w:num="1">
            <w:col w:w="10160"/>
          </w:cols>
          <w:pgMar w:left="860" w:top="49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880" w:h="15480" w:orient="portrait"/>
          <w:cols w:equalWidth="0" w:num="1">
            <w:col w:w="10160"/>
          </w:cols>
          <w:pgMar w:left="860" w:top="491" w:right="860" w:bottom="0" w:gutter="0" w:footer="0" w:header="0"/>
          <w:type w:val="continuous"/>
        </w:sectPr>
      </w:pPr>
    </w:p>
    <w:bookmarkStart w:id="23" w:name="page24"/>
    <w:bookmarkEnd w:id="23"/>
    <w:p>
      <w:pPr>
        <w:ind w:left="440"/>
        <w:spacing w:after="0"/>
        <w:rPr>
          <w:sz w:val="20"/>
          <w:szCs w:val="20"/>
          <w:color w:val="auto"/>
        </w:rPr>
      </w:pPr>
      <w:r>
        <w:rPr>
          <w:rFonts w:ascii="Arial" w:cs="Arial" w:eastAsia="Arial" w:hAnsi="Arial"/>
          <w:sz w:val="20"/>
          <w:szCs w:val="20"/>
          <w:b w:val="1"/>
          <w:bCs w:val="1"/>
          <w:i w:val="1"/>
          <w:iCs w:val="1"/>
          <w:color w:val="auto"/>
        </w:rPr>
        <w:t>Safety</w:t>
      </w:r>
    </w:p>
    <w:p>
      <w:pPr>
        <w:spacing w:after="0" w:line="134"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20"/>
          <w:szCs w:val="20"/>
          <w:color w:val="auto"/>
        </w:rPr>
        <w:t>Safety is embedded in the culture at NRG. The Company strives to begin meetings with a safety moment and regularly reminds its employees that safety comes first. NRG has achieved its targeted top decile safety record of Occupational Safety and Health Administration recordable injury rates in each of the 5 previous years.</w:t>
      </w:r>
    </w:p>
    <w:p>
      <w:pPr>
        <w:spacing w:after="0" w:line="78" w:lineRule="exact"/>
        <w:rPr>
          <w:sz w:val="20"/>
          <w:szCs w:val="20"/>
          <w:color w:val="auto"/>
        </w:rPr>
      </w:pPr>
    </w:p>
    <w:p>
      <w:pPr>
        <w:jc w:val="both"/>
        <w:ind w:firstLine="490"/>
        <w:spacing w:after="0" w:line="277" w:lineRule="auto"/>
        <w:rPr>
          <w:sz w:val="20"/>
          <w:szCs w:val="20"/>
          <w:color w:val="auto"/>
        </w:rPr>
      </w:pPr>
      <w:r>
        <w:rPr>
          <w:rFonts w:ascii="Arial" w:cs="Arial" w:eastAsia="Arial" w:hAnsi="Arial"/>
          <w:sz w:val="20"/>
          <w:szCs w:val="20"/>
          <w:color w:val="auto"/>
        </w:rPr>
        <w:t>The following chart reflects the Company's 5 year safety record, excluding Vivint Smart Home which uses different industry specific safety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78740</wp:posOffset>
            </wp:positionV>
            <wp:extent cx="6138545" cy="3590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extLst>
                    </a:blip>
                    <a:srcRect/>
                    <a:stretch>
                      <a:fillRect/>
                    </a:stretch>
                  </pic:blipFill>
                  <pic:spPr bwMode="auto">
                    <a:xfrm>
                      <a:off x="0" y="0"/>
                      <a:ext cx="6138545" cy="3590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Health and Wellness</w:t>
      </w:r>
    </w:p>
    <w:p>
      <w:pPr>
        <w:spacing w:after="0" w:line="13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NRG has continued to invest in the health and well-being of its employees and their families by providing programs that holistically support its employees’ physical, emotional, social and financial wellness, allowing employees the opportunity to take control of their well-being and focus on what matters most to them for a healthy, secure future. The Company includes well-being goals as a metric in the Annual Incentive Plan (AIP), ensuring participants are motivated to improve their overall well-being.</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Employee Engagement</w:t>
      </w:r>
    </w:p>
    <w:p>
      <w:pPr>
        <w:spacing w:after="0" w:line="134"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8"/>
          <w:szCs w:val="18"/>
          <w:color w:val="auto"/>
        </w:rPr>
        <w:t>NRG seeks to create work environments where employees are treated fairly and respectfully and where each voice matters. The Company seeks to build on that position by continually improving its hiring and promotion policies and supporting the growth of Business Resource Groups (“BRGs”). In these BRGs, employees can share, learn, and receive support from colleagues with whom they have an affinity based on shared backgrounds or interests. The Company strives to be a place that empowers employee growth that celebrates the individual employee and his or her unique backgrounds.</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Talent Development</w:t>
      </w:r>
    </w:p>
    <w:p>
      <w:pPr>
        <w:spacing w:after="0" w:line="134"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8"/>
          <w:szCs w:val="18"/>
          <w:color w:val="auto"/>
        </w:rPr>
        <w:t>NRG deploys various talent development strategies and programs to develop leaders who can execute on the Company’s strategy and drive value for all stakeholders. The Board of Directors regularly engages with management on leadership development and succession planning, including providing feedback on development plans and bench strength for key senior leader positions. In 2024, the Company continued its annual Emerging Executive Leaders Program to strengthen the identified pipeline of future executives and create a cohort of high potential candidates to work on active company challenges or opportunities. Additionally, the Company expanded a front-line leader program called Peak Leadership to the entire company with the intent to onboard first-level leaders into their leadership role in select business units, and will look to continue growing the initiative in 2025. The Company has a performance management tool that emphasizes a continuous feedback loop and a robust online training curriculum covering topics such as leadership, communication and productivity.</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880" w:h="15480" w:orient="portrait"/>
          <w:cols w:equalWidth="0" w:num="1">
            <w:col w:w="10160"/>
          </w:cols>
          <w:pgMar w:left="860" w:top="505" w:right="860" w:bottom="0" w:gutter="0" w:footer="0" w:header="0"/>
          <w:type w:val="continuous"/>
        </w:sectPr>
      </w:pPr>
    </w:p>
    <w:bookmarkStart w:id="24" w:name="page25"/>
    <w:bookmarkEnd w:id="24"/>
    <w:p>
      <w:pPr>
        <w:ind w:left="440"/>
        <w:spacing w:after="0"/>
        <w:rPr>
          <w:sz w:val="20"/>
          <w:szCs w:val="20"/>
          <w:color w:val="auto"/>
        </w:rPr>
      </w:pPr>
      <w:r>
        <w:rPr>
          <w:rFonts w:ascii="Arial" w:cs="Arial" w:eastAsia="Arial" w:hAnsi="Arial"/>
          <w:sz w:val="20"/>
          <w:szCs w:val="20"/>
          <w:b w:val="1"/>
          <w:bCs w:val="1"/>
          <w:i w:val="1"/>
          <w:iCs w:val="1"/>
          <w:color w:val="auto"/>
        </w:rPr>
        <w:t>Total Rewards</w:t>
      </w:r>
    </w:p>
    <w:p>
      <w:pPr>
        <w:spacing w:after="0" w:line="134"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8"/>
          <w:szCs w:val="18"/>
          <w:color w:val="auto"/>
        </w:rPr>
        <w:t>NRG seeks to provide market competitive compensation and benefits benchmarked against the industries in which the Company operate: energy, consumer services and, where appropriate, the entire market. To ensure incentives are properly aligned with business needs and can attract and retain qualified employees, the Compensation Committee of the Board of Directors actively reviews the Company's total rewards programs, including benchmarking, risk assessment, and program design. NRG offers full-time employees incentives designed to motivate and reward success, and it continues to evaluate its benefits and offerings taking into consideration the needs of its employees to ensure they are competitive and best serve its employees. Every two years, the Company engages an independent third-party to benchmark its compensation and benefits programs against its peers and report the results to the Compensation Committee of the Board of Directors.</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further discussion and recent available data regarding the Company’s efforts and programs please see the Company’s</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2024 Proxy Statement and 2023 Sustainability Report, which are available on the Company’s website at: </w:t>
      </w:r>
      <w:r>
        <w:rPr>
          <w:rFonts w:ascii="Arial" w:cs="Arial" w:eastAsia="Arial" w:hAnsi="Arial"/>
          <w:sz w:val="19"/>
          <w:szCs w:val="19"/>
          <w:b w:val="1"/>
          <w:bCs w:val="1"/>
          <w:i w:val="1"/>
          <w:iCs w:val="1"/>
          <w:color w:val="auto"/>
        </w:rPr>
        <w:t>www.nrg.com</w:t>
      </w:r>
      <w:r>
        <w:rPr>
          <w:rFonts w:ascii="Arial" w:cs="Arial" w:eastAsia="Arial" w:hAnsi="Arial"/>
          <w:sz w:val="19"/>
          <w:szCs w:val="19"/>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Information included in these documents is not intended to be incorporated into this Annual Report on Form 10-K.</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13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color w:val="auto"/>
        </w:rPr>
        <w:t xml:space="preserve">NRG's annual reports on Form 10-K, quarterly reports on Form 10-Q, current reports on Form 8-K, and amendments to those reports filed or furnished pursuant to section 13(a) or 15(d) of the Exchange Act are available free of charge through the SEC's website, </w:t>
      </w:r>
      <w:r>
        <w:rPr>
          <w:rFonts w:ascii="Arial" w:cs="Arial" w:eastAsia="Arial" w:hAnsi="Arial"/>
          <w:sz w:val="19"/>
          <w:szCs w:val="19"/>
          <w:b w:val="1"/>
          <w:bCs w:val="1"/>
          <w:i w:val="1"/>
          <w:iCs w:val="1"/>
          <w:color w:val="auto"/>
        </w:rPr>
        <w:t>www.sec.gov</w:t>
      </w:r>
      <w:r>
        <w:rPr>
          <w:rFonts w:ascii="Arial" w:cs="Arial" w:eastAsia="Arial" w:hAnsi="Arial"/>
          <w:sz w:val="19"/>
          <w:szCs w:val="19"/>
          <w:color w:val="auto"/>
        </w:rPr>
        <w:t xml:space="preserve">, and through the Company's website, </w:t>
      </w:r>
      <w:r>
        <w:rPr>
          <w:rFonts w:ascii="Arial" w:cs="Arial" w:eastAsia="Arial" w:hAnsi="Arial"/>
          <w:sz w:val="19"/>
          <w:szCs w:val="19"/>
          <w:b w:val="1"/>
          <w:bCs w:val="1"/>
          <w:i w:val="1"/>
          <w:iCs w:val="1"/>
          <w:color w:val="auto"/>
        </w:rPr>
        <w:t>www.nrg.com</w:t>
      </w:r>
      <w:r>
        <w:rPr>
          <w:rFonts w:ascii="Arial" w:cs="Arial" w:eastAsia="Arial" w:hAnsi="Arial"/>
          <w:sz w:val="19"/>
          <w:szCs w:val="19"/>
          <w:color w:val="auto"/>
        </w:rPr>
        <w:t>, as soon as reasonably practicable after they are electronically filed with, or furnished to, the SEC. The Company also routinely posts press releases, presentations, webcasts, sustainability reports and other information regarding the Company on the Company's website. The information posted on the Company's website is not a part of this report.</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880" w:h="15480" w:orient="portrait"/>
          <w:cols w:equalWidth="0" w:num="1">
            <w:col w:w="10160"/>
          </w:cols>
          <w:pgMar w:left="860" w:top="505" w:right="860" w:bottom="0" w:gutter="0" w:footer="0" w:header="0"/>
          <w:type w:val="continuous"/>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Item 1A — Risk Factors</w:t>
      </w:r>
    </w:p>
    <w:p>
      <w:pPr>
        <w:spacing w:after="0" w:line="13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NRG's risk factors are grouped into the following categories: (i) Risks Related to the Operation of NRG's Business; (ii) Risks Related to Governmental Regulation and Laws; and (iii) Risks Related to Economic and Financial Market Conditions and the Company's Indebtedness.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Risks Related to the Operation of NRG's Business</w:t>
      </w:r>
    </w:p>
    <w:p>
      <w:pPr>
        <w:spacing w:after="0" w:line="126" w:lineRule="exact"/>
        <w:rPr>
          <w:sz w:val="20"/>
          <w:szCs w:val="20"/>
          <w:color w:val="auto"/>
        </w:rPr>
      </w:pPr>
    </w:p>
    <w:p>
      <w:pPr>
        <w:jc w:val="both"/>
        <w:spacing w:after="0" w:line="340" w:lineRule="auto"/>
        <w:rPr>
          <w:sz w:val="20"/>
          <w:szCs w:val="20"/>
          <w:color w:val="auto"/>
        </w:rPr>
      </w:pPr>
      <w:r>
        <w:rPr>
          <w:rFonts w:ascii="Arial" w:cs="Arial" w:eastAsia="Arial" w:hAnsi="Arial"/>
          <w:sz w:val="16"/>
          <w:szCs w:val="16"/>
          <w:b w:val="1"/>
          <w:bCs w:val="1"/>
          <w:i w:val="1"/>
          <w:iCs w:val="1"/>
          <w:color w:val="auto"/>
        </w:rPr>
        <w:t>NRG's financial performance may be impacted by price fluctuations in the retail and wholesale power and natural gas markets, as well as fluctuations in coal and oil markets and other market factors that are beyond the Company's control.</w:t>
      </w:r>
    </w:p>
    <w:p>
      <w:pPr>
        <w:spacing w:after="0" w:line="1" w:lineRule="exact"/>
        <w:rPr>
          <w:sz w:val="20"/>
          <w:szCs w:val="20"/>
          <w:color w:val="auto"/>
        </w:rPr>
      </w:pPr>
    </w:p>
    <w:p>
      <w:pPr>
        <w:jc w:val="both"/>
        <w:ind w:firstLine="356"/>
        <w:spacing w:after="0" w:line="255" w:lineRule="auto"/>
        <w:rPr>
          <w:sz w:val="20"/>
          <w:szCs w:val="20"/>
          <w:color w:val="auto"/>
        </w:rPr>
      </w:pPr>
      <w:r>
        <w:rPr>
          <w:rFonts w:ascii="Arial" w:cs="Arial" w:eastAsia="Arial" w:hAnsi="Arial"/>
          <w:sz w:val="20"/>
          <w:szCs w:val="20"/>
          <w:color w:val="auto"/>
        </w:rPr>
        <w:t>Market prices for power, capacity, ancillary services, natural gas, coal, oil and renewable energy credits are unpredictable and tend to fluctuate substantially. Electric power generally must be produced concurrently with its use. As a result, power prices are subject to significant volatility due to supply and demand imbalances, especially in the day-ahead and spot markets. Long and short-term power and gas prices may also fluctuate substantially due to other factors outside of the Company's control, including:</w:t>
      </w:r>
    </w:p>
    <w:p>
      <w:pPr>
        <w:spacing w:after="0" w:line="26" w:lineRule="exact"/>
        <w:rPr>
          <w:sz w:val="20"/>
          <w:szCs w:val="20"/>
          <w:color w:val="auto"/>
        </w:rPr>
      </w:pPr>
    </w:p>
    <w:p>
      <w:pPr>
        <w:jc w:val="both"/>
        <w:ind w:left="540" w:hanging="360"/>
        <w:spacing w:after="0" w:line="268" w:lineRule="auto"/>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changes in generation capacity in the Company’s markets, including the addition of new supplies of power as a result of the development of new plants, expansion of existing plants, the continued operation of uneconomic power plants due to state subsidies, retirement of existing plants or addition of new transmission capacity;</w:t>
      </w:r>
    </w:p>
    <w:p>
      <w:pPr>
        <w:spacing w:after="0" w:line="1" w:lineRule="exact"/>
        <w:rPr>
          <w:rFonts w:ascii="Arial" w:cs="Arial" w:eastAsia="Arial" w:hAnsi="Arial"/>
          <w:sz w:val="19"/>
          <w:szCs w:val="19"/>
          <w:color w:val="auto"/>
        </w:rPr>
      </w:pPr>
    </w:p>
    <w:p>
      <w:pPr>
        <w:ind w:left="540" w:hanging="360"/>
        <w:spacing w:after="0"/>
        <w:tabs>
          <w:tab w:leader="none" w:pos="5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electric supply disruptions, including plant outages and transmission disruptions;</w:t>
      </w:r>
    </w:p>
    <w:p>
      <w:pPr>
        <w:spacing w:after="0" w:line="7" w:lineRule="exact"/>
        <w:rPr>
          <w:rFonts w:ascii="Arial" w:cs="Arial" w:eastAsia="Arial" w:hAnsi="Arial"/>
          <w:sz w:val="20"/>
          <w:szCs w:val="20"/>
          <w:color w:val="auto"/>
        </w:rPr>
      </w:pPr>
    </w:p>
    <w:p>
      <w:pPr>
        <w:ind w:left="540" w:hanging="360"/>
        <w:spacing w:after="0"/>
        <w:tabs>
          <w:tab w:leader="none" w:pos="5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changes in power and gas transmission infrastructure;</w:t>
      </w:r>
    </w:p>
    <w:p>
      <w:pPr>
        <w:spacing w:after="0" w:line="7" w:lineRule="exact"/>
        <w:rPr>
          <w:rFonts w:ascii="Arial" w:cs="Arial" w:eastAsia="Arial" w:hAnsi="Arial"/>
          <w:sz w:val="20"/>
          <w:szCs w:val="20"/>
          <w:color w:val="auto"/>
        </w:rPr>
      </w:pPr>
    </w:p>
    <w:p>
      <w:pPr>
        <w:ind w:left="540" w:hanging="360"/>
        <w:spacing w:after="0"/>
        <w:tabs>
          <w:tab w:leader="none" w:pos="5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transportation capacity constraints or inefficiencies;</w:t>
      </w:r>
    </w:p>
    <w:p>
      <w:pPr>
        <w:spacing w:after="0" w:line="7" w:lineRule="exact"/>
        <w:rPr>
          <w:rFonts w:ascii="Arial" w:cs="Arial" w:eastAsia="Arial" w:hAnsi="Arial"/>
          <w:sz w:val="20"/>
          <w:szCs w:val="20"/>
          <w:color w:val="auto"/>
        </w:rPr>
      </w:pPr>
    </w:p>
    <w:p>
      <w:pPr>
        <w:ind w:left="540" w:hanging="360"/>
        <w:spacing w:after="0" w:line="247" w:lineRule="auto"/>
        <w:tabs>
          <w:tab w:leader="none" w:pos="5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weather conditions, including extreme weather conditions and seasonal fluctuations, including the effects of climate change;</w:t>
      </w:r>
    </w:p>
    <w:p>
      <w:pPr>
        <w:spacing w:after="0" w:line="1" w:lineRule="exact"/>
        <w:rPr>
          <w:rFonts w:ascii="Arial" w:cs="Arial" w:eastAsia="Arial" w:hAnsi="Arial"/>
          <w:sz w:val="20"/>
          <w:szCs w:val="20"/>
          <w:color w:val="auto"/>
        </w:rPr>
      </w:pPr>
    </w:p>
    <w:p>
      <w:pPr>
        <w:ind w:left="540" w:hanging="360"/>
        <w:spacing w:after="0"/>
        <w:tabs>
          <w:tab w:leader="none" w:pos="5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 public health crisis, epidemic or pandemic;</w:t>
      </w:r>
    </w:p>
    <w:p>
      <w:pPr>
        <w:spacing w:after="0" w:line="7" w:lineRule="exact"/>
        <w:rPr>
          <w:rFonts w:ascii="Arial" w:cs="Arial" w:eastAsia="Arial" w:hAnsi="Arial"/>
          <w:sz w:val="20"/>
          <w:szCs w:val="20"/>
          <w:color w:val="auto"/>
        </w:rPr>
      </w:pPr>
    </w:p>
    <w:p>
      <w:pPr>
        <w:ind w:left="540" w:hanging="360"/>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changes in commodity prices and the supply of commodities, including but not limited to natural gas, coal and oil;</w:t>
      </w:r>
    </w:p>
    <w:p>
      <w:pPr>
        <w:spacing w:after="0" w:line="19" w:lineRule="exact"/>
        <w:rPr>
          <w:rFonts w:ascii="Arial" w:cs="Arial" w:eastAsia="Arial" w:hAnsi="Arial"/>
          <w:sz w:val="19"/>
          <w:szCs w:val="19"/>
          <w:color w:val="auto"/>
        </w:rPr>
      </w:pPr>
    </w:p>
    <w:p>
      <w:pPr>
        <w:ind w:left="540" w:hanging="360"/>
        <w:spacing w:after="0" w:line="275"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demand for power or gas, or in patterns of power or gas usage, including the potential development of demand-side management tools and practices, distributed generation, and more efficient end-use technologies;</w:t>
      </w:r>
    </w:p>
    <w:p>
      <w:pPr>
        <w:ind w:left="540" w:hanging="360"/>
        <w:spacing w:after="0"/>
        <w:tabs>
          <w:tab w:leader="none" w:pos="5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development of new fuels, new technologies and new forms of competition for the production of power;</w:t>
      </w:r>
    </w:p>
    <w:p>
      <w:pPr>
        <w:spacing w:after="0" w:line="7" w:lineRule="exact"/>
        <w:rPr>
          <w:rFonts w:ascii="Arial" w:cs="Arial" w:eastAsia="Arial" w:hAnsi="Arial"/>
          <w:sz w:val="20"/>
          <w:szCs w:val="20"/>
          <w:color w:val="auto"/>
        </w:rPr>
      </w:pPr>
    </w:p>
    <w:p>
      <w:pPr>
        <w:ind w:left="540" w:hanging="360"/>
        <w:spacing w:after="0" w:line="247" w:lineRule="auto"/>
        <w:tabs>
          <w:tab w:leader="none" w:pos="5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economic and political conditions, including the impact of changing U.S. trade policies and potential additional tariffs that may be imposed;</w:t>
      </w:r>
    </w:p>
    <w:p>
      <w:pPr>
        <w:spacing w:after="0" w:line="1" w:lineRule="exact"/>
        <w:rPr>
          <w:rFonts w:ascii="Arial" w:cs="Arial" w:eastAsia="Arial" w:hAnsi="Arial"/>
          <w:sz w:val="20"/>
          <w:szCs w:val="20"/>
          <w:color w:val="auto"/>
        </w:rPr>
      </w:pPr>
    </w:p>
    <w:p>
      <w:pPr>
        <w:ind w:left="540" w:hanging="360"/>
        <w:spacing w:after="0"/>
        <w:tabs>
          <w:tab w:leader="none" w:pos="5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changes in law, including judicial decisions, environmental regulations and environmental legislation; and</w:t>
      </w:r>
    </w:p>
    <w:p>
      <w:pPr>
        <w:spacing w:after="0" w:line="7" w:lineRule="exact"/>
        <w:rPr>
          <w:rFonts w:ascii="Arial" w:cs="Arial" w:eastAsia="Arial" w:hAnsi="Arial"/>
          <w:sz w:val="20"/>
          <w:szCs w:val="20"/>
          <w:color w:val="auto"/>
        </w:rPr>
      </w:pPr>
    </w:p>
    <w:p>
      <w:pPr>
        <w:ind w:left="540" w:hanging="360"/>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federal, state and provincial power regulations and legislation, and regulations and actions of the ISO and RTOs.</w:t>
      </w:r>
    </w:p>
    <w:p>
      <w:pPr>
        <w:spacing w:after="0" w:line="58"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While retail rates are generally designed to allow retail sellers of electricity and natural gas to pass through price fluctuations and other changes to costs, the Company may not be able to pass through all such changes to customers. For example, serving retail power customers in ISOs that have a capacity market exposes the Company to the risk that capacity costs can change and may not be recoverable, or the Company may engage in sales of power at fixed prices. Additionally, increases in wholesale costs to retail customers may cause additional customer defaults or increased customer attrition, or may be impacted by regulatory rules.</w:t>
      </w:r>
    </w:p>
    <w:p>
      <w:pPr>
        <w:spacing w:after="0" w:line="90"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Conversely, should natural gas prices rise to consistently exceed coal prices, NRG’s demand for coal generation may exceed the near-term ability of coal suppliers or rail transporters to meet it, causing the Company to lose generation sales opportunities and/or realize higher retail energy supply costs.</w:t>
      </w:r>
    </w:p>
    <w:p>
      <w:pPr>
        <w:spacing w:after="0" w:line="7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Such factors and the associated fluctuations in power prices have affected the Company's wholesale and retail profitability in the past and are expected to continue to do so in the future.</w:t>
      </w:r>
    </w:p>
    <w:p>
      <w:pPr>
        <w:spacing w:after="0" w:line="56"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i w:val="1"/>
          <w:iCs w:val="1"/>
          <w:color w:val="auto"/>
        </w:rPr>
        <w:t>Volatile power and gas supply costs and demand for power and gas could adversely affect the financial performance of NRG's retail operations.</w:t>
      </w:r>
    </w:p>
    <w:p>
      <w:pPr>
        <w:spacing w:after="0" w:line="6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The Company's earnings and cash flows could be adversely affected in any period in which the wholesale power or gas prices rise at a greater rate than the rates the Company can charge to customers. The price of wholesale electricity and gas supply purchases associated with the retail operations' energy commitments can be different than that reflected in the rates charged to customers due to, among other factors:</w:t>
      </w:r>
    </w:p>
    <w:p>
      <w:pPr>
        <w:spacing w:after="0" w:line="84" w:lineRule="exact"/>
        <w:rPr>
          <w:sz w:val="20"/>
          <w:szCs w:val="20"/>
          <w:color w:val="auto"/>
        </w:rPr>
      </w:pPr>
    </w:p>
    <w:p>
      <w:pPr>
        <w:ind w:left="540" w:hanging="360"/>
        <w:spacing w:after="0"/>
        <w:tabs>
          <w:tab w:leader="none" w:pos="5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varying supply procurement contracts used and the timing of entering into related contracts;</w:t>
      </w:r>
    </w:p>
    <w:p>
      <w:pPr>
        <w:spacing w:after="0" w:line="28" w:lineRule="exact"/>
        <w:rPr>
          <w:rFonts w:ascii="Arial" w:cs="Arial" w:eastAsia="Arial" w:hAnsi="Arial"/>
          <w:sz w:val="20"/>
          <w:szCs w:val="20"/>
          <w:color w:val="auto"/>
        </w:rPr>
      </w:pPr>
    </w:p>
    <w:p>
      <w:pPr>
        <w:ind w:left="540" w:hanging="360"/>
        <w:spacing w:after="0"/>
        <w:tabs>
          <w:tab w:leader="none" w:pos="5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subsequent changes in the overall price of natural gas;</w:t>
      </w:r>
    </w:p>
    <w:p>
      <w:pPr>
        <w:spacing w:after="0" w:line="7" w:lineRule="exact"/>
        <w:rPr>
          <w:rFonts w:ascii="Arial" w:cs="Arial" w:eastAsia="Arial" w:hAnsi="Arial"/>
          <w:sz w:val="20"/>
          <w:szCs w:val="20"/>
          <w:color w:val="auto"/>
        </w:rPr>
      </w:pPr>
    </w:p>
    <w:p>
      <w:pPr>
        <w:ind w:left="540" w:hanging="360"/>
        <w:spacing w:after="0"/>
        <w:tabs>
          <w:tab w:leader="none" w:pos="5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daily, monthly or seasonal fluctuations in the price of natural gas relative to the 12-month forward prices;</w:t>
      </w:r>
    </w:p>
    <w:p>
      <w:pPr>
        <w:spacing w:after="0" w:line="7" w:lineRule="exact"/>
        <w:rPr>
          <w:rFonts w:ascii="Arial" w:cs="Arial" w:eastAsia="Arial" w:hAnsi="Arial"/>
          <w:sz w:val="20"/>
          <w:szCs w:val="20"/>
          <w:color w:val="auto"/>
        </w:rPr>
      </w:pPr>
    </w:p>
    <w:p>
      <w:pPr>
        <w:ind w:left="540" w:hanging="360"/>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transmission and transportation constraints and the Company's ability to move power or gas to its customers; and</w:t>
      </w:r>
    </w:p>
    <w:p>
      <w:pPr>
        <w:spacing w:after="0" w:line="19" w:lineRule="exact"/>
        <w:rPr>
          <w:rFonts w:ascii="Arial" w:cs="Arial" w:eastAsia="Arial" w:hAnsi="Arial"/>
          <w:sz w:val="19"/>
          <w:szCs w:val="19"/>
          <w:color w:val="auto"/>
        </w:rPr>
      </w:pPr>
    </w:p>
    <w:p>
      <w:pPr>
        <w:ind w:left="540" w:hanging="360"/>
        <w:spacing w:after="0"/>
        <w:tabs>
          <w:tab w:leader="none" w:pos="5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changes in market heat rate (i.e., the relationship between power and natural gas prices).</w:t>
      </w:r>
    </w:p>
    <w:p>
      <w:pPr>
        <w:spacing w:after="0" w:line="46"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Company's earnings and cash flows could also be adversely affected in any period in which its customers' actual usage of electricity or gas significantly varies from the forecasted usage, which could occur due to, among other factors, weather events, changes in usage patterns, competition and economic conditions.</w:t>
      </w:r>
    </w:p>
    <w:p>
      <w:pPr>
        <w:sectPr>
          <w:pgSz w:w="11880" w:h="15480" w:orient="portrait"/>
          <w:cols w:equalWidth="0" w:num="1">
            <w:col w:w="10160"/>
          </w:cols>
          <w:pgMar w:left="860" w:top="505" w:right="860" w:bottom="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880" w:h="15480" w:orient="portrait"/>
          <w:cols w:equalWidth="0" w:num="1">
            <w:col w:w="10160"/>
          </w:cols>
          <w:pgMar w:left="860" w:top="505" w:right="860" w:bottom="0" w:gutter="0" w:footer="0" w:header="0"/>
          <w:type w:val="continuous"/>
        </w:sectPr>
      </w:pPr>
    </w:p>
    <w:bookmarkStart w:id="26" w:name="page27"/>
    <w:bookmarkEnd w:id="26"/>
    <w:p>
      <w:pPr>
        <w:spacing w:after="0"/>
        <w:rPr>
          <w:sz w:val="20"/>
          <w:szCs w:val="20"/>
          <w:color w:val="auto"/>
        </w:rPr>
      </w:pPr>
      <w:r>
        <w:rPr>
          <w:rFonts w:ascii="Arial" w:cs="Arial" w:eastAsia="Arial" w:hAnsi="Arial"/>
          <w:sz w:val="20"/>
          <w:szCs w:val="20"/>
          <w:b w:val="1"/>
          <w:bCs w:val="1"/>
          <w:i w:val="1"/>
          <w:iCs w:val="1"/>
          <w:color w:val="auto"/>
        </w:rPr>
        <w:t>The Company’s expectations regarding load growth may not materialize.</w:t>
      </w:r>
    </w:p>
    <w:p>
      <w:pPr>
        <w:spacing w:after="0" w:line="118" w:lineRule="exact"/>
        <w:rPr>
          <w:sz w:val="20"/>
          <w:szCs w:val="20"/>
          <w:color w:val="auto"/>
        </w:rPr>
      </w:pPr>
    </w:p>
    <w:p>
      <w:pPr>
        <w:jc w:val="both"/>
        <w:ind w:firstLine="445"/>
        <w:spacing w:after="0" w:line="239" w:lineRule="auto"/>
        <w:rPr>
          <w:sz w:val="20"/>
          <w:szCs w:val="20"/>
          <w:color w:val="auto"/>
        </w:rPr>
      </w:pPr>
      <w:r>
        <w:rPr>
          <w:rFonts w:ascii="Arial" w:cs="Arial" w:eastAsia="Arial" w:hAnsi="Arial"/>
          <w:sz w:val="20"/>
          <w:szCs w:val="20"/>
          <w:color w:val="auto"/>
        </w:rPr>
        <w:t>The electricity industry is expected to experience a surge in demand driven primarily by new manufacturing, industrial and data center facilities (inclusive of generative AI (“GenAI”)). The U.S. Energy Information Administration's 2023 Annual Energy Outlook, combined with external forecasts, shows the potential for 500 TWh of incremental load across the U.S. through 2030, as compared to 2023. ERCOT's current long term load forecast shows peak demand increasing from 86 GW in 2024 to 137 GW in 2028.</w:t>
      </w:r>
    </w:p>
    <w:p>
      <w:pPr>
        <w:spacing w:after="0" w:line="83"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8"/>
          <w:szCs w:val="18"/>
          <w:color w:val="auto"/>
        </w:rPr>
        <w:t>However, there is no assurance that these forecasts will be accurate or that the anticipated load growth will occur as projected. Factors such as evolving technology, improvements in energy efficiency, changes in economic conditions, shifts in government policy or regulation, and project delays or cancellations by the Company’s commercial and industrial consumers (including data center facilities) could reduce or slow demand for electricity relative to current expectations. The Company’s capital expenditures and other investments are influenced by projected demand; if the anticipated load growth fails to materialize, the Company could incur additional expenses to terminate or redeploy any underutilized assets or infrastructure, or it may be unable to fully recover its capital expenditures or realize the expected returns on its investments.</w:t>
      </w:r>
    </w:p>
    <w:p>
      <w:pPr>
        <w:spacing w:after="0" w:line="5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i w:val="1"/>
          <w:iCs w:val="1"/>
          <w:color w:val="auto"/>
        </w:rPr>
        <w:t>Operation of power generation facilities involves significant risks and hazards customary to the power industry that could have a material adverse effect on NRG's revenues and results of operations, and NRG may not have adequate insurance to cover these risks and hazards.</w:t>
      </w:r>
    </w:p>
    <w:p>
      <w:pPr>
        <w:spacing w:after="0" w:line="78"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8"/>
          <w:szCs w:val="18"/>
          <w:color w:val="auto"/>
        </w:rPr>
        <w:t>The ongoing operation of NRG's facilities involves risks that include the breakdown or failure of equipment or processes, performance below expected levels of output or efficiency and the inability to transport the Company's products to its customers in an efficient manner due to a lack of transmission capacity. Unplanned outages of generating units, including extensions of scheduled outages due to mechanical failures or other problems occur from time to time and are an inherent risk of the Company's business. Unplanned outages typically increase the Company's operation and maintenance expenses and may reduce the Company's revenues as a result of selling fewer MWh or incurring non-performance penalties and/or require NRG to incur significant costs as a result of obtaining replacement power from third parties in the open market or running one of its higher cost units to satisfy the Company's forward power sales obligations. NRG's inability to operate the Company's plants efficiently, manage capital expenditures and costs, and generate earnings and cash flow from the Company's asset-based businesses could have a material adverse effect on the Company's results of operations, financial condition or cash flows.</w:t>
      </w:r>
    </w:p>
    <w:p>
      <w:pPr>
        <w:spacing w:after="0" w:line="6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In addition, NRG provides plant operations and commercial services to a variety of third parties. There is a risk that mistakes, mis-operations or actions taken by these third parties could be attributed to NRG, including the risk of investigation or penalties being assessed to NRG in connection with the services it offers, or that regulators could question whether NRG had the appropriate safeguards in place.</w:t>
      </w:r>
    </w:p>
    <w:p>
      <w:pPr>
        <w:spacing w:after="0" w:line="84"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9"/>
          <w:szCs w:val="19"/>
          <w:color w:val="auto"/>
        </w:rPr>
        <w:t>Power generation involves hazardous activities, including acquiring, transporting and unloading fuel, operating large pieces of rotating equipment and delivering electricity to transmission and distribution systems. In addition to natural risks such as earthquake, flood, lightning, wildfires, hurricane and wind, other hazards, such as fire, explosion, structural collapse and machinery failure are inherent risks in the Company's operations. These and other hazards can cause significant personal injury or loss of life, severe damage to and destruction of property, plant and equipment, contamination of, or damage to, the environment and suspension of operations. The occurrence of any one of these events may result in NRG being named as a defendant in lawsuits asserting claims for substantial damages, including for environmental cleanup costs, personal injury and property damage and fines and/or penalties.</w:t>
      </w:r>
    </w:p>
    <w:p>
      <w:pPr>
        <w:spacing w:after="0" w:line="7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9"/>
          <w:szCs w:val="19"/>
          <w:color w:val="auto"/>
        </w:rPr>
        <w:t>NRG maintains an amount of insurance protection that it considers adequate, obtains warranties from vendors and obligates contractors to meet certain performance levels, but the Company cannot provide any assurance that these measures will be sufficient or effective under all circumstances and against all hazards or liabilities to which it may be subject. A successful claim for which the Company is not adequately insured or protected could hurt its financial results and materially harm NRG's financial condition. NRG cannot provide any assurance that its insurance coverage will continue to be available at all or at rates or on terms similar to those presently available. Any losses not covered by insurance could have a material adverse effect on the Company's financial condition, results of operations or cash flows.</w:t>
      </w:r>
    </w:p>
    <w:p>
      <w:pPr>
        <w:spacing w:after="0" w:line="6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i w:val="1"/>
          <w:iCs w:val="1"/>
          <w:color w:val="auto"/>
        </w:rPr>
        <w:t>NRG's costs, results of operations, financial condition and cash flows could be adversely impacted by disruption of its fuel supplies.</w:t>
      </w:r>
    </w:p>
    <w:p>
      <w:pPr>
        <w:spacing w:after="0" w:line="63"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color w:val="auto"/>
        </w:rPr>
        <w:t>NRG relies on natural gas, coal and oil to fuel a majority of its power generation facilities. Grid operations depend on the continuing financial viability of contractual counterparties, as well as the infrastructure (including rail lines, rail cars, barge facilities, roadways, riverways and natural gas pipelines) available to serve generation facilities and to ensure that there is sufficient power produced to meet retail demand. As a result, the Company’s wholesale generation facilities are subject to the risks of disruptions or curtailments in the production of power at its generation facilities if no fuel is available at any price, if a counterparty fails to perform or if there is a disruption in the fuel delivery infrastructure.</w:t>
      </w:r>
    </w:p>
    <w:p>
      <w:pPr>
        <w:spacing w:after="0" w:line="75" w:lineRule="exact"/>
        <w:rPr>
          <w:sz w:val="20"/>
          <w:szCs w:val="20"/>
          <w:color w:val="auto"/>
        </w:rPr>
      </w:pPr>
    </w:p>
    <w:p>
      <w:pPr>
        <w:jc w:val="both"/>
        <w:ind w:firstLine="445"/>
        <w:spacing w:after="0" w:line="407" w:lineRule="auto"/>
        <w:rPr>
          <w:sz w:val="20"/>
          <w:szCs w:val="20"/>
          <w:color w:val="auto"/>
        </w:rPr>
      </w:pPr>
      <w:r>
        <w:rPr>
          <w:rFonts w:ascii="Arial" w:cs="Arial" w:eastAsia="Arial" w:hAnsi="Arial"/>
          <w:sz w:val="16"/>
          <w:szCs w:val="16"/>
          <w:color w:val="auto"/>
        </w:rPr>
        <w:t>NRG routinely hedges both its wholesale sales and purchases to support its retail load obligations. In order to hedge these obligations, the Company may enter into long-term and short-term contracts for the purchase and delivery of fuel. Many of the</w:t>
      </w:r>
    </w:p>
    <w:p>
      <w:pPr>
        <w:sectPr>
          <w:pgSz w:w="11880" w:h="15480" w:orient="portrait"/>
          <w:cols w:equalWidth="0" w:num="1">
            <w:col w:w="10160"/>
          </w:cols>
          <w:pgMar w:left="860" w:top="505" w:right="860" w:bottom="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880" w:h="15480" w:orient="portrait"/>
          <w:cols w:equalWidth="0" w:num="1">
            <w:col w:w="10160"/>
          </w:cols>
          <w:pgMar w:left="860" w:top="505" w:right="860" w:bottom="0" w:gutter="0" w:footer="0" w:header="0"/>
          <w:type w:val="continuous"/>
        </w:sectPr>
      </w:pPr>
    </w:p>
    <w:bookmarkStart w:id="27" w:name="page28"/>
    <w:bookmarkEnd w:id="27"/>
    <w:p>
      <w:pPr>
        <w:jc w:val="both"/>
        <w:spacing w:after="0" w:line="287" w:lineRule="auto"/>
        <w:rPr>
          <w:sz w:val="20"/>
          <w:szCs w:val="20"/>
          <w:color w:val="auto"/>
        </w:rPr>
      </w:pPr>
      <w:r>
        <w:rPr>
          <w:rFonts w:ascii="Arial" w:cs="Arial" w:eastAsia="Arial" w:hAnsi="Arial"/>
          <w:sz w:val="18"/>
          <w:szCs w:val="18"/>
          <w:color w:val="auto"/>
        </w:rPr>
        <w:t>forward power sales contracts do not allow the Company to pass through changes in fuel costs or discharge the power sale obligations in the case of a disruption in fuel supply due to force majeure events or the default of a fuel supplier or transporter. Disruptions in the Company's fuel supplies or power supply arrangements may therefore require it to supply replacement power either by running its other, higher cost power plants or by obtaining power from third-party sources at market prices that could substantially exceed the contract price, or to pay damages to counterparties for failure to deliver power or sell electricity or natural gas as contracted. Any such event could have a material adverse effect on the Company's financial performance.</w:t>
      </w:r>
    </w:p>
    <w:p>
      <w:pPr>
        <w:spacing w:after="0" w:line="5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NRG also buys energy and fuel on a short-term or spot market basis. Prices sometimes rise or fall significantly over a relatively short period of time. The price NRG can obtain for the sale of energy may not rise at the same rate, or may not rise at all, to match a rise in fuel or delivery costs. Retail rates may also not rise at the same rate or may not rise at all. This may have a material adverse effect on the Company's financial performance.</w:t>
      </w:r>
    </w:p>
    <w:p>
      <w:pPr>
        <w:spacing w:after="0" w:line="84"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9"/>
          <w:szCs w:val="19"/>
          <w:color w:val="auto"/>
        </w:rPr>
        <w:t>NRG's plant operating characteristics and equipment, particularly at its coal-fired plants, often dictate the specific fuel quality to be combusted. The availability and price of specific fuel qualities may vary due to supplier financial or operational disruptions, transportation disruptions and force majeure. At times, coal of specific quality may not be available at any price or the Company may not be able to transport such coal to its facilities on a timely basis. In this case, the Company may not be able to run the coal facility even if it would be profitable. Operating a coal facility with different quality coal can lead to emission or operating problems. If the Company had sold forward the power from such a coal facility, it could be required to supply or purchase power from alternate sources, perhaps at a loss. This could have a material adverse impact on the financial results of specific plants and on the Company's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NRG relies on storage, transportation assets and suppliers, which it does not own or control, to deliver natural gas.</w:t>
      </w:r>
    </w:p>
    <w:p>
      <w:pPr>
        <w:spacing w:after="0" w:line="157" w:lineRule="exact"/>
        <w:rPr>
          <w:sz w:val="20"/>
          <w:szCs w:val="20"/>
          <w:color w:val="auto"/>
        </w:rPr>
      </w:pPr>
    </w:p>
    <w:p>
      <w:pPr>
        <w:jc w:val="both"/>
        <w:ind w:firstLine="445"/>
        <w:spacing w:after="0" w:line="280" w:lineRule="auto"/>
        <w:rPr>
          <w:sz w:val="20"/>
          <w:szCs w:val="20"/>
          <w:color w:val="auto"/>
        </w:rPr>
      </w:pPr>
      <w:r>
        <w:rPr>
          <w:rFonts w:ascii="Arial" w:cs="Arial" w:eastAsia="Arial" w:hAnsi="Arial"/>
          <w:sz w:val="18"/>
          <w:szCs w:val="18"/>
          <w:color w:val="auto"/>
        </w:rPr>
        <w:t>The Company depends on natural gas pipelines and other transportation and storage facilities owned and operated by third parties to deliver natural gas to wholesale and retail markets and to provide retail energy services to customers. The Company's ability to provide natural gas for its present and projected customers will depend upon its suppliers' ability to obtain and deliver supplies of natural gas, as well as NRG's ability to acquire supplies. Factors beyond the control of the Company and its suppliers may affect the Company's ability to deliver such supplies. These factors include other parties' control over the drilling of new wells and the facilities to transport natural gas to the Company's receipt points, development of additional interstate pipeline infrastructure, availability of supply sources competition for the acquisition of natural gas, priority allocations, impact of severe weather disruptions to natural gas supplies and the regulatory and pricing policies of federal and state regulatory agencies, as well as the availability of Canadian reserves for export to the U.S. Energy deregulation legislation may increase competition among natural gas utilities and impact the quantities of natural gas requirements needed for sales service. If supply, transportation or storage is disrupted, including for reasons of force majeure, the ability of the Company to sell and deliver its products and services may be hindered. As a result, the Company may be responsible for damages incurred by its customers, such as the additional cost of acquiring alternative supply at then-current market rates. These conditions could have a material impact on the Company's financial condition, results of operations and cash flows.</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i w:val="1"/>
          <w:iCs w:val="1"/>
          <w:color w:val="auto"/>
        </w:rPr>
        <w:t>NRG relies on power transmission and distribution facilities that it does not own or control and that are subject to transmission constraints within a number of the Company's core regions.</w:t>
      </w:r>
    </w:p>
    <w:p>
      <w:pPr>
        <w:spacing w:after="0" w:line="6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NRG depends on transmission and distribution facilities owned and operated by others to deliver power to its customers. If transmission or distribution is disrupted, including by force majeure events, or if the transmission or distribution infrastructure is inadequate, NRG's ability to deliver power may be adversely impacted. The Company also cannot predict whether transmission or distribution facilities will be expanded in specific markets to accommodate competitive access to those markets.</w:t>
      </w:r>
    </w:p>
    <w:p>
      <w:pPr>
        <w:spacing w:after="0" w:line="8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In addition, in certain of the markets in which NRG operates, energy transmission congestion may occur and the Company may be deemed responsible for congestion costs associated with power sales or purchases, or retail sales, particularly where the Company’s load is not co-located with its retail sales obligations. If NRG were liable for such congestion costs, the Company's financial results could be adversely affected.</w:t>
      </w:r>
    </w:p>
    <w:p>
      <w:pPr>
        <w:spacing w:after="0" w:line="7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b w:val="1"/>
          <w:bCs w:val="1"/>
          <w:i w:val="1"/>
          <w:iCs w:val="1"/>
          <w:color w:val="auto"/>
        </w:rPr>
        <w:t>Maintenance, expansion and refurbishment of power generation facilities involve significant risks that could result in unplanned power outages or reduced output and could have a material adverse effect on NRG's results of operations, cash flows and financial condition.</w:t>
      </w:r>
    </w:p>
    <w:p>
      <w:pPr>
        <w:spacing w:after="0" w:line="80" w:lineRule="exact"/>
        <w:rPr>
          <w:sz w:val="20"/>
          <w:szCs w:val="20"/>
          <w:color w:val="auto"/>
        </w:rPr>
      </w:pPr>
    </w:p>
    <w:p>
      <w:pPr>
        <w:jc w:val="both"/>
        <w:ind w:firstLine="445"/>
        <w:spacing w:after="0" w:line="217" w:lineRule="auto"/>
        <w:rPr>
          <w:sz w:val="20"/>
          <w:szCs w:val="20"/>
          <w:color w:val="auto"/>
        </w:rPr>
      </w:pPr>
      <w:r>
        <w:rPr>
          <w:rFonts w:ascii="Arial" w:cs="Arial" w:eastAsia="Arial" w:hAnsi="Arial"/>
          <w:sz w:val="20"/>
          <w:szCs w:val="20"/>
          <w:color w:val="auto"/>
        </w:rPr>
        <w:t>NRG's facilities require periodic maintenance and repair. Any unexpected failure, including failure associated with breakdowns, forced outages or any unanticipated capital expenditures could result in reduced profitability. NRG cannot be certain of the level of capital expenditures that will be required due to changing environmental and safety laws (including changes in the interpretation or enforcement thereof), needed facility repairs and unexpected events (such as natural disasters or terrorist attacks). The unexpected requirement of large capital expenditures could have a material adverse effect on the Company's liquidity and financial condition.</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880" w:h="15480" w:orient="portrait"/>
          <w:cols w:equalWidth="0" w:num="1">
            <w:col w:w="10160"/>
          </w:cols>
          <w:pgMar w:left="860" w:top="512" w:right="860" w:bottom="0" w:gutter="0" w:footer="0" w:header="0"/>
          <w:type w:val="continuous"/>
        </w:sectPr>
      </w:pPr>
    </w:p>
    <w:bookmarkStart w:id="28" w:name="page29"/>
    <w:bookmarkEnd w:id="28"/>
    <w:p>
      <w:pPr>
        <w:spacing w:after="0" w:line="281" w:lineRule="auto"/>
        <w:rPr>
          <w:sz w:val="20"/>
          <w:szCs w:val="20"/>
          <w:color w:val="auto"/>
        </w:rPr>
      </w:pPr>
      <w:r>
        <w:rPr>
          <w:rFonts w:ascii="Arial" w:cs="Arial" w:eastAsia="Arial" w:hAnsi="Arial"/>
          <w:sz w:val="20"/>
          <w:szCs w:val="20"/>
          <w:b w:val="1"/>
          <w:bCs w:val="1"/>
          <w:i w:val="1"/>
          <w:iCs w:val="1"/>
          <w:color w:val="auto"/>
        </w:rPr>
        <w:t>The Company may incur additional costs or delays in the development and construction of new generation projects and may not be able to recover its investments or complete the projects.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NRG’s development and construction of new generation facilities involve many risks, including:</w:t>
      </w:r>
    </w:p>
    <w:p>
      <w:pPr>
        <w:spacing w:after="0" w:line="105" w:lineRule="exact"/>
        <w:rPr>
          <w:sz w:val="20"/>
          <w:szCs w:val="20"/>
          <w:color w:val="auto"/>
        </w:rPr>
      </w:pPr>
    </w:p>
    <w:p>
      <w:pPr>
        <w:ind w:left="540" w:hanging="360"/>
        <w:spacing w:after="0"/>
        <w:tabs>
          <w:tab w:leader="none" w:pos="540" w:val="left"/>
        </w:tabs>
        <w:numPr>
          <w:ilvl w:val="0"/>
          <w:numId w:val="13"/>
        </w:numPr>
        <w:rPr>
          <w:rFonts w:ascii="Arial" w:cs="Arial" w:eastAsia="Arial" w:hAnsi="Arial"/>
          <w:sz w:val="24"/>
          <w:szCs w:val="24"/>
          <w:b w:val="1"/>
          <w:bCs w:val="1"/>
          <w:color w:val="auto"/>
        </w:rPr>
      </w:pPr>
      <w:r>
        <w:rPr>
          <w:rFonts w:ascii="Arial" w:cs="Arial" w:eastAsia="Arial" w:hAnsi="Arial"/>
          <w:sz w:val="20"/>
          <w:szCs w:val="20"/>
          <w:color w:val="auto"/>
        </w:rPr>
        <w:t>inability to receive governmental or other third-party funding;</w:t>
      </w:r>
    </w:p>
    <w:p>
      <w:pPr>
        <w:spacing w:after="0" w:line="13" w:lineRule="exact"/>
        <w:rPr>
          <w:rFonts w:ascii="Arial" w:cs="Arial" w:eastAsia="Arial" w:hAnsi="Arial"/>
          <w:sz w:val="24"/>
          <w:szCs w:val="24"/>
          <w:b w:val="1"/>
          <w:bCs w:val="1"/>
          <w:color w:val="auto"/>
        </w:rPr>
      </w:pPr>
    </w:p>
    <w:p>
      <w:pPr>
        <w:ind w:left="540" w:hanging="360"/>
        <w:spacing w:after="0"/>
        <w:tabs>
          <w:tab w:leader="none" w:pos="5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delays or inability in obtaining necessary permits and licenses;</w:t>
      </w:r>
    </w:p>
    <w:p>
      <w:pPr>
        <w:spacing w:after="0" w:line="6" w:lineRule="exact"/>
        <w:rPr>
          <w:rFonts w:ascii="Arial" w:cs="Arial" w:eastAsia="Arial" w:hAnsi="Arial"/>
          <w:sz w:val="20"/>
          <w:szCs w:val="20"/>
          <w:color w:val="auto"/>
        </w:rPr>
      </w:pPr>
    </w:p>
    <w:p>
      <w:pPr>
        <w:ind w:left="540" w:hanging="360"/>
        <w:spacing w:after="0"/>
        <w:tabs>
          <w:tab w:leader="none" w:pos="5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supply interruptions;</w:t>
      </w:r>
    </w:p>
    <w:p>
      <w:pPr>
        <w:spacing w:after="0" w:line="7" w:lineRule="exact"/>
        <w:rPr>
          <w:rFonts w:ascii="Arial" w:cs="Arial" w:eastAsia="Arial" w:hAnsi="Arial"/>
          <w:sz w:val="20"/>
          <w:szCs w:val="20"/>
          <w:color w:val="auto"/>
        </w:rPr>
      </w:pPr>
    </w:p>
    <w:p>
      <w:pPr>
        <w:ind w:left="540" w:hanging="360"/>
        <w:spacing w:after="0"/>
        <w:tabs>
          <w:tab w:leader="none" w:pos="5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work stoppages and labor disputes;</w:t>
      </w:r>
    </w:p>
    <w:p>
      <w:pPr>
        <w:spacing w:after="0" w:line="7" w:lineRule="exact"/>
        <w:rPr>
          <w:rFonts w:ascii="Arial" w:cs="Arial" w:eastAsia="Arial" w:hAnsi="Arial"/>
          <w:sz w:val="20"/>
          <w:szCs w:val="20"/>
          <w:color w:val="auto"/>
        </w:rPr>
      </w:pPr>
    </w:p>
    <w:p>
      <w:pPr>
        <w:ind w:left="540" w:hanging="360"/>
        <w:spacing w:after="0"/>
        <w:tabs>
          <w:tab w:leader="none" w:pos="5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weather interferences;</w:t>
      </w:r>
    </w:p>
    <w:p>
      <w:pPr>
        <w:spacing w:after="0" w:line="7" w:lineRule="exact"/>
        <w:rPr>
          <w:rFonts w:ascii="Arial" w:cs="Arial" w:eastAsia="Arial" w:hAnsi="Arial"/>
          <w:sz w:val="20"/>
          <w:szCs w:val="20"/>
          <w:color w:val="auto"/>
        </w:rPr>
      </w:pPr>
    </w:p>
    <w:p>
      <w:pPr>
        <w:ind w:left="540" w:hanging="360"/>
        <w:spacing w:after="0"/>
        <w:tabs>
          <w:tab w:leader="none" w:pos="5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unforeseen engineering, environmental and geological problems;</w:t>
      </w:r>
    </w:p>
    <w:p>
      <w:pPr>
        <w:spacing w:after="0" w:line="7" w:lineRule="exact"/>
        <w:rPr>
          <w:rFonts w:ascii="Arial" w:cs="Arial" w:eastAsia="Arial" w:hAnsi="Arial"/>
          <w:sz w:val="20"/>
          <w:szCs w:val="20"/>
          <w:color w:val="auto"/>
        </w:rPr>
      </w:pPr>
    </w:p>
    <w:p>
      <w:pPr>
        <w:ind w:left="540" w:hanging="360"/>
        <w:spacing w:after="0"/>
        <w:tabs>
          <w:tab w:leader="none" w:pos="5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unanticipated cost overruns; and</w:t>
      </w:r>
    </w:p>
    <w:p>
      <w:pPr>
        <w:spacing w:after="0" w:line="7" w:lineRule="exact"/>
        <w:rPr>
          <w:rFonts w:ascii="Arial" w:cs="Arial" w:eastAsia="Arial" w:hAnsi="Arial"/>
          <w:sz w:val="20"/>
          <w:szCs w:val="20"/>
          <w:color w:val="auto"/>
        </w:rPr>
      </w:pPr>
    </w:p>
    <w:p>
      <w:pPr>
        <w:ind w:left="540" w:hanging="360"/>
        <w:spacing w:after="0"/>
        <w:tabs>
          <w:tab w:leader="none" w:pos="5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failure of various third parties to perform under contracts.</w:t>
      </w:r>
    </w:p>
    <w:p>
      <w:pPr>
        <w:spacing w:after="0" w:line="106" w:lineRule="exact"/>
        <w:rPr>
          <w:sz w:val="20"/>
          <w:szCs w:val="20"/>
          <w:color w:val="auto"/>
        </w:rPr>
      </w:pPr>
    </w:p>
    <w:p>
      <w:pPr>
        <w:jc w:val="both"/>
        <w:ind w:firstLine="445"/>
        <w:spacing w:after="0" w:line="326" w:lineRule="auto"/>
        <w:rPr>
          <w:sz w:val="20"/>
          <w:szCs w:val="20"/>
          <w:color w:val="auto"/>
        </w:rPr>
      </w:pPr>
      <w:r>
        <w:rPr>
          <w:rFonts w:ascii="Arial" w:cs="Arial" w:eastAsia="Arial" w:hAnsi="Arial"/>
          <w:sz w:val="16"/>
          <w:szCs w:val="16"/>
          <w:color w:val="auto"/>
        </w:rPr>
        <w:t>Any of these risks could cause NRG's financial returns on such new investments to be lower than expected, or could cause the Company to operate below expected capacity or availability levels, which could result in loss of revenues, increase in expenses, higher maintenance costs and penalties. To protect against these risks, insurance is maintained, warranties are generally obtained for limited periods relating to the construction of each project and its equipment in varying degrees, and contractors and equipment suppliers are obligated to meet certain performance levels. The insurance, warranties or performance guarantees, however, may not be adequate to cover increased expenses. As a result, a project may cost more than projected and the Company may be unable to fund principal and interest payments under construction financing obligations, if any.</w:t>
      </w:r>
    </w:p>
    <w:p>
      <w:pPr>
        <w:spacing w:after="0" w:line="33"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9"/>
          <w:szCs w:val="19"/>
          <w:color w:val="auto"/>
        </w:rPr>
        <w:t>Furthermore, where the Company has partnering relationships with a third party, the Company is subject to the viability and performance of the third party. The Company's inability to find a replacement contracting party where the original contracting party has failed to perform, could result in the abandonment of the development and/or construction of such project, while the Company could remain obligated on other agreements associated with the project.</w:t>
      </w:r>
    </w:p>
    <w:p>
      <w:pPr>
        <w:spacing w:after="0" w:line="6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If the Company is unable to complete the development or construction of a facility, or decides to delay, downsize, or cancel such project, it may not be able to recover its investment in that facility. Furthermore, if construction projects are not completed according to specification, the Company may incur liabilities and suffer reduced plant efficiency, higher operating costs and reduced net income.</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20"/>
          <w:szCs w:val="20"/>
          <w:b w:val="1"/>
          <w:bCs w:val="1"/>
          <w:i w:val="1"/>
          <w:iCs w:val="1"/>
          <w:color w:val="auto"/>
        </w:rPr>
        <w:t>Because NRG owns less than a majority of the ownership interests of some of its project investments, the Company cannot exercise complete control over their operations.</w:t>
      </w:r>
    </w:p>
    <w:p>
      <w:pPr>
        <w:spacing w:after="0" w:line="62" w:lineRule="exact"/>
        <w:rPr>
          <w:sz w:val="20"/>
          <w:szCs w:val="20"/>
          <w:color w:val="auto"/>
        </w:rPr>
      </w:pPr>
    </w:p>
    <w:p>
      <w:pPr>
        <w:jc w:val="both"/>
        <w:ind w:firstLine="445"/>
        <w:spacing w:after="0" w:line="266" w:lineRule="auto"/>
        <w:rPr>
          <w:sz w:val="20"/>
          <w:szCs w:val="20"/>
          <w:color w:val="auto"/>
        </w:rPr>
      </w:pPr>
      <w:r>
        <w:rPr>
          <w:rFonts w:ascii="Arial" w:cs="Arial" w:eastAsia="Arial" w:hAnsi="Arial"/>
          <w:sz w:val="19"/>
          <w:szCs w:val="19"/>
          <w:color w:val="auto"/>
        </w:rPr>
        <w:t>NRG has limited control over the operation of some project investments and joint ventures because the Company's investments are in projects where it beneficially owns less than a majority of the ownership interests. NRG seeks to exert a degree of influence with respect to the management and operation of projects in which it owns less than a majority of the ownership interests by negotiating to obtain positions on management committees or to receive certain limited governance rights, such as rights to veto significant actions. However, the Company may not always succeed in such negotiations. NRG may be dependent on its co-venturers to operate such projects. The Company's co-venturers may not have the level of experience, technical expertise, human resources management or other attributes necessary to operate these projects optimally. The approval of co-venturers also may be required for NRG to receive distributions of funds from projects or to transfer the Company's interest in projects.</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b w:val="1"/>
          <w:bCs w:val="1"/>
          <w:i w:val="1"/>
          <w:iCs w:val="1"/>
          <w:color w:val="auto"/>
        </w:rPr>
        <w:t>NRG's trading operations and use of hedging agreements could result in financial losses that negatively impact its results of operations, and NRG's hedging activities may increase the volatility in the Company's quarterly and annual financial results.</w:t>
      </w:r>
    </w:p>
    <w:p>
      <w:pPr>
        <w:spacing w:after="0" w:line="80"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8"/>
          <w:szCs w:val="18"/>
          <w:color w:val="auto"/>
        </w:rPr>
        <w:t>The Company typically enters into hedging agreements, including contracts to purchase or sell commodities at future dates and at fixed prices, to manage the commodity price risks inherent in its business. The Company’s risk management policies and hedging procedures may not mitigate risk as planned, and the Company may fail to fully or effectively hedge its commodity supply and price risk. In addition, these activities, although intended to mitigate price volatility, expose the Company to other risks. When the Company sells or buys power or gas forward, it gives up the opportunity to buy or sell at the future price, which not only may result in lost opportunity costs but also may require the Company to post significant amounts of cash collateral or other credit support to its counterparties. The Company also relies on counterparty performance under its hedging agreements and is exposed to the credit quality of its counterparties under those agreements. Further, if the values of the financial contracts change in a manner that the Company does not anticipate, or if a counterparty fails to perform under a contract, it could harm the Company's business, operating results or financial position.</w:t>
      </w:r>
    </w:p>
    <w:p>
      <w:pPr>
        <w:spacing w:after="0" w:line="63"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NRG does not typically hedge the entire exposure of its operations against commodity price volatility. To the extent it does not hedge against commodity price volatility, the Company's results of operations and financial position may be improved or diminished based upon movement in commodity prices.</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880" w:h="15480" w:orient="portrait"/>
          <w:cols w:equalWidth="0" w:num="1">
            <w:col w:w="10160"/>
          </w:cols>
          <w:pgMar w:left="860" w:top="505" w:right="860" w:bottom="0" w:gutter="0" w:footer="0" w:header="0"/>
          <w:type w:val="continuous"/>
        </w:sectPr>
      </w:pPr>
    </w:p>
    <w:bookmarkStart w:id="29" w:name="page30"/>
    <w:bookmarkEnd w:id="29"/>
    <w:p>
      <w:pPr>
        <w:jc w:val="both"/>
        <w:ind w:firstLine="445"/>
        <w:spacing w:after="0" w:line="253" w:lineRule="auto"/>
        <w:rPr>
          <w:sz w:val="20"/>
          <w:szCs w:val="20"/>
          <w:color w:val="auto"/>
        </w:rPr>
      </w:pPr>
      <w:r>
        <w:rPr>
          <w:rFonts w:ascii="Arial" w:cs="Arial" w:eastAsia="Arial" w:hAnsi="Arial"/>
          <w:sz w:val="20"/>
          <w:szCs w:val="20"/>
          <w:color w:val="auto"/>
        </w:rPr>
        <w:t>NRG may engage in trading activities, including the trading of power, natural gas, fuel, emissions allowances, environmental attributes and credits, weather, and other physical and financial commodity related products that are not directly related to the operation of the Company's generation facilities or the management of related risks. These trading activities take place in volatile markets and some of these trades could be characterized as speculative. This trading activity may expose the Company to the risk of significant financial losses which could have a material adverse effect on its business and financial condition.</w:t>
      </w:r>
    </w:p>
    <w:p>
      <w:pPr>
        <w:spacing w:after="0" w:line="9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9"/>
          <w:szCs w:val="19"/>
          <w:color w:val="auto"/>
        </w:rPr>
        <w:t xml:space="preserve">NRG generally attempts to balance its fixed-price physical and financial purchases and sales commitments in terms of contract volumes and the timing of performance and delivery obligations through the use of financial and physical derivative contracts. These derivatives are accounted for in accordance with the FASB ASC 815, </w:t>
      </w:r>
      <w:r>
        <w:rPr>
          <w:rFonts w:ascii="Arial" w:cs="Arial" w:eastAsia="Arial" w:hAnsi="Arial"/>
          <w:sz w:val="19"/>
          <w:szCs w:val="19"/>
          <w:b w:val="1"/>
          <w:bCs w:val="1"/>
          <w:i w:val="1"/>
          <w:iCs w:val="1"/>
          <w:color w:val="auto"/>
        </w:rPr>
        <w:t>Derivatives and Hedging</w:t>
      </w:r>
      <w:r>
        <w:rPr>
          <w:rFonts w:ascii="Arial" w:cs="Arial" w:eastAsia="Arial" w:hAnsi="Arial"/>
          <w:sz w:val="19"/>
          <w:szCs w:val="19"/>
          <w:color w:val="auto"/>
        </w:rPr>
        <w:t xml:space="preserve"> ("ASC 815"), which requires the Company to record all derivatives on the balance sheet at fair value with changes in the fair value resulting from fluctuations in the underlying commodity prices immediately recognized in earnings, unless the derivative qualifies for cash flow hedge accounting treatment or a scope exception. As a result, the Company's quarterly and annual results are subject to significant fluctuations caused by changes in market prices.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NRG may not have sufficient liquidity to hedge market risks effectively.</w:t>
      </w:r>
    </w:p>
    <w:p>
      <w:pPr>
        <w:spacing w:after="0" w:line="13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The Company is exposed to market risks through its retail and wholesale operations, which involve the purchase of electricity and natural gas for resale, the sale of energy, capacity and related products, and the purchase and sale of fuel, transmission services and emission allowances. These market risks include, among other risks, volatility arising from location and timing differences that may be associated with buying and transporting fuel, converting fuel into energy and delivering energy to a buyer.</w:t>
      </w:r>
    </w:p>
    <w:p>
      <w:pPr>
        <w:spacing w:after="0" w:line="85"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19"/>
          <w:szCs w:val="19"/>
          <w:color w:val="auto"/>
        </w:rPr>
        <w:t>NRG undertakes to hedge these market activities through agreements with various counterparties. Many of the Company's agreements with counterparties include provisions that require the Company to provide guarantees, offset or netting arrangements, letters of credit, a first lien on assets and/or cash collateral to protect the counterparties against the risk of the Company's default or insolvency. The amount of such credit support that must be provided typically is based on the difference between the price of the commodity in a given contract and the market price of the commodity. Significant movements in market prices can result in the Company being required to provide cash collateral and letters of credit in very large amounts. The effectiveness of the Company's strategy may depend on the amount of collateral available to enter into or maintain these contracts, and liquidity requirements may be greater than the Company anticipates or will be able to meet. Without a sufficient amount of working capital to post as collateral in support of performance guarantees or as a cash margin, the Company may not be able to manage price volatility effectively or to implement its strategy. An increase in the amount of letters of credit or cash collateral required to be provided to the Company's counterparties may negatively affect the Company's liquidity and financial condition.</w:t>
      </w:r>
    </w:p>
    <w:p>
      <w:pPr>
        <w:spacing w:after="0" w:line="86"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9"/>
          <w:szCs w:val="19"/>
          <w:color w:val="auto"/>
        </w:rPr>
        <w:t>Further, if retail customers use more power or gas than expected, or if any of NRG's facilities experience unplanned outages, the Company may be required to procure additional power or gas at spot market prices to fulfill contractual commitments. Without adequate liquidity to meet margin and collateral requirements, the Company may be exposed to significant losses, may miss significant opportunities, and may have increased exposure to the volatility of spot markets.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There may be periods when NRG will not be able to meet its commitments under forward sale or purchase obligations at a reasonable cost or at all.</w:t>
      </w:r>
    </w:p>
    <w:p>
      <w:pPr>
        <w:spacing w:after="0" w:line="62"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8"/>
          <w:szCs w:val="18"/>
          <w:color w:val="auto"/>
        </w:rPr>
        <w:t>The Company may sell fixed price gas as a proxy for power. Because the obligations under most of the Company's forward sale agreements are not contingent on a unit being available to generate power, NRG is generally required to deliver power to the buyer, even in the event of a plant outage, fuel supply disruption or a reduction in the available capacity of the unit. To the extent that the Company does not have sufficient lower-cost capacity to meet its commitments under its forward sale obligations, the Company would be required to supply replacement power either by running its other, higher cost power plants or by obtaining power from third-party sources at market prices that could substantially exceed the contract price. If NRG fails to deliver the contracted power, it would be required to pay the difference between the market price at the delivery point and the contract price, and the amount of such payments could be substantial.</w:t>
      </w:r>
    </w:p>
    <w:p>
      <w:pPr>
        <w:spacing w:after="0" w:line="53" w:lineRule="exact"/>
        <w:rPr>
          <w:sz w:val="20"/>
          <w:szCs w:val="20"/>
          <w:color w:val="auto"/>
        </w:rPr>
      </w:pPr>
    </w:p>
    <w:p>
      <w:pPr>
        <w:jc w:val="both"/>
        <w:spacing w:after="0" w:line="285" w:lineRule="auto"/>
        <w:rPr>
          <w:sz w:val="20"/>
          <w:szCs w:val="20"/>
          <w:color w:val="auto"/>
        </w:rPr>
      </w:pPr>
      <w:r>
        <w:rPr>
          <w:rFonts w:ascii="Arial" w:cs="Arial" w:eastAsia="Arial" w:hAnsi="Arial"/>
          <w:sz w:val="19"/>
          <w:szCs w:val="19"/>
          <w:b w:val="1"/>
          <w:bCs w:val="1"/>
          <w:i w:val="1"/>
          <w:iCs w:val="1"/>
          <w:color w:val="auto"/>
        </w:rPr>
        <w:t>NRG’s strategy relies, in part, on its ability to bundle its products and services to optimize its network of home energy and smart home customers, and if it is unable to retain existing customers and expand their use of the Company’s products and services, its expected growth and operating results could be adversely affected.</w:t>
      </w:r>
    </w:p>
    <w:p>
      <w:pPr>
        <w:spacing w:after="0" w:line="60"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8"/>
          <w:szCs w:val="18"/>
          <w:color w:val="auto"/>
        </w:rPr>
        <w:t>As part of NRG’s growth strategy, it is important for the Company to bundle home energy and smart home services and products to optimize its customer base. As the Company is pursuing these opportunities to bundle services and products, there can be no assurances that its efforts in this regard will be successful. Additionally, for the Company to be successful in such opportunities, it must retain its existing customers. The length of the terms for which NRG’s home energy customers are contracted can be for multi-year periods, but many customers are contracted for a period of one year or less. Smart home customers historically have entered into subscriptions that range from three to five years. These customers are not obligated to, and may not, renew their contracts or subscriptions after the expiration of their original commitments. If customers terminate or</w:t>
      </w:r>
    </w:p>
    <w:p>
      <w:pPr>
        <w:sectPr>
          <w:pgSz w:w="11880" w:h="15480" w:orient="portrait"/>
          <w:cols w:equalWidth="0" w:num="1">
            <w:col w:w="10160"/>
          </w:cols>
          <w:pgMar w:left="860" w:top="512" w:right="860" w:bottom="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880" w:h="15480" w:orient="portrait"/>
          <w:cols w:equalWidth="0" w:num="1">
            <w:col w:w="10160"/>
          </w:cols>
          <w:pgMar w:left="860" w:top="512" w:right="860" w:bottom="0" w:gutter="0" w:footer="0" w:header="0"/>
          <w:type w:val="continuous"/>
        </w:sectPr>
      </w:pPr>
    </w:p>
    <w:bookmarkStart w:id="30" w:name="page31"/>
    <w:bookmarkEnd w:id="30"/>
    <w:p>
      <w:pPr>
        <w:jc w:val="both"/>
        <w:spacing w:after="0" w:line="261" w:lineRule="auto"/>
        <w:rPr>
          <w:sz w:val="20"/>
          <w:szCs w:val="20"/>
          <w:color w:val="auto"/>
        </w:rPr>
      </w:pPr>
      <w:r>
        <w:rPr>
          <w:rFonts w:ascii="Arial" w:cs="Arial" w:eastAsia="Arial" w:hAnsi="Arial"/>
          <w:sz w:val="20"/>
          <w:szCs w:val="20"/>
          <w:color w:val="auto"/>
        </w:rPr>
        <w:t>do not renew their contracts or do not expand their use of NRG’s products and services, the Company’s growth strategy may not be successful and its expected results of operations may be adversely affected.</w:t>
      </w:r>
    </w:p>
    <w:p>
      <w:pPr>
        <w:spacing w:after="0" w:line="55" w:lineRule="exact"/>
        <w:rPr>
          <w:sz w:val="20"/>
          <w:szCs w:val="20"/>
          <w:color w:val="auto"/>
        </w:rPr>
      </w:pPr>
    </w:p>
    <w:p>
      <w:pPr>
        <w:jc w:val="both"/>
        <w:spacing w:after="0" w:line="371" w:lineRule="auto"/>
        <w:rPr>
          <w:sz w:val="20"/>
          <w:szCs w:val="20"/>
          <w:color w:val="auto"/>
        </w:rPr>
      </w:pPr>
      <w:r>
        <w:rPr>
          <w:rFonts w:ascii="Arial" w:cs="Arial" w:eastAsia="Arial" w:hAnsi="Arial"/>
          <w:sz w:val="16"/>
          <w:szCs w:val="16"/>
          <w:b w:val="1"/>
          <w:bCs w:val="1"/>
          <w:i w:val="1"/>
          <w:iCs w:val="1"/>
          <w:color w:val="auto"/>
        </w:rPr>
        <w:t>The Company has made investments focused on consumer products that may not be successful, may not achieve the intended financial results or may result in product liability and reputational risk that could adversely affect the Company.</w:t>
      </w:r>
    </w:p>
    <w:p>
      <w:pPr>
        <w:spacing w:after="0" w:line="1"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19"/>
          <w:szCs w:val="19"/>
          <w:color w:val="auto"/>
        </w:rPr>
        <w:t>The Company may be liable to customers for any damage caused to customers’ homes, facilities, belongings or property during the installation of Company products and systems, such as smart home systems. Where such work is performed by independent contractors, such as repairs performed under the Company's home protection plan products, the Company may nonetheless face claims and costs for damage. In addition, shortages of skilled labor for Company projects could significantly delay a project or otherwise increase its costs. The products that the Company sells or manufactures may expose the Company to product liability claims relating to personal injury, death, or environmental or property damage, and may require product recalls or other actions. Although the Company maintains liability insurance and its service contracts limit Company liability, the Company cannot be certain that its coverage will be adequate for liabilities actually incurred or that insurance will continue to be available to the Company on economically reasonable terms, or at all, or that contractual limitations will be enforced. The laws of some states limit or prohibit insurance coverage for certain liabilities and actions, and any significant uninsured damages could have a material adverse effect on the Company’s business, financial condition and cash flows. Further, any product liability claims or damage caused by the Company could significantly impair the Company’s brand and reputation, which may result in a failure to maintain customers and achieve the Company’s desired growth initiatives in these new businesses.</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Changes in technology may impair the value of, and the attractiveness of, NRG’s retail products, smart home services and generation facilities.</w:t>
      </w:r>
    </w:p>
    <w:p>
      <w:pPr>
        <w:spacing w:after="0" w:line="62"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8"/>
          <w:szCs w:val="18"/>
          <w:color w:val="auto"/>
        </w:rPr>
        <w:t>Research and development activities are ongoing in the industry to provide alternative and more efficient technologies to produce power, including wind, photovoltaic (solar) cells, hydrogen, energy storage, and improvements in traditional technologies and equipment, such as more efficient gas turbines. Advances in these or other technologies, including through AI, could reduce the costs of power production to a level below what the Company has currently forecasted, which could adversely affect its cash flows, results of operations or competitive position. Technology, including distributed technology or changes in retail rate structures, may also have a material impact on the Company’s ability to retain retail customers. Further, technological innovation and changes could cause the Company’s smart home products and services to become obsolete, or otherwise more expensive and less effective than those of competitors, putting the Company at a competitive disadvantage.</w:t>
      </w:r>
    </w:p>
    <w:p>
      <w:pPr>
        <w:spacing w:after="0" w:line="60"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9"/>
          <w:szCs w:val="19"/>
          <w:color w:val="auto"/>
        </w:rPr>
        <w:t>Some emerging technologies, such as distributed renewable energy technologies, broad consumer adoption of electric vehicles and energy storage devices, could affect the price of energy. These emerging technologies may affect the financial viability of utility counterparties and could have significant impacts on wholesale market prices, which could ultimately have a material adverse effect on NRG's financial condition, results of operations and cash flows.</w:t>
      </w:r>
    </w:p>
    <w:p>
      <w:pPr>
        <w:spacing w:after="0" w:line="61" w:lineRule="exact"/>
        <w:rPr>
          <w:sz w:val="20"/>
          <w:szCs w:val="20"/>
          <w:color w:val="auto"/>
        </w:rPr>
      </w:pPr>
    </w:p>
    <w:p>
      <w:pPr>
        <w:jc w:val="both"/>
        <w:spacing w:after="0" w:line="307" w:lineRule="auto"/>
        <w:rPr>
          <w:sz w:val="20"/>
          <w:szCs w:val="20"/>
          <w:color w:val="auto"/>
        </w:rPr>
      </w:pPr>
      <w:r>
        <w:rPr>
          <w:rFonts w:ascii="Arial" w:cs="Arial" w:eastAsia="Arial" w:hAnsi="Arial"/>
          <w:sz w:val="18"/>
          <w:szCs w:val="18"/>
          <w:b w:val="1"/>
          <w:bCs w:val="1"/>
          <w:i w:val="1"/>
          <w:iCs w:val="1"/>
          <w:color w:val="auto"/>
        </w:rPr>
        <w:t>The Company’s smart home services rely on innovation and any failure to adequately protect the Company’s intellectual property underlying such innovation, or claims that the Company has infringed the intellectual property rights of others, could have an adverse effect on its business and operations and result in a competitive disadvantage.</w:t>
      </w:r>
    </w:p>
    <w:p>
      <w:pPr>
        <w:spacing w:after="0" w:line="44" w:lineRule="exact"/>
        <w:rPr>
          <w:sz w:val="20"/>
          <w:szCs w:val="20"/>
          <w:color w:val="auto"/>
        </w:rPr>
      </w:pPr>
    </w:p>
    <w:p>
      <w:pPr>
        <w:jc w:val="both"/>
        <w:ind w:firstLine="445"/>
        <w:spacing w:after="0" w:line="280" w:lineRule="auto"/>
        <w:rPr>
          <w:sz w:val="20"/>
          <w:szCs w:val="20"/>
          <w:color w:val="auto"/>
        </w:rPr>
      </w:pPr>
      <w:r>
        <w:rPr>
          <w:rFonts w:ascii="Arial" w:cs="Arial" w:eastAsia="Arial" w:hAnsi="Arial"/>
          <w:sz w:val="18"/>
          <w:szCs w:val="18"/>
          <w:color w:val="auto"/>
        </w:rPr>
        <w:t>The Company relies on a combination of patent, trademark, copyright and trade secret right under the laws of the United States and other countries and a combination of confidentiality procedures, contractual provisions and other methods, to protect its intellectual property, all of which offer only limited protection. If the Company fails to acquire the necessary intellectual property rights or adequately protect or assert its intellectual property rights, competitors may manufacture and market similar products and services or convert customers, which could adversely affect market share and results of operations for smart home services. In addition, patent rights may not prevent competitors from developing, using or selling products or services that are similar to or address the same market as the Company’s smart home products and services. Certain of the Company’s smart home solutions contain software modules licensed under “open-source” licenses, which may entail greater risks than the use of commercial software, as open-source licensors generally do not provide warranties or other contractual protections regarding infringement claims or the quality of the code. Further, if proprietary software is combined with open-source software, in certain cases the Company could be required to release the source code of the proprietary software to the public, allowing competitors to create similar products with lower development effort and time.</w:t>
      </w:r>
    </w:p>
    <w:p>
      <w:pPr>
        <w:spacing w:after="0" w:line="72"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color w:val="auto"/>
        </w:rPr>
        <w:t>It is possible that certain of the Company’s smart home products and services or those of third parties incorporated into its offerings could infringe the intellectual property rights of others. From time to time, Vivint Smart Home has been subject to claims based on allegations of infringement, misappropriation or other violations of the intellectual property rights of others. If the Company is unable to successfully defend against such claims or license necessary third-party technology or intellectual property on acceptable terms, it may be required to develop alternative, non-infringing technology, which could require significant time, effort, and expense and may ultimately not be successful.</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880" w:h="15480" w:orient="portrait"/>
          <w:cols w:equalWidth="0" w:num="1">
            <w:col w:w="10160"/>
          </w:cols>
          <w:pgMar w:left="860" w:top="512" w:right="860" w:bottom="0" w:gutter="0" w:footer="0" w:header="0"/>
          <w:type w:val="continuous"/>
        </w:sectPr>
      </w:pPr>
    </w:p>
    <w:bookmarkStart w:id="31" w:name="page32"/>
    <w:bookmarkEnd w:id="31"/>
    <w:p>
      <w:pPr>
        <w:jc w:val="both"/>
        <w:spacing w:after="0" w:line="259" w:lineRule="auto"/>
        <w:rPr>
          <w:sz w:val="20"/>
          <w:szCs w:val="20"/>
          <w:color w:val="auto"/>
        </w:rPr>
      </w:pPr>
      <w:r>
        <w:rPr>
          <w:rFonts w:ascii="Arial" w:cs="Arial" w:eastAsia="Arial" w:hAnsi="Arial"/>
          <w:sz w:val="20"/>
          <w:szCs w:val="20"/>
          <w:b w:val="1"/>
          <w:bCs w:val="1"/>
          <w:i w:val="1"/>
          <w:iCs w:val="1"/>
          <w:color w:val="auto"/>
        </w:rPr>
        <w:t>The operation of the Company's businesses is subject to advanced persistent cyber-based security threats and integrity risk. Attacks on NRG's infrastructure that breach cyber/data security measures could expose the Company to significant liabilities, reputational damage, regulatory action, and disrupt business operations, which could have a material adverse effect.</w:t>
      </w:r>
    </w:p>
    <w:p>
      <w:pPr>
        <w:spacing w:after="0" w:line="84"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20"/>
          <w:szCs w:val="20"/>
          <w:color w:val="auto"/>
        </w:rPr>
        <w:t>Numerous functions affecting the efficient operation of NRG’s businesses depend on the secure and reliable storage, processing and communication of electronic data and the use of sophisticated computer hardware and software systems, much of which is connected (directly or indirectly) to the internet. As a result, NRG's information technology systems and infrastructure, and those of its vendors and suppliers, are vulnerable to cyber-based security threats which could compromise confidentiality, integrity or availability. While the Company has controls in place designed to protect its infrastructure, such breaches and threats are becoming increasingly sophisticated and complex, requiring continuing evolution and constant improvements in security programs and technology. Any such breach, disruption or similar event that impairs NRG's information technology infrastructure could disrupt normal business operations and affect the Company's ability to control its generation assets, provide smart home services, maintain confidentiality, availability and integrity of restricted data, access retail customer information and limit communication with customers and third parties, which could have a material adverse effect on the Company.</w:t>
      </w:r>
    </w:p>
    <w:p>
      <w:pPr>
        <w:spacing w:after="0" w:line="9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As part of the continuing development of new and modified reliability standards, the FERC has approved changes to its Critical Infrastructure Protection reliability standards and has established standards for assets identified as "critical cyber assets." Under the Energy Policy Act of 2005, the FERC can impose penalties, up to $1 million per day, per violation, for failure to comply with mandatory electric reliability standards, including standards to protect the power system against potential disruptions from cyber/data and physical security breaches.</w:t>
      </w:r>
    </w:p>
    <w:p>
      <w:pPr>
        <w:spacing w:after="0" w:line="85" w:lineRule="exact"/>
        <w:rPr>
          <w:sz w:val="20"/>
          <w:szCs w:val="20"/>
          <w:color w:val="auto"/>
        </w:rPr>
      </w:pPr>
    </w:p>
    <w:p>
      <w:pPr>
        <w:jc w:val="both"/>
        <w:ind w:firstLine="445"/>
        <w:spacing w:after="0" w:line="266" w:lineRule="auto"/>
        <w:rPr>
          <w:sz w:val="20"/>
          <w:szCs w:val="20"/>
          <w:color w:val="auto"/>
        </w:rPr>
      </w:pPr>
      <w:r>
        <w:rPr>
          <w:rFonts w:ascii="Arial" w:cs="Arial" w:eastAsia="Arial" w:hAnsi="Arial"/>
          <w:sz w:val="19"/>
          <w:szCs w:val="19"/>
          <w:color w:val="auto"/>
        </w:rPr>
        <w:t>Further, the Company's retail and Home businesses, as well as Vivint Smart Home's smart home platform, require accessing, collecting, storing and transmitting sensitive customer data in the ordinary course of business. Concerns about data privacy have led to increased regulation and other actions that could impact NRG's businesses and changes in data privacy and data protection laws and regulations or any failure to comply with such laws and regulations could adversely affect the Company's business and financial results. NRG's retail, Home and smart home businesses access and store sensitive customer data. Additionally, NRG relies on vendors and service providers, such as call centers, that may require access to sensitive data, which increase the risk of data breaches through third-party action or errors. The services and the networks and information systems utilized by the Company may be at risk for breaches as a result of third-party actions, employee or vendor error, malfeasance or other factors.</w:t>
      </w:r>
    </w:p>
    <w:p>
      <w:pPr>
        <w:spacing w:after="0" w:line="78" w:lineRule="exact"/>
        <w:rPr>
          <w:sz w:val="20"/>
          <w:szCs w:val="20"/>
          <w:color w:val="auto"/>
        </w:rPr>
      </w:pPr>
    </w:p>
    <w:p>
      <w:pPr>
        <w:jc w:val="both"/>
        <w:ind w:firstLine="445"/>
        <w:spacing w:after="0" w:line="278" w:lineRule="auto"/>
        <w:rPr>
          <w:sz w:val="20"/>
          <w:szCs w:val="20"/>
          <w:color w:val="auto"/>
        </w:rPr>
      </w:pPr>
      <w:r>
        <w:rPr>
          <w:rFonts w:ascii="Arial" w:cs="Arial" w:eastAsia="Arial" w:hAnsi="Arial"/>
          <w:sz w:val="18"/>
          <w:szCs w:val="18"/>
          <w:color w:val="auto"/>
        </w:rPr>
        <w:t>Although the Company takes precautions to protect its infrastructure, it has been, and will likely continue to be, subject to attempts at phishing and other cybersecurity intrusions. International conflict increases the risk of state-sponsored cyber threats and escalated use of cybercriminal and cyber-espionage activities. In particular, the current geopolitical climate has further escalated cybersecurity risk, with various government agencies, including the U.S. Cybersecurity &amp; Infrastructure Security Agency, issuing warnings of increased cyber threats, particularly for U.S. critical infrastructure. Additionally, the rapid advancement and integration of AI and machine learning technologies present new and evolving risks. These technologies can be exploited by malicious actors to enhance the sophistication and scale of cyberattacks, making it more challenging to detect and mitigate such threats. While the Company has not experienced a cyber/data breach or event causing any material operational, reputational or financial harm, it recognizes the growing threat within the general marketplace and the industry, and there is no assurance that NRG will be able to prevent any such harm in the future. If a material breach of the Company's information technology systems were to occur, the critical operational capabilities and reputation of its business may be adversely affected, customer confidence may be diminished, and NRG may be subject to substantial legal or regulatory scrutiny and claims, any of which may contribute to potential legal or regulatory actions against the Company, loss of customers, fines, penalties or other sanctions and otherwise have a material adverse effect. Any loss or disruption of critical operational capabilities to support the Company's generation, commercial or retail operations, loss of customers, or loss of confidential or proprietary data through a breach, unauthorized access, disruption, misuse or disclosure could adversely affect NRG's reputation, expose the Company to material legal or regulatory claims and impair the Company's ability to execute its business strategy, which could have a material adverse effect. In addition, NRG may experience increased capital and operating costs to implement enhanced security for its information technology infrastructure. NRG cannot provide any assurance that such events and impacts will not be material in the future, and the Company's efforts to deter, identify and mitigate future breaches may require additional significant capital and may not be successful.</w:t>
      </w:r>
    </w:p>
    <w:p>
      <w:pPr>
        <w:spacing w:after="0" w:line="66"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i w:val="1"/>
          <w:iCs w:val="1"/>
          <w:color w:val="auto"/>
        </w:rPr>
        <w:t>The Company’s growing use of AI systems in its operations, services and products poses inherent risks, which may cause operational and reputational harm.</w:t>
      </w:r>
    </w:p>
    <w:p>
      <w:pPr>
        <w:spacing w:after="0" w:line="63" w:lineRule="exact"/>
        <w:rPr>
          <w:sz w:val="20"/>
          <w:szCs w:val="20"/>
          <w:color w:val="auto"/>
        </w:rPr>
      </w:pPr>
    </w:p>
    <w:p>
      <w:pPr>
        <w:jc w:val="both"/>
        <w:ind w:firstLine="445"/>
        <w:spacing w:after="0" w:line="295" w:lineRule="auto"/>
        <w:rPr>
          <w:sz w:val="20"/>
          <w:szCs w:val="20"/>
          <w:color w:val="auto"/>
        </w:rPr>
      </w:pPr>
      <w:r>
        <w:rPr>
          <w:rFonts w:ascii="Arial" w:cs="Arial" w:eastAsia="Arial" w:hAnsi="Arial"/>
          <w:sz w:val="18"/>
          <w:szCs w:val="18"/>
          <w:color w:val="auto"/>
        </w:rPr>
        <w:t>The Company has incorporated and intends to continue to incorporate AI technologies, such as GenAI, in its operations. services and products. Because GenAI is an emerging technology, ineffective or inadequate AI development, governance, or deployment practices by NRG or third-party vendors could result in unintended consequences, and the desired efficiencies and other intended benefits could fail to materialize. Due to its non-deterministic nature, GenAI technologies can create accuracy</w:t>
      </w:r>
    </w:p>
    <w:p>
      <w:pPr>
        <w:sectPr>
          <w:pgSz w:w="11880" w:h="15480" w:orient="portrait"/>
          <w:cols w:equalWidth="0" w:num="1">
            <w:col w:w="10160"/>
          </w:cols>
          <w:pgMar w:left="860" w:top="505" w:right="860" w:bottom="0" w:gutter="0" w:footer="0" w:header="0"/>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880" w:h="15480" w:orient="portrait"/>
          <w:cols w:equalWidth="0" w:num="1">
            <w:col w:w="10160"/>
          </w:cols>
          <w:pgMar w:left="860" w:top="505" w:right="860" w:bottom="0" w:gutter="0" w:footer="0" w:header="0"/>
          <w:type w:val="continuous"/>
        </w:sectPr>
      </w:pPr>
    </w:p>
    <w:bookmarkStart w:id="32" w:name="page33"/>
    <w:bookmarkEnd w:id="32"/>
    <w:p>
      <w:pPr>
        <w:jc w:val="both"/>
        <w:spacing w:after="0" w:line="287" w:lineRule="auto"/>
        <w:rPr>
          <w:sz w:val="20"/>
          <w:szCs w:val="20"/>
          <w:color w:val="auto"/>
        </w:rPr>
      </w:pPr>
      <w:r>
        <w:rPr>
          <w:rFonts w:ascii="Arial" w:cs="Arial" w:eastAsia="Arial" w:hAnsi="Arial"/>
          <w:sz w:val="18"/>
          <w:szCs w:val="18"/>
          <w:color w:val="auto"/>
        </w:rPr>
        <w:t>issues, unintended biases and discriminatory outcomes, or may create content that appears correct but is actually inaccurate or flawed. If the recommendations, content, or analyses that AI applications produce are or are alleged to be deficient or inaccurate, NRG could be subjected to potential legal liability and business harm, including brand or reputational harm and operational interruptions and ultimately have a material adverse effect on NRG’s results of operations. In addition, the evolving nature of AI may cause new laws and regulations to be enacted which may require significant resources and costs to modify and maintain business practices in order to comply with these new laws and regulations.</w:t>
      </w:r>
    </w:p>
    <w:p>
      <w:pPr>
        <w:spacing w:after="0" w:line="52" w:lineRule="exact"/>
        <w:rPr>
          <w:sz w:val="20"/>
          <w:szCs w:val="20"/>
          <w:color w:val="auto"/>
        </w:rPr>
      </w:pPr>
    </w:p>
    <w:p>
      <w:pPr>
        <w:jc w:val="both"/>
        <w:spacing w:after="0" w:line="309" w:lineRule="auto"/>
        <w:rPr>
          <w:sz w:val="20"/>
          <w:szCs w:val="20"/>
          <w:color w:val="auto"/>
        </w:rPr>
      </w:pPr>
      <w:r>
        <w:rPr>
          <w:rFonts w:ascii="Arial" w:cs="Arial" w:eastAsia="Arial" w:hAnsi="Arial"/>
          <w:sz w:val="19"/>
          <w:szCs w:val="19"/>
          <w:b w:val="1"/>
          <w:bCs w:val="1"/>
          <w:i w:val="1"/>
          <w:iCs w:val="1"/>
          <w:color w:val="auto"/>
        </w:rPr>
        <w:t>Future acquisition or disposition activities could involve unknown risks and may have materially adverse effects and NRG may be subject to trailing liabilities from businesses that it disposes of or that are inactive.</w:t>
      </w:r>
    </w:p>
    <w:p>
      <w:pPr>
        <w:spacing w:after="0" w:line="39"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8"/>
          <w:szCs w:val="18"/>
          <w:color w:val="auto"/>
        </w:rPr>
        <w:t>NRG may in the future acquire or dispose of businesses or assets, acquire or sell books of retail customers, or pursue other business activities, directly or indirectly, through subsidiaries that involve a number of risks. The acquisition of companies and assets, and their integration, is subject to substantial risks, including the failure to identify material problems during due diligence, the risk of over-paying for assets or customers, the inability to retain customers and the inability to arrange financing for an acquisition as may be required or desired. Further, the integration and consolidation of acquisitions requires substantial human, financial and other resources and, ultimately, the Company's acquisitions may not be successfully integrated. In the case of dispositions, such risks may relate to employment matters, counterparties, regulators and other stakeholders in the disposed business, the separation of disposed assets from NRG’s business, the management of NRG’s ongoing business, and other financial, legal and operational matters related to such disposition, which may be unknown to NRG at the time. In addition, NRG may be subject to material trailing liabilities from disposed businesses. Any such risk may result in one or more costly disputes or litigation. There can be no assurances that any future acquisitions will perform as expected or that the returns from such acquisitions will support the indebtedness incurred to acquire them or the capital expenditures needed to develop them. There can also be no assurances that NRG will realize the anticipated benefits from any such dispositions. The failure to realize the anticipated returns or benefits from an acquisition or disposition could adversely affect NRG's results of operations, cash flows and financial condition.</w:t>
      </w:r>
    </w:p>
    <w:p>
      <w:pPr>
        <w:spacing w:after="0" w:line="66"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i w:val="1"/>
          <w:iCs w:val="1"/>
          <w:color w:val="auto"/>
        </w:rPr>
        <w:t>Competition may have a material adverse effect on NRG's results of operations, cash flows and the market value of its assets.</w:t>
      </w:r>
    </w:p>
    <w:p>
      <w:pPr>
        <w:spacing w:after="0" w:line="63"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8"/>
          <w:szCs w:val="18"/>
          <w:color w:val="auto"/>
        </w:rPr>
        <w:t>The Company's retail operations face competition for customers. Competitors may offer different products, lower prices, and other incentives which may attract customers away from the Company. In some retail electricity markets, the principal competitor may be the incumbent utility. The incumbent utility often has the advantage of long-standing relationships with its customers and strong brand recognition. Furthermore, NRG may face competition from other energy service providers, other energy industry participants, or nationally branded providers of consumer products and services — including providers that may be better equipped to satisfy the large and rapid load growth expected of manufacturing, industrial, and data center customers — who have, and may in the future, develop businesses and offerings that compete with NRG.</w:t>
      </w:r>
    </w:p>
    <w:p>
      <w:pPr>
        <w:spacing w:after="0" w:line="6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The Company's smart home services market faces competition from residential security companies as well as other companies that are able to bundle their existing offerings, such as cable, telecommunications and internet service, with automation and monitored security services, and from do-it-yourself smart home systems, which customers are able to install without subscription services.</w:t>
      </w:r>
    </w:p>
    <w:p>
      <w:pPr>
        <w:spacing w:after="0" w:line="8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The Company’s plant operations face competition from newer or more efficient plants owned by competitors, which may put some of the Company's plants at a disadvantage to the extent these competitors are able to consume the same or less fuel as the Company's plant. Over time, the Company's plants may be unable to compete with these more efficient plants, which could result in asset retirements.</w:t>
      </w:r>
    </w:p>
    <w:p>
      <w:pPr>
        <w:spacing w:after="0" w:line="84"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9"/>
          <w:szCs w:val="19"/>
          <w:color w:val="auto"/>
        </w:rPr>
        <w:t>NRG’s competitors may have greater liquidity, greater access to credit and other financial resources, lower cost structures, more effective risk management policies and procedures, greater ability to incur losses, longer-standing relationships with customers, greater brand awareness, greater potential for profitability from retail sales or greater flexibility in the timing of their sale of generation capacity and ancillary services than NRG does. Competitors may also have better access to subsidies or other out-of-market payments that put NRG at a competitive disadvantage.</w:t>
      </w:r>
    </w:p>
    <w:p>
      <w:pPr>
        <w:spacing w:after="0" w:line="7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NRG's competitors may be able to respond more quickly to new laws or regulations or emerging technologies, or devote greater resources to marketing of retail energy and home services than NRG can. In addition, current and potential competitors may make strategic acquisitions or establish cooperative relationships among themselves or with third parties. Accordingly, it is possible that new competitors or alliances among current and new competitors may emerge and rapidly gain significant market share.</w:t>
      </w:r>
    </w:p>
    <w:p>
      <w:pPr>
        <w:spacing w:after="0" w:line="8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There can be no assurance that NRG will be able to compete successfully against current and future competitors, and any failure to do so would have a material adverse effect on the Company's business, financial condition, results of operations and cash flow.</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880" w:h="15480" w:orient="portrait"/>
          <w:cols w:equalWidth="0" w:num="1">
            <w:col w:w="10160"/>
          </w:cols>
          <w:pgMar w:left="860" w:top="512" w:right="860" w:bottom="0" w:gutter="0" w:footer="0" w:header="0"/>
          <w:type w:val="continuous"/>
        </w:sectPr>
      </w:pPr>
    </w:p>
    <w:bookmarkStart w:id="33" w:name="page34"/>
    <w:bookmarkEnd w:id="33"/>
    <w:p>
      <w:pPr>
        <w:jc w:val="both"/>
        <w:spacing w:after="0" w:line="264" w:lineRule="auto"/>
        <w:rPr>
          <w:sz w:val="20"/>
          <w:szCs w:val="20"/>
          <w:color w:val="auto"/>
        </w:rPr>
      </w:pPr>
      <w:r>
        <w:rPr>
          <w:rFonts w:ascii="Arial" w:cs="Arial" w:eastAsia="Arial" w:hAnsi="Arial"/>
          <w:sz w:val="20"/>
          <w:szCs w:val="20"/>
          <w:b w:val="1"/>
          <w:bCs w:val="1"/>
          <w:i w:val="1"/>
          <w:iCs w:val="1"/>
          <w:color w:val="auto"/>
        </w:rPr>
        <w:t>Supplier and/or customer concentration, the inability of suppliers to meet their obligations and dependence on third-party service providers may expose the Company to significant financial credit or performance risks and adversely affect NRG's results of operations, cash flows and financial condition.</w:t>
      </w:r>
    </w:p>
    <w:p>
      <w:pPr>
        <w:spacing w:after="0" w:line="80"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NRG often relies on a single contracted supplier or a small number of suppliers for the provision and transportation of fuel, chemicals and other services required for the operation of certain of its facilities. If these suppliers cannot perform these services, the Company utilizes the marketplace. There can be no assurance that the marketplace can provide these services as, when and where required or at comparable prices. The Company also relies on a number of sole or limited source suppliers for critical components for its smart home products and services, and those services are dependent on third-party cellular, telecommunications and/or internet providers.</w:t>
      </w:r>
    </w:p>
    <w:p>
      <w:pPr>
        <w:spacing w:after="0" w:line="9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The failure of any supplier or customer to fulfill its contractual obligations to NRG, the inability of NRG to source products and services on acceptable terms, if at all, and the failure of third parties to provide services to its customers that are necessary for the Company’s smart home services could have a material adverse effect on the Company's financial results. As a result, the financial performance of the Company's facilities is dependent on the credit quality of, and continued performance by, suppliers and customers, which cannot be guaranteed.</w:t>
      </w:r>
    </w:p>
    <w:p>
      <w:pPr>
        <w:spacing w:after="0" w:line="78"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i w:val="1"/>
          <w:iCs w:val="1"/>
          <w:color w:val="auto"/>
        </w:rPr>
        <w:t>Negative publicity may damage NRG's reputation or its brands and negatively impact its business, financial condition, results of operations and ability to attract and retain highly qualified employees.</w:t>
      </w:r>
    </w:p>
    <w:p>
      <w:pPr>
        <w:spacing w:after="0" w:line="63"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8"/>
          <w:szCs w:val="18"/>
          <w:color w:val="auto"/>
        </w:rPr>
        <w:t>NRG’s reputation and brands could be damaged for numerous reasons, including negative views of the Company’s environmental impact, sustainability goals, supply chain practices, product and service offerings, sponsorship relationships, charitable giving programs and public statements made by Company officials. Additionally, the Company is from time to time named in investigations, claims and lawsuits arising in the ordinary course of business, and customers have in the past communicated complaints to consumer protection organizations, regulators or the media. Negative claims or publicity regarding the Company or its operations, offerings, practices or customer service may damage its brands or reputation, even if such claims are untrue. The Company may also experience criticism or backlash from media, customers, employees, government entities, advocacy groups and other stakeholders that disagree with positions taken by the Company or its executives. If the Company’s brands or reputation are damaged, it could negatively impact the Company’s business, financial condition, results of operations, and ability to attract and retain highly qualified employees.</w:t>
      </w:r>
    </w:p>
    <w:p>
      <w:pPr>
        <w:spacing w:after="0" w:line="56"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i w:val="1"/>
          <w:iCs w:val="1"/>
          <w:color w:val="auto"/>
        </w:rPr>
        <w:t>NRG's business, financial condition and results of operations could be adversely impacted by strikes or work stoppages by its unionized employees or inability to replace employees as they retire.</w:t>
      </w:r>
    </w:p>
    <w:p>
      <w:pPr>
        <w:spacing w:after="0" w:line="63" w:lineRule="exact"/>
        <w:rPr>
          <w:sz w:val="20"/>
          <w:szCs w:val="20"/>
          <w:color w:val="auto"/>
        </w:rPr>
      </w:pPr>
    </w:p>
    <w:p>
      <w:pPr>
        <w:jc w:val="both"/>
        <w:ind w:firstLine="445"/>
        <w:spacing w:after="0" w:line="323" w:lineRule="auto"/>
        <w:rPr>
          <w:sz w:val="20"/>
          <w:szCs w:val="20"/>
          <w:color w:val="auto"/>
        </w:rPr>
      </w:pPr>
      <w:r>
        <w:rPr>
          <w:rFonts w:ascii="Arial" w:cs="Arial" w:eastAsia="Arial" w:hAnsi="Arial"/>
          <w:sz w:val="16"/>
          <w:szCs w:val="16"/>
          <w:color w:val="auto"/>
        </w:rPr>
        <w:t>As of December 31, 2024, approximately 4% of NRG's employees were covered by collective bargaining agreements. In the event that the Company's union employees strike, participate in a work stoppage or slowdown or engage in other forms of labor strife or disruption, NRG would be responsible for procuring replacement labor or the Company could experience reduced power generation or outages. Although NRG's ability to procure such labor is uncertain, contingency staffing planning is completed as part of each respective contract negotiation. Strikes, work stoppages or the inability to negotiate future collective bargaining agreements on favorable terms could have a material adverse effect on the Company's business, financial condition, results of operations and cash flows. In addition, a number of the Company's employees at NRG's plants are close to retirement. The Company's inability to replace retiring workers could create potential knowledge and expertise gaps as such workers retire.</w:t>
      </w:r>
    </w:p>
    <w:p>
      <w:pPr>
        <w:spacing w:after="0" w:line="32"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i w:val="1"/>
          <w:iCs w:val="1"/>
          <w:color w:val="auto"/>
        </w:rPr>
        <w:t>NRG's failure to manage key executive succession and retention and to continue to attract qualified personnel could adversely affect the Company's financial condition and results of operations.</w:t>
      </w:r>
    </w:p>
    <w:p>
      <w:pPr>
        <w:spacing w:after="0" w:line="6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The loss of one or more of the Company’s key personnel or the inability to effectively identify a suitable successor to a key role could adversely affect the Company’s business. The failure to successfully transition and assimilate key employees, the effectiveness of the Company’s leaders, and any further transition, could adversely affect the Company’s financial condition and results of operations.</w:t>
      </w:r>
    </w:p>
    <w:p>
      <w:pPr>
        <w:spacing w:after="0" w:line="7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b w:val="1"/>
          <w:bCs w:val="1"/>
          <w:i w:val="1"/>
          <w:iCs w:val="1"/>
          <w:color w:val="auto"/>
        </w:rPr>
        <w:t>Risks that are beyond NRG's control, including but not limited to acts of terrorism or related acts of war, natural disaster or other catastrophic events could have a material adverse effect on NRG's financial condition, results of operations and cash flows.</w:t>
      </w:r>
    </w:p>
    <w:p>
      <w:pPr>
        <w:spacing w:after="0" w:line="80"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8"/>
          <w:szCs w:val="18"/>
          <w:color w:val="auto"/>
        </w:rPr>
        <w:t>NRG's generation facilities and the facilities of third parties on which they rely may be targets of terrorist activities, as well as events occurring in response to or in connection with such activities, all of which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Any such environmental repercussions or disruption could result in a significant decrease in revenues or significant reconstruction or remediation costs beyond what could be recovered through insurance policies, which could have a material adverse effect on the Company's financial condition, results of operations and cash flows. In addition, significant weather events or terrorist actions could damage or shut down the power or gas transmission and distribution</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880" w:h="15480" w:orient="portrait"/>
          <w:cols w:equalWidth="0" w:num="1">
            <w:col w:w="10160"/>
          </w:cols>
          <w:pgMar w:left="860" w:top="505" w:right="860" w:bottom="0" w:gutter="0" w:footer="0" w:header="0"/>
          <w:type w:val="continuous"/>
        </w:sectPr>
      </w:pPr>
    </w:p>
    <w:bookmarkStart w:id="34" w:name="page35"/>
    <w:bookmarkEnd w:id="34"/>
    <w:p>
      <w:pPr>
        <w:jc w:val="both"/>
        <w:spacing w:after="0" w:line="277" w:lineRule="auto"/>
        <w:rPr>
          <w:sz w:val="20"/>
          <w:szCs w:val="20"/>
          <w:color w:val="auto"/>
        </w:rPr>
      </w:pPr>
      <w:r>
        <w:rPr>
          <w:rFonts w:ascii="Arial" w:cs="Arial" w:eastAsia="Arial" w:hAnsi="Arial"/>
          <w:sz w:val="20"/>
          <w:szCs w:val="20"/>
          <w:color w:val="auto"/>
        </w:rPr>
        <w:t>facilities upon which the Company is dependent, which may reduce retail volume for extended periods of time. Power or gas supply may be sold at a loss if these events cause a significant loss of retail customer demand.</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Risks Related to Governmental Regulation and Laws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b w:val="1"/>
          <w:bCs w:val="1"/>
          <w:i w:val="1"/>
          <w:iCs w:val="1"/>
          <w:color w:val="auto"/>
        </w:rPr>
        <w:t>NRG's business is subject to substantial energy regulation and may be adversely affected by legislative or regulatory changes, as well as liability under, or any future inability to comply with, existing or future energy regulations or requirements.</w:t>
      </w:r>
    </w:p>
    <w:p>
      <w:pPr>
        <w:spacing w:after="0" w:line="80"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8"/>
          <w:szCs w:val="18"/>
          <w:color w:val="auto"/>
        </w:rPr>
        <w:t>NRG's business is subject to extensive U.S. federal, state and local laws and foreign laws. Compliance with, or changes to, the requirements under these legal regimes may cause the Company to incur significant additional costs, reduce the Company's ability to hedge exposure or to sell retail power within certain states or to certain classes of retail customers, or restrict the Company’s marketing practices, its ability to pass through costs to retail customers, or its ability to compete on favorable terms with competitors, including the incumbent utility. Retail competition and home protection services are regulated on a state-by-state or at the province-by-province level and are highly dependent on state and provincial laws, regulations and policies, which could change at any moment. Failure to comply with such requirements could result in the shutdown of a non-complying facility or line of business, the imposition of liens, fines, penalties and/or civil or criminal liability.</w:t>
      </w:r>
    </w:p>
    <w:p>
      <w:pPr>
        <w:spacing w:after="0" w:line="60" w:lineRule="exact"/>
        <w:rPr>
          <w:sz w:val="20"/>
          <w:szCs w:val="20"/>
          <w:color w:val="auto"/>
        </w:rPr>
      </w:pPr>
    </w:p>
    <w:p>
      <w:pPr>
        <w:jc w:val="both"/>
        <w:ind w:firstLine="445"/>
        <w:spacing w:after="0" w:line="280" w:lineRule="auto"/>
        <w:rPr>
          <w:sz w:val="20"/>
          <w:szCs w:val="20"/>
          <w:color w:val="auto"/>
        </w:rPr>
      </w:pPr>
      <w:r>
        <w:rPr>
          <w:rFonts w:ascii="Arial" w:cs="Arial" w:eastAsia="Arial" w:hAnsi="Arial"/>
          <w:sz w:val="18"/>
          <w:szCs w:val="18"/>
          <w:color w:val="auto"/>
        </w:rPr>
        <w:t>Public utilities under the FPA are required to obtain FERC acceptance of their rate schedules for wholesale sales of electricity. Except for ERCOT generation facilities and power marketers, all of NRG's non-qualifying facility generating companies and power marketing affiliates in the U.S. make sales of electricity in interstate commerce and are public utilities for purposes of the FPA. FERC has granted each of NRG's generating and power marketing companies that make sales of electricity outside of ERCOT the authority to sell electricity at market-based rates. FERC's orders that grant NRG's generating and power marketing companies market-based rate authority reserve the right to revoke or revise that authority if FERC subsequently determines that NRG can exercise market power in transmission or generation, create barriers to entry, or engage in abusive affiliate transactions. In addition, NRG's market-based sales are subject to certain market behavior rules, and if any of NRG's generating and power marketing companies were deemed to have violated those rules, they are subject to potential disgorgement of profits associated with the violation and/or suspension or revocation of their market-based rate authority. If NRG's generating and power marketing companies were to lose their market-based rate authority, such companies would be required to obtain FERC's acceptance of a cost-of-service rate schedule and could become subject to the accounting, record-keeping, and reporting requirements that are imposed on utilities with cost-based rate schedules. This could have a material adverse effect on the rates NRG charges for power from its facilities.</w:t>
      </w:r>
    </w:p>
    <w:p>
      <w:pPr>
        <w:spacing w:after="0" w:line="64"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color w:val="auto"/>
        </w:rPr>
        <w:t>The Company's generation assets are also subject to the reliability standards promulgated by the designated Electric Reliability Organization (currently NERC) and approved by FERC. If NRG fails to comply with the mandatory reliability standards, NRG could be subject to sanctions, including substantial monetary penalties and increased compliance obligations. NRG is also affected by legislative and regulatory changes, as well as changes to market design, market rules, tariffs, cost allocations, and bidding rules that occur in the existing ISOs. The 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 These types of price limitations and other regulatory mechanisms may have a material adverse effect on the profitability of NRG's generation facilities that sell energy and capacity into the wholesale power markets.</w:t>
      </w:r>
    </w:p>
    <w:p>
      <w:pPr>
        <w:spacing w:after="0" w:line="68"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19"/>
          <w:szCs w:val="19"/>
          <w:color w:val="auto"/>
        </w:rPr>
        <w:t>The regulatory environment is subject to significant changes due to state and federal policies affecting wholesale and retail competition and the creation of incentives for the addition of large amounts of new renewable and nuclear generation and, in some cases, transmission. These changes are ongoing, and the Company cannot predict the future design of the wholesale power markets or the ultimate effect that the changing regulatory environment will have on NRG's business. In addition, in some of these markets, interested parties have proposed material market design changes. If competitive restructuring of the electric power markets is reversed, discontinued, or delayed, the Company's business prospects and financial results could be negatively impacted. In addition, there have been a number of reforms to the regulation of the derivatives markets, both in the United States and internationally. These regulations, and any further changes thereto, or adoption of additional regulations, including any regulations relating to position limits on futures and other derivatives or margin for derivatives, could negatively impact NRG’s ability to hedge its portfolio in an efficient, cost-effective manner by, among other things, potentially decreasing liquidity in the forward commodity and derivatives markets or limiting NRG’s ability to utilize non-cash collateral for derivatives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NRG’s business may be affected by interference in the competitive wholesale marketplace.</w:t>
      </w:r>
    </w:p>
    <w:p>
      <w:pPr>
        <w:spacing w:after="0" w:line="134"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8"/>
          <w:szCs w:val="18"/>
          <w:color w:val="auto"/>
        </w:rPr>
        <w:t>NRG’s generation and competitive retail operations rely on a competitive wholesale marketplace. The competitive wholesale marketplace may be impacted by out-of-market subsidies, imports of power from Canada, renewable mandates or subsidies, mandates to sell power below its cost of acquisition and associated costs as well as out-of-market payments to new or existing generators. These out-of-market subsidies to existing or new generation undermine the competitive wholesale marketplace, which can lead to premature retirement of existing facilities, including those owned by the Company. If these</w:t>
      </w:r>
    </w:p>
    <w:p>
      <w:pPr>
        <w:sectPr>
          <w:pgSz w:w="11880" w:h="15480" w:orient="portrait"/>
          <w:cols w:equalWidth="0" w:num="1">
            <w:col w:w="10160"/>
          </w:cols>
          <w:pgMar w:left="860" w:top="512" w:right="860" w:bottom="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880" w:h="15480" w:orient="portrait"/>
          <w:cols w:equalWidth="0" w:num="1">
            <w:col w:w="10160"/>
          </w:cols>
          <w:pgMar w:left="860" w:top="512" w:right="860" w:bottom="0" w:gutter="0" w:footer="0" w:header="0"/>
          <w:type w:val="continuous"/>
        </w:sectPr>
      </w:pPr>
    </w:p>
    <w:bookmarkStart w:id="35" w:name="page36"/>
    <w:bookmarkEnd w:id="35"/>
    <w:p>
      <w:pPr>
        <w:jc w:val="both"/>
        <w:spacing w:after="0" w:line="257" w:lineRule="auto"/>
        <w:rPr>
          <w:sz w:val="20"/>
          <w:szCs w:val="20"/>
          <w:color w:val="auto"/>
        </w:rPr>
      </w:pPr>
      <w:r>
        <w:rPr>
          <w:rFonts w:ascii="Arial" w:cs="Arial" w:eastAsia="Arial" w:hAnsi="Arial"/>
          <w:sz w:val="20"/>
          <w:szCs w:val="20"/>
          <w:color w:val="auto"/>
        </w:rPr>
        <w:t>measures continue, capacity and energy prices may be suppressed, and the Company may not be successful in its efforts to insulate the competitive market from this interference. The Company's retail operations may be materially impacted by rules or regulations that allow regulated utilities to participate in competitive retail markets or own and operate facilities that could be provided by competitive market participants.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Additions or changes in tax laws and regulations could potentially affect the Company’s financial results or liquidity.</w:t>
      </w:r>
    </w:p>
    <w:p>
      <w:pPr>
        <w:spacing w:after="0" w:line="157"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20"/>
          <w:szCs w:val="20"/>
          <w:color w:val="auto"/>
        </w:rPr>
        <w:t>NRG is subject to various types of tax arising from normal business operations in the jurisdictions in which the Company operates. Any additions or changes to tax legislation, or their interpretation and application, including those with retroactive effect, could have a material adverse effect on NRG’s financial condition and results of operations, including income tax provision and accruals reflected in the consolidated financial statements. The Company is subject to a 15% corporate alternative minimum tax as a result of the Inflation Reduction Act. The CAMT may lead to volatility in the Company’s cash tax payment obligations, particularly in periods of significant commodity or currency variability resulting from potential changes in the fair value of derivative instruments. The Company continuously monitors and assesses proposed tax legislation that could negatively impact its business.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b w:val="1"/>
          <w:bCs w:val="1"/>
          <w:i w:val="1"/>
          <w:iCs w:val="1"/>
          <w:color w:val="auto"/>
        </w:rPr>
        <w:t>The Capacity Performance product into the PJM market could lead to substantial changes in capacity income and non-performance penalties, which could have a material adverse effect on NRG’s results of operations, financial condition and cash flows.</w:t>
      </w:r>
    </w:p>
    <w:p>
      <w:pPr>
        <w:spacing w:after="0" w:line="8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PJM operates a pay-for-performance model where capacity payments are modified based on real-time generator performance. Capacity market prices are sensitive to design parameters, as well as additions of new capacity. NRG may experience substantial changes in capacity income and incur non-performance penalties, which could have a material adverse effect on NRG’s results of operations, financial condition and cash flows.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i w:val="1"/>
          <w:iCs w:val="1"/>
          <w:color w:val="auto"/>
        </w:rPr>
        <w:t>NRG is subject to environmental laws that impose extensive and increasingly stringent requirements on the Company's ongoing operations, as well as potentially substantial liabilities arising out of environmental contamination. These environmental requirements and liabilities could adversely impact NRG's results of operations, financial condition and cash flows.</w:t>
      </w:r>
    </w:p>
    <w:p>
      <w:pPr>
        <w:spacing w:after="0" w:line="84"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9"/>
          <w:szCs w:val="19"/>
          <w:color w:val="auto"/>
        </w:rPr>
        <w:t>NRG is subject to the environmental laws of foreign and U.S., federal, state and local authorities. The Company must comply with numerous environmental laws and obtain numerous governmental permits and approvals to build and operate the Company's plants. Should NRG fail to comply with any environmental requirements that apply to its operations, the Company could be subject to administrative, civil and/or criminal liability and fines, and regulatory agencies could take other actions seeking to curtail the Company's operations. In addition, when new requirements take effect or when existing environmental requirements are revised, reinterpreted or subject to changing enforcement policies, NRG's business, results of operations, financial condition and cash flows could be adversely affected.</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b w:val="1"/>
          <w:bCs w:val="1"/>
          <w:i w:val="1"/>
          <w:iCs w:val="1"/>
          <w:color w:val="auto"/>
        </w:rPr>
        <w:t>NRG's businesses are subject to physical, market and economic risks relating to potential effects of climate change, and policies to regulate GHG emissions and mitigate climate change which could adversely impact NRG's results of operations, financial condition and cash flows.</w:t>
      </w:r>
    </w:p>
    <w:p>
      <w:pPr>
        <w:spacing w:after="0" w:line="8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9"/>
          <w:szCs w:val="19"/>
          <w:color w:val="auto"/>
        </w:rPr>
        <w:t>Fluctuations in weather and other environmental conditions, including temperature and precipitation levels, may affect consumer demand for electricity or natural gas. In addition, the potential physical effects of climate change, such as increased frequency and severity of storms, floods and other climatic events, could disrupt NRG's operations and supply chain, and cause it to incur significant costs in preparing for or responding to these effects. These or other changes in climate could lead to increased operating costs or capital expenses. NRG's customers may also experience the potential physical impacts of climate change and may incur significant costs in preparing for or responding to these efforts, including changing the fuel mix and resiliency of their energy solutions and supply.</w:t>
      </w:r>
    </w:p>
    <w:p>
      <w:pPr>
        <w:spacing w:after="0" w:line="7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The contribution of climate change to the frequency or intensity of weather-related events could affect NRG's operations and planning process. Climate change could also affect the availability of a secure and economical supply of water in some locations, which is essential for the continued operation of NRG's generation plants. NRG monitors water supply risk carefully. If it is determined that a water supply risk exists that could impact projected generation levels at any plant, risk mitigation efforts are identified and evaluated for implementation.</w:t>
      </w:r>
    </w:p>
    <w:p>
      <w:pPr>
        <w:spacing w:after="0" w:line="85" w:lineRule="exact"/>
        <w:rPr>
          <w:sz w:val="20"/>
          <w:szCs w:val="20"/>
          <w:color w:val="auto"/>
        </w:rPr>
      </w:pPr>
    </w:p>
    <w:p>
      <w:pPr>
        <w:jc w:val="both"/>
        <w:ind w:firstLine="445"/>
        <w:spacing w:after="0" w:line="335" w:lineRule="auto"/>
        <w:rPr>
          <w:sz w:val="20"/>
          <w:szCs w:val="20"/>
          <w:color w:val="auto"/>
        </w:rPr>
      </w:pPr>
      <w:r>
        <w:rPr>
          <w:rFonts w:ascii="Arial" w:cs="Arial" w:eastAsia="Arial" w:hAnsi="Arial"/>
          <w:sz w:val="18"/>
          <w:szCs w:val="18"/>
          <w:color w:val="auto"/>
        </w:rPr>
        <w:t>Further, demand for NRG's energy-related services could be similarly impacted by consumers’ preferences or market or regulatory factors favoring energy efficiency, lower carbon energy sources or reduced electricity or natural gas usage.</w:t>
      </w:r>
    </w:p>
    <w:p>
      <w:pPr>
        <w:spacing w:after="0" w:line="12"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8"/>
          <w:szCs w:val="18"/>
          <w:color w:val="auto"/>
        </w:rPr>
        <w:t xml:space="preserve">NRG's GHG emissions reduction targets can be found in Item 1, </w:t>
      </w:r>
      <w:r>
        <w:rPr>
          <w:rFonts w:ascii="Arial" w:cs="Arial" w:eastAsia="Arial" w:hAnsi="Arial"/>
          <w:sz w:val="18"/>
          <w:szCs w:val="18"/>
          <w:b w:val="1"/>
          <w:bCs w:val="1"/>
          <w:i w:val="1"/>
          <w:iCs w:val="1"/>
          <w:color w:val="auto"/>
        </w:rPr>
        <w:t>Business —Environmental Regulatory Matters</w:t>
      </w:r>
      <w:r>
        <w:rPr>
          <w:rFonts w:ascii="Arial" w:cs="Arial" w:eastAsia="Arial" w:hAnsi="Arial"/>
          <w:sz w:val="18"/>
          <w:szCs w:val="18"/>
          <w:color w:val="auto"/>
        </w:rPr>
        <w:t>. The Company's ability to achieve these targets depends on many factors, including the ability to retire high emitting assets, ability to reduce emissions based on technological advances and innovation, and ability to source energy from less carbon intense resources. In addition, any future decarbonization efforts may increase costs, or NRG may otherwise be limited in its ability to apply them. The cost associated with NRG's GHG emissions reduction goals could be significant. Failure to achieve the</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880" w:h="15480" w:orient="portrait"/>
          <w:cols w:equalWidth="0" w:num="1">
            <w:col w:w="10160"/>
          </w:cols>
          <w:pgMar w:left="860" w:top="512" w:right="860" w:bottom="0" w:gutter="0" w:footer="0" w:header="0"/>
          <w:type w:val="continuous"/>
        </w:sectPr>
      </w:pPr>
    </w:p>
    <w:bookmarkStart w:id="36" w:name="page37"/>
    <w:bookmarkEnd w:id="36"/>
    <w:p>
      <w:pPr>
        <w:jc w:val="both"/>
        <w:spacing w:after="0" w:line="277" w:lineRule="auto"/>
        <w:rPr>
          <w:sz w:val="20"/>
          <w:szCs w:val="20"/>
          <w:color w:val="auto"/>
        </w:rPr>
      </w:pPr>
      <w:r>
        <w:rPr>
          <w:rFonts w:ascii="Arial" w:cs="Arial" w:eastAsia="Arial" w:hAnsi="Arial"/>
          <w:sz w:val="20"/>
          <w:szCs w:val="20"/>
          <w:color w:val="auto"/>
        </w:rPr>
        <w:t>Company's emissions targets could result in a negative impact on access to and cost of capital, changing investor sentiment regarding investment in the Company or reputation harm.</w:t>
      </w:r>
    </w:p>
    <w:p>
      <w:pPr>
        <w:spacing w:after="0" w:line="56"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i w:val="1"/>
          <w:iCs w:val="1"/>
          <w:color w:val="auto"/>
        </w:rPr>
        <w:t>Enhanced data privacy and data protection laws and regulations, or any non-compliance with such laws and regulations, could adversely affect NRG’s business and financial results.</w:t>
      </w:r>
    </w:p>
    <w:p>
      <w:pPr>
        <w:spacing w:after="0" w:line="63" w:lineRule="exact"/>
        <w:rPr>
          <w:sz w:val="20"/>
          <w:szCs w:val="20"/>
          <w:color w:val="auto"/>
        </w:rPr>
      </w:pPr>
    </w:p>
    <w:p>
      <w:pPr>
        <w:jc w:val="both"/>
        <w:ind w:firstLine="445"/>
        <w:spacing w:after="0" w:line="280" w:lineRule="auto"/>
        <w:rPr>
          <w:sz w:val="20"/>
          <w:szCs w:val="20"/>
          <w:color w:val="auto"/>
        </w:rPr>
      </w:pPr>
      <w:r>
        <w:rPr>
          <w:rFonts w:ascii="Arial" w:cs="Arial" w:eastAsia="Arial" w:hAnsi="Arial"/>
          <w:sz w:val="18"/>
          <w:szCs w:val="18"/>
          <w:color w:val="auto"/>
        </w:rPr>
        <w:t>The consumer privacy landscape continues to experience momentum for greater privacy protection and reform at the state and federal level in response to precedents set forth by the Personal Information Protection and Electronic Documents Act (the "PIPEDA") of Canada and the California Consumer Privacy Act (the "CCPA"). The development and evolving nature of domestic and international privacy regulation and enforcement could impact and potentially limit how NRG collects, processes, discloses and stores personally identifiable information. California residents have increased access rights (including the right to limit the use, right of data deletion and correction and right of non-disclosure of sensitive personal information), which are enforced by a new state privacy regulator, resulting in more scrutiny of business practices and disclosures. Additional states including Virginia, Utah, Connecticut, Colorado, Nevada, Texas, New Hampshire, Nebraska and Maryland have similarly adopted enhanced data privacy legislation and patterned after the standards set forth by CCPA, including broader data access rights, with several states going a step further requiring businesses to perform data protection assessments for a variety of processing activities. The Company is also bound by contractual requirements relating to privacy and data protection, and may agree to additional contractual requirements addressing these matters from time to time. In addition, Canadian data protection laws, PIPEDA, and the privacy laws of certain Canadian provinces who have promulgated more onerous data protection laws than PIPEDA, apply to the Company’s business in Canada.</w:t>
      </w:r>
    </w:p>
    <w:p>
      <w:pPr>
        <w:spacing w:after="0" w:line="64"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9"/>
          <w:szCs w:val="19"/>
          <w:color w:val="auto"/>
        </w:rPr>
        <w:t>As new laws and regulations are created, amended or expanded, requiring businesses to implement processes to enable customers access to their data and enhanced data protection and management standards, NRG cannot forecast with any certainty the impact that they may have on the Company’s business; however, it is possible the Company may find it necessary or desirable to change certain of its business practices or to expend resources to modify its home products and services and otherwise adapt to these changes. It is possible that the Company may be unable to make such changes and modifications in a commercially reasonable manner or at all, and its ability to develop new home services and features could be limited. Any non-compliance with laws may result in proceedings or actions against the Company by governmental entities or individuals. Moreover, any inquiries or investigations, government penalties or sanctions, or civil actions by individuals may be costly to comply with, resulting in negative publicity, increased operating costs, significant management time and attention, and may lead to remedies that harm the business, including fines, demands or orders that existing business practices be modified or terminated.</w:t>
      </w:r>
    </w:p>
    <w:p>
      <w:pPr>
        <w:spacing w:after="0" w:line="72"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i w:val="1"/>
          <w:iCs w:val="1"/>
          <w:color w:val="auto"/>
        </w:rPr>
        <w:t>NRG's retail operations and smart home services are subject to changing rules and regulations that could have a material impact on the Company's profitability.</w:t>
      </w:r>
    </w:p>
    <w:p>
      <w:pPr>
        <w:spacing w:after="0" w:line="63"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9"/>
          <w:szCs w:val="19"/>
          <w:color w:val="auto"/>
        </w:rPr>
        <w:t>The competitiveness of NRG's retail operations partially depends on regulatory policies that establish the structure, rules, terms and conditions upon which services are offered to retail customers. These policies can include, among other things, controls on the retail rates that NRG can charge, the imposition of additional costs on sales, restrictions on the Company's ability to sell certain types of products or ability to obtain new customers through various marketing channels and disclosure requirements. The Company's retail operations may be materially impacted by rules or regulations that allow regulated utilities to participate in competitive retail markets or own and operate facilities that could be provided by competitive market participants. Additionally, state, federal or provincial imposition of net metering or RPS programs can make it more or less expensive for retail customers to supplement or replace their reliance on grid power.</w:t>
      </w:r>
    </w:p>
    <w:p>
      <w:pPr>
        <w:spacing w:after="0" w:line="75" w:lineRule="exact"/>
        <w:rPr>
          <w:sz w:val="20"/>
          <w:szCs w:val="20"/>
          <w:color w:val="auto"/>
        </w:rPr>
      </w:pPr>
    </w:p>
    <w:p>
      <w:pPr>
        <w:jc w:val="both"/>
        <w:ind w:firstLine="445"/>
        <w:spacing w:after="0" w:line="281" w:lineRule="auto"/>
        <w:rPr>
          <w:sz w:val="20"/>
          <w:szCs w:val="20"/>
          <w:color w:val="auto"/>
        </w:rPr>
      </w:pPr>
      <w:r>
        <w:rPr>
          <w:rFonts w:ascii="Arial" w:cs="Arial" w:eastAsia="Arial" w:hAnsi="Arial"/>
          <w:sz w:val="18"/>
          <w:szCs w:val="18"/>
          <w:color w:val="auto"/>
        </w:rPr>
        <w:t>The Company’s smart home services focus on transactions with residential customers, subjecting it to a variety of laws, regulations and licensing requirements governing interactions with residential consumers, including those pertaining to privacy and data security, consumer financial and credit transactions, home improvements, warranties and door-to-door solicitation. In certain jurisdictions, the Company is required to obtain licenses or permits to comply with standards governing marketing and sales efforts, installation of equipment or servicing of customers and monitoring station employee selection and training. Increased regulation of matters relating to interactions with residential consumers could require modification to the Company’s home services operations and the incurrence of additional expenses. Further, any expansion of the scope of products or services into new markets may require additional licenses and expenditures to otherwise maintain compliance with additional laws, regulations or licensing requirements. These laws and regulations, as well as their interpretation, and any new laws, regulations or licensing requirements could negatively affect the Company’s ability to acquire new residential customers. Any of these measures could increase costs for providing, or reduce customer satisfaction with respect to, smart home services.</w:t>
      </w:r>
    </w:p>
    <w:p>
      <w:pPr>
        <w:spacing w:after="0" w:line="67" w:lineRule="exact"/>
        <w:rPr>
          <w:sz w:val="20"/>
          <w:szCs w:val="20"/>
          <w:color w:val="auto"/>
        </w:rPr>
      </w:pPr>
    </w:p>
    <w:p>
      <w:pPr>
        <w:jc w:val="both"/>
        <w:ind w:firstLine="485"/>
        <w:spacing w:after="0" w:line="290" w:lineRule="auto"/>
        <w:rPr>
          <w:sz w:val="20"/>
          <w:szCs w:val="20"/>
          <w:color w:val="auto"/>
        </w:rPr>
      </w:pPr>
      <w:r>
        <w:rPr>
          <w:rFonts w:ascii="Arial" w:cs="Arial" w:eastAsia="Arial" w:hAnsi="Arial"/>
          <w:sz w:val="18"/>
          <w:szCs w:val="18"/>
          <w:color w:val="auto"/>
        </w:rPr>
        <w:t>The Federal Trade Commission ("FTC") and the Federal Communications Commission have issued regulations that restrict direct-to-home marketing, telemarketing, email marketing and other sales practices, including limitations on methods of communication, requirements to maintain a “do not call” list, cancellation rights and required training for personnel to comply with these restrictions. Any noncompliance, or alleged noncompliance, of applicable regulations by the Company, third-party vendors used for marketing, telemarketing or lead generation activities or independent, third-party authorized dealers of smart</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880" w:h="15480" w:orient="portrait"/>
          <w:cols w:equalWidth="0" w:num="1">
            <w:col w:w="10160"/>
          </w:cols>
          <w:pgMar w:left="860" w:top="512" w:right="860" w:bottom="0" w:gutter="0" w:footer="0" w:header="0"/>
          <w:type w:val="continuous"/>
        </w:sectPr>
      </w:pPr>
    </w:p>
    <w:bookmarkStart w:id="37" w:name="page38"/>
    <w:bookmarkEnd w:id="37"/>
    <w:p>
      <w:pPr>
        <w:jc w:val="both"/>
        <w:spacing w:after="0" w:line="262" w:lineRule="auto"/>
        <w:rPr>
          <w:sz w:val="20"/>
          <w:szCs w:val="20"/>
          <w:color w:val="auto"/>
        </w:rPr>
      </w:pPr>
      <w:r>
        <w:rPr>
          <w:rFonts w:ascii="Arial" w:cs="Arial" w:eastAsia="Arial" w:hAnsi="Arial"/>
          <w:sz w:val="20"/>
          <w:szCs w:val="20"/>
          <w:color w:val="auto"/>
        </w:rPr>
        <w:t>home services could result in private rights of actions or enforcement actions for civil or criminal penalties. Changes in regulations or interpretations that further restrict lead generating activities also could result in a reduction in the number of new smart home services customers.</w:t>
      </w:r>
    </w:p>
    <w:p>
      <w:pPr>
        <w:spacing w:after="0" w:line="71"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i w:val="1"/>
          <w:iCs w:val="1"/>
          <w:color w:val="auto"/>
        </w:rPr>
        <w:t>The Company’s smart home business exposes it to risks of liability for the acts or omissions of its employees, including with respect to sales practices.</w:t>
      </w:r>
    </w:p>
    <w:p>
      <w:pPr>
        <w:spacing w:after="0" w:line="63"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9"/>
          <w:szCs w:val="19"/>
          <w:color w:val="auto"/>
        </w:rPr>
        <w:t>Activities in connection with sales efforts by employees, independent contractors, and other agents, including predatory door-to-door sales tactics and fraudulent misrepresentations, have in the past subjected it to, and could in the future subject the Company to, governmental investigations and class action lawsuits for, among others, false advertising and deceptive trade practice damage claims. Any litigation or regulatory proceedings resulting from such activities could adversely impact the Company’s business, financial condition, results of operations, and cash flows.</w:t>
      </w:r>
    </w:p>
    <w:p>
      <w:pPr>
        <w:spacing w:after="0" w:line="66" w:lineRule="exact"/>
        <w:rPr>
          <w:sz w:val="20"/>
          <w:szCs w:val="20"/>
          <w:color w:val="auto"/>
        </w:rPr>
      </w:pPr>
    </w:p>
    <w:p>
      <w:pPr>
        <w:ind w:right="80"/>
        <w:spacing w:after="0" w:line="281" w:lineRule="auto"/>
        <w:rPr>
          <w:sz w:val="20"/>
          <w:szCs w:val="20"/>
          <w:color w:val="auto"/>
        </w:rPr>
      </w:pPr>
      <w:r>
        <w:rPr>
          <w:rFonts w:ascii="Arial" w:cs="Arial" w:eastAsia="Arial" w:hAnsi="Arial"/>
          <w:sz w:val="20"/>
          <w:szCs w:val="20"/>
          <w:b w:val="1"/>
          <w:bCs w:val="1"/>
          <w:i w:val="1"/>
          <w:iCs w:val="1"/>
          <w:color w:val="auto"/>
        </w:rPr>
        <w:t>The Company is subject to various risks in connection with Vivint Smart Home’s ongoing settlement administration process involving the FTC, and may be subject to other FTC actions in the future.</w:t>
      </w:r>
    </w:p>
    <w:p>
      <w:pPr>
        <w:spacing w:after="0" w:line="63" w:lineRule="exact"/>
        <w:rPr>
          <w:sz w:val="20"/>
          <w:szCs w:val="20"/>
          <w:color w:val="auto"/>
        </w:rPr>
      </w:pPr>
    </w:p>
    <w:p>
      <w:pPr>
        <w:jc w:val="both"/>
        <w:ind w:firstLine="490"/>
        <w:spacing w:after="0" w:line="320" w:lineRule="auto"/>
        <w:rPr>
          <w:sz w:val="20"/>
          <w:szCs w:val="20"/>
          <w:color w:val="auto"/>
        </w:rPr>
      </w:pPr>
      <w:r>
        <w:rPr>
          <w:rFonts w:ascii="Arial" w:cs="Arial" w:eastAsia="Arial" w:hAnsi="Arial"/>
          <w:sz w:val="16"/>
          <w:szCs w:val="16"/>
          <w:color w:val="auto"/>
        </w:rPr>
        <w:t>In 2021, Vivint Smart Home entered into a settlement with the FTC where Vivint Smart Home agreed to implement various compliance-related measures and pay a penalty or fine. The settlement requires an initial assessment and thereafter biennial assessments by an independent third-party assessor of Vivint Smart Home’s compliance programs and for the assessor to provide a report to the FTC staff on ongoing compliance with the settlement. Although Vivint Smart Home took action to enhance its compliance programs, these and other measures that the Company may take in the future may not be successful. If any assessments identify deficiencies in the Company’s efforts to comply, and should the FTC determine that Vivint Smart Home is not in full compliance with the settlement, the FTC could take further action, such as seeking judicial remedies for any noncompliance, and Vivint Smart Home could be subject to additional sanctions, fines, penalties and restrictions on its smart home operations. In addition, the filing of an application with the court for noncompliance with the settlement could lead to regulatory actions by other agencies or private litigation, which could impact Vivint Smart Home’s ability to obtain regulatory approvals necessary to carry out present or future plans and operations, and result in negative publicity.</w:t>
      </w: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b w:val="1"/>
          <w:bCs w:val="1"/>
          <w:i w:val="1"/>
          <w:iCs w:val="1"/>
          <w:color w:val="auto"/>
        </w:rPr>
        <w:t>The Company's international operations are exposed to political and economic risks, commercial instability and events beyond the Company's control in the countries in which it operates, which risks may negatively impact the Company's business.</w:t>
      </w:r>
    </w:p>
    <w:p>
      <w:pPr>
        <w:spacing w:after="0" w:line="80" w:lineRule="exact"/>
        <w:rPr>
          <w:sz w:val="20"/>
          <w:szCs w:val="20"/>
          <w:color w:val="auto"/>
        </w:rPr>
      </w:pPr>
    </w:p>
    <w:p>
      <w:pPr>
        <w:jc w:val="both"/>
        <w:ind w:firstLine="445"/>
        <w:spacing w:after="0" w:line="251" w:lineRule="auto"/>
        <w:rPr>
          <w:sz w:val="20"/>
          <w:szCs w:val="20"/>
          <w:color w:val="auto"/>
        </w:rPr>
      </w:pPr>
      <w:r>
        <w:rPr>
          <w:rFonts w:ascii="Arial" w:cs="Arial" w:eastAsia="Arial" w:hAnsi="Arial"/>
          <w:sz w:val="20"/>
          <w:szCs w:val="20"/>
          <w:color w:val="auto"/>
        </w:rPr>
        <w:t>The Company's international operations depend on products manufactured, purchased and sold in the U.S. and internationally. In some cases, these countries have greater political and economic volatility and greater vulnerability to infrastructure labor, and supply chain disruptions than in NRG's other markets. Operating a business in a number of different regions and countries exposes the Company to a number of risks, including: imposition of burdensome tariffs or quotas, multiple and potentially conflicting laws, regulations and policies that are subject to change, imposition of currency restrictions on repatriation of earnings or other restraints, national and international conflict, including terrorist acts and political and economic instability or civil unrest that may severely disrupt economic activity in affected countries and result in increased cost. The occurrence of one or more of these events may negatively impact the Company's business, results of operations and financial condition.</w:t>
      </w:r>
    </w:p>
    <w:p>
      <w:pPr>
        <w:spacing w:after="0" w:line="8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i w:val="1"/>
          <w:iCs w:val="1"/>
          <w:color w:val="auto"/>
        </w:rPr>
        <w:t>Rates and terms for service of certain residential and commercial customers in Alberta are subject to regulatory review and approval.</w:t>
      </w:r>
    </w:p>
    <w:p>
      <w:pPr>
        <w:spacing w:after="0" w:line="63"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8"/>
          <w:szCs w:val="18"/>
          <w:color w:val="auto"/>
        </w:rPr>
        <w:t>The Company owns Direct Energy Regulated Services, which serves as a regulated rate supplier for residential and commercial energy customers in portions of the province of Alberta. It is required to engage in regulatory approval proceedings as a part of the process of establishing the terms and rates for sales of power and natural gas. These proceedings typically involve multiple parties, including governmental bodies and officials, consumer advocacy groups and various consumers of energy, who have differing concerns but also have the common objective of limiting rate increases or even reducing rates. Decisions are subject to appeal, potentially leading to additional uncertainty associated with the approval proceedings. The potential duration of such proceedings creates a risk that rates ultimately approved by the applicable regulatory body may not be sufficient for the Company to recover its costs by the time the rates become effective. Established rates are also subject to subsequent reviews by regulators, whereby various portions of rates could be adjusted, subject to refund or disallowed. In certain instances, the Company could agree to negotiated settlements related to various rate matters and other cost recovery elements. These settlements are subject to regulatory approval. The ultimate outcome and timing of regulatory rate proceedings have a significant effect on the Company to recover its costs or earn an adequate return. In addition, subsequent legislative or regulatory action could alter the terms on which the regulated business operates and future earnings could be negatively impacted. The Company also operates a competitive energy supply business in Alberta that is not subject to rate regulation and is subject to stringent requirements to segregate operations and information relating to the competitive business from the regulated business. Failure to comply with these and other requirements on the business could subject the Company's regulated and competitive businesses in Alberta to fines, penalties, and restrictions on the ability to continue business.</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880" w:h="15480" w:orient="portrait"/>
          <w:cols w:equalWidth="0" w:num="1">
            <w:col w:w="10160"/>
          </w:cols>
          <w:pgMar w:left="860" w:top="512" w:right="860" w:bottom="0" w:gutter="0" w:footer="0" w:header="0"/>
          <w:type w:val="continuous"/>
        </w:sectPr>
      </w:pPr>
    </w:p>
    <w:bookmarkStart w:id="38" w:name="page39"/>
    <w:bookmarkEnd w:id="38"/>
    <w:p>
      <w:pPr>
        <w:ind w:left="440"/>
        <w:spacing w:after="0"/>
        <w:rPr>
          <w:sz w:val="20"/>
          <w:szCs w:val="20"/>
          <w:color w:val="auto"/>
        </w:rPr>
      </w:pPr>
      <w:r>
        <w:rPr>
          <w:rFonts w:ascii="Arial" w:cs="Arial" w:eastAsia="Arial" w:hAnsi="Arial"/>
          <w:sz w:val="20"/>
          <w:szCs w:val="20"/>
          <w:b w:val="1"/>
          <w:bCs w:val="1"/>
          <w:color w:val="auto"/>
        </w:rPr>
        <w:t>Risks Related to Economic and Financial Market Conditions and the Company's Indebtedness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b w:val="1"/>
          <w:bCs w:val="1"/>
          <w:i w:val="1"/>
          <w:iCs w:val="1"/>
          <w:color w:val="auto"/>
        </w:rPr>
        <w:t>NRG's level of indebtedness could adversely affect its ability to raise additional capital to fund its operations or return capital to stockholders. It could also expose it to the risk of increased interest rates and limit its ability to react to changes in the economy or its industry.</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NRG's substantial amount of debt could have negative consequences, including:</w:t>
      </w:r>
    </w:p>
    <w:p>
      <w:pPr>
        <w:spacing w:after="0" w:line="67" w:lineRule="exact"/>
        <w:rPr>
          <w:sz w:val="20"/>
          <w:szCs w:val="20"/>
          <w:color w:val="auto"/>
        </w:rPr>
      </w:pPr>
    </w:p>
    <w:p>
      <w:pPr>
        <w:ind w:left="540" w:hanging="360"/>
        <w:spacing w:after="0"/>
        <w:tabs>
          <w:tab w:leader="none" w:pos="5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increasing NRG's vulnerability to general economic and industry conditions;</w:t>
      </w:r>
    </w:p>
    <w:p>
      <w:pPr>
        <w:spacing w:after="0" w:line="28" w:lineRule="exact"/>
        <w:rPr>
          <w:rFonts w:ascii="Arial" w:cs="Arial" w:eastAsia="Arial" w:hAnsi="Arial"/>
          <w:sz w:val="20"/>
          <w:szCs w:val="20"/>
          <w:color w:val="auto"/>
        </w:rPr>
      </w:pPr>
    </w:p>
    <w:p>
      <w:pPr>
        <w:jc w:val="both"/>
        <w:ind w:left="540" w:hanging="360"/>
        <w:spacing w:after="0" w:line="247" w:lineRule="auto"/>
        <w:tabs>
          <w:tab w:leader="none" w:pos="5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requiring a substantial portion of NRG's cash flow from operations be used to pay principal and interest on its indebtedness, which reduces NRG's ability to pay dividends or fund its operations, capital expenditures and future business opportunities;</w:t>
      </w:r>
    </w:p>
    <w:p>
      <w:pPr>
        <w:spacing w:after="0" w:line="2" w:lineRule="exact"/>
        <w:rPr>
          <w:rFonts w:ascii="Arial" w:cs="Arial" w:eastAsia="Arial" w:hAnsi="Arial"/>
          <w:sz w:val="20"/>
          <w:szCs w:val="20"/>
          <w:color w:val="auto"/>
        </w:rPr>
      </w:pPr>
    </w:p>
    <w:p>
      <w:pPr>
        <w:ind w:left="540" w:hanging="360"/>
        <w:spacing w:after="0"/>
        <w:tabs>
          <w:tab w:leader="none" w:pos="5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limiting NRG's ability to enter into long-term power sales or fuel purchases, which require credit support;</w:t>
      </w:r>
    </w:p>
    <w:p>
      <w:pPr>
        <w:spacing w:after="0" w:line="7" w:lineRule="exact"/>
        <w:rPr>
          <w:rFonts w:ascii="Arial" w:cs="Arial" w:eastAsia="Arial" w:hAnsi="Arial"/>
          <w:sz w:val="20"/>
          <w:szCs w:val="20"/>
          <w:color w:val="auto"/>
        </w:rPr>
      </w:pPr>
    </w:p>
    <w:p>
      <w:pPr>
        <w:ind w:left="540" w:hanging="360"/>
        <w:spacing w:after="0"/>
        <w:tabs>
          <w:tab w:leader="none" w:pos="5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adversely impacting NRG's credit rating, which could increase borrowing costs;</w:t>
      </w:r>
    </w:p>
    <w:p>
      <w:pPr>
        <w:spacing w:after="0" w:line="7" w:lineRule="exact"/>
        <w:rPr>
          <w:rFonts w:ascii="Arial" w:cs="Arial" w:eastAsia="Arial" w:hAnsi="Arial"/>
          <w:sz w:val="20"/>
          <w:szCs w:val="20"/>
          <w:color w:val="auto"/>
        </w:rPr>
      </w:pPr>
    </w:p>
    <w:p>
      <w:pPr>
        <w:ind w:left="540" w:hanging="360"/>
        <w:spacing w:after="0" w:line="247" w:lineRule="auto"/>
        <w:tabs>
          <w:tab w:leader="none" w:pos="5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limiting NRG's ability to obtain additional financing for working capital, including collateral postings, capital expenditures, debt service requirements, acquisitions and general corporate purposes;</w:t>
      </w:r>
    </w:p>
    <w:p>
      <w:pPr>
        <w:spacing w:after="0" w:line="1" w:lineRule="exact"/>
        <w:rPr>
          <w:rFonts w:ascii="Arial" w:cs="Arial" w:eastAsia="Arial" w:hAnsi="Arial"/>
          <w:sz w:val="20"/>
          <w:szCs w:val="20"/>
          <w:color w:val="auto"/>
        </w:rPr>
      </w:pPr>
    </w:p>
    <w:p>
      <w:pPr>
        <w:ind w:left="540" w:hanging="360"/>
        <w:spacing w:after="0" w:line="247" w:lineRule="auto"/>
        <w:tabs>
          <w:tab w:leader="none" w:pos="5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limiting NRG's ability to adjust to changing market conditions and placing it at a competitive disadvantage compared to its competitors, who may have less debt; and</w:t>
      </w:r>
    </w:p>
    <w:p>
      <w:pPr>
        <w:spacing w:after="0" w:line="1" w:lineRule="exact"/>
        <w:rPr>
          <w:rFonts w:ascii="Arial" w:cs="Arial" w:eastAsia="Arial" w:hAnsi="Arial"/>
          <w:sz w:val="20"/>
          <w:szCs w:val="20"/>
          <w:color w:val="auto"/>
        </w:rPr>
      </w:pPr>
    </w:p>
    <w:p>
      <w:pPr>
        <w:ind w:left="540" w:hanging="360"/>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exposing NRG to the risk of increased interest rates because certain of its borrowings are at variable rates of interest.</w:t>
      </w:r>
    </w:p>
    <w:p>
      <w:pPr>
        <w:spacing w:after="0" w:line="69" w:lineRule="exact"/>
        <w:rPr>
          <w:sz w:val="20"/>
          <w:szCs w:val="20"/>
          <w:color w:val="auto"/>
        </w:rPr>
      </w:pPr>
    </w:p>
    <w:p>
      <w:pPr>
        <w:jc w:val="both"/>
        <w:ind w:firstLine="445"/>
        <w:spacing w:after="0" w:line="280" w:lineRule="auto"/>
        <w:rPr>
          <w:sz w:val="20"/>
          <w:szCs w:val="20"/>
          <w:color w:val="auto"/>
        </w:rPr>
      </w:pPr>
      <w:r>
        <w:rPr>
          <w:rFonts w:ascii="Arial" w:cs="Arial" w:eastAsia="Arial" w:hAnsi="Arial"/>
          <w:sz w:val="18"/>
          <w:szCs w:val="18"/>
          <w:color w:val="auto"/>
        </w:rPr>
        <w:t>The Company’s debt agreements contain financial and other restrictive covenants that may limit the Company's ability to return capital to stockholders, including by paying dividends, or otherwise engage in activities that may be in its long-term best interests. NRG's failure to comply with those covenants could result in an event of default which, if not cured or waived, could result in the acceleration of such indebtedness, which in turn could cause a cross default to NRG's other indebtedness. NRG's assets and available cash balances may not be sufficient to fully repay all outstanding indebtedness if accelerated upon an event of default. If NRG is unable to repay, refinance, or restructure its indebtedness as required, or amend the covenants contained in those agreements, the lenders or other creditors may be entitled to obtain a lien or institute foreclosure proceedings against its assets, which could have a material adverse effect on its business, results of operations and financial condition. In addition, the Company's Revolving Credit Facility and sustainability-linked bonds include a sustainability-linked metric, which could result in increased interest expense for the Company if the sustainability metrics set forth therein are not achieved. Furthermore, financial and other restrictive covenants contained in any subsidiary or project level debt may limit the ability of NRG to receive distributions from such subsidiary.</w:t>
      </w:r>
    </w:p>
    <w:p>
      <w:pPr>
        <w:spacing w:after="0" w:line="72"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color w:val="auto"/>
        </w:rPr>
        <w:t>In addition, NRG's ability to arrange financing, either at the corporate level, a non-recourse project-level subsidiary or otherwise, and the costs of such capital are dependent on numerous factors, including: general economic and capital market conditions, credit availability from banks and other financial institutions, investor confidence in NRG, its partners and the regional wholesale power markets, NRG's financial performance and the financial performance of its subsidiaries, NRG's level of indebtedness and compliance with covenants in debt agreements, maintenance of acceptable credit ratings, cash flow and provisions of tax and securities laws that may impact raising capital.</w:t>
      </w:r>
    </w:p>
    <w:p>
      <w:pPr>
        <w:spacing w:after="0" w:line="75"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9"/>
          <w:szCs w:val="19"/>
          <w:color w:val="auto"/>
        </w:rPr>
        <w:t>NRG's ability to meet its payment obligations under its debt agreements is dependent on its ability to generate significant cash flows or obtain additional capital in the future. This, to some extent, is subject to market, economic, financial, competitive, legislative, and regulatory factors as well as other factors that are beyond its control. NRG may not be successful in obtaining additional capital for these or other reasons. The failure to obtain additional capital on terms acceptable to NRG, or at all, from time to time may have a material adverse effect on its business and operations.</w:t>
      </w:r>
    </w:p>
    <w:p>
      <w:pPr>
        <w:spacing w:after="0" w:line="66"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i w:val="1"/>
          <w:iCs w:val="1"/>
          <w:color w:val="auto"/>
        </w:rPr>
        <w:t>NRG's outstanding preferred stock is senior to its common stock, and a failure to pay dividends on its preferred stock will prohibit the payment of dividends on its common stock.</w:t>
      </w:r>
    </w:p>
    <w:p>
      <w:pPr>
        <w:spacing w:after="0" w:line="63"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NRG has outstanding 650,000 shares of Series A Preferred Stock, with a $1,000 liquidation preference per share. The Series A Preferred Stock is senior to NRG's common stock in right of payment of dividends and other distributions and could adversely affect NRG's ability to declare or pay dividends or distributions on its common stock. In the event of NRG's voluntary or involuntary liquidation, winding-up or dissolution, the holders of Series A Preferred Stock must receive their $1,000 per share, plus accumulated but unpaid dividends, prior to any distributions to holder of common stock. NRG must be current on dividends payable to holders of Series A Preferred Stock before any dividends can be paid on its common stock.</w:t>
      </w:r>
    </w:p>
    <w:p>
      <w:pPr>
        <w:spacing w:after="0" w:line="59"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9"/>
          <w:szCs w:val="19"/>
          <w:color w:val="auto"/>
        </w:rPr>
        <w:t>Whenever dividends on any shares of Series A Preferred Stock have not been declared and paid for the equivalent of three or more dividend payments, whether or not for consecutive dividend periods, the number of directors on the Company's Board of Directors will be increased by two, and the holders of Series A Preferred Stock will have the right to elect two members of the Company's Board of Directors to fill such newly created openings.</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880" w:h="15480" w:orient="portrait"/>
          <w:cols w:equalWidth="0" w:num="1">
            <w:col w:w="10160"/>
          </w:cols>
          <w:pgMar w:left="860" w:top="505" w:right="860" w:bottom="0" w:gutter="0" w:footer="0" w:header="0"/>
          <w:type w:val="continuous"/>
        </w:sectPr>
      </w:pPr>
    </w:p>
    <w:bookmarkStart w:id="39" w:name="page40"/>
    <w:bookmarkEnd w:id="39"/>
    <w:p>
      <w:pPr>
        <w:jc w:val="both"/>
        <w:spacing w:after="0" w:line="281" w:lineRule="auto"/>
        <w:rPr>
          <w:sz w:val="20"/>
          <w:szCs w:val="20"/>
          <w:color w:val="auto"/>
        </w:rPr>
      </w:pPr>
      <w:r>
        <w:rPr>
          <w:rFonts w:ascii="Arial" w:cs="Arial" w:eastAsia="Arial" w:hAnsi="Arial"/>
          <w:sz w:val="20"/>
          <w:szCs w:val="20"/>
          <w:b w:val="1"/>
          <w:bCs w:val="1"/>
          <w:i w:val="1"/>
          <w:iCs w:val="1"/>
          <w:color w:val="auto"/>
        </w:rPr>
        <w:t>Adverse economic conditions could adversely affect NRG’s business, financial condition, results of operations and cash flows.</w:t>
      </w:r>
    </w:p>
    <w:p>
      <w:pPr>
        <w:spacing w:after="0" w:line="63"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8"/>
          <w:szCs w:val="18"/>
          <w:color w:val="auto"/>
        </w:rPr>
        <w:t>Adverse economic conditions, including inflation, and declines in wholesale energy prices, partially resulting from adverse economic conditions, may impact NRG's results of operations, including by reducing the demand for energy commodities. In general, economic and commodity market conditions will continue to impact NRG’s unhedged future energy margins, liquidity, earnings growth and overall financial condition. Macroeconomic factors may also impact consumer spending, which could adversely affect the Company’s smart home services, and increase the Company’s costs for such products and services, which it may not be able to pass on to customers. In addition, adverse economic conditions, declines in wholesale energy prices, reduced demand for energy and other factors may negatively impact the trading price of NRG’s common stock and impact forecasted cash flows, which may require NRG to evaluate its goodwill and other long-lived assets for impairment. Any such impairment could have a material impact on NRG’s financial condition.</w:t>
      </w:r>
    </w:p>
    <w:p>
      <w:pPr>
        <w:spacing w:after="0" w:line="61" w:lineRule="exact"/>
        <w:rPr>
          <w:sz w:val="20"/>
          <w:szCs w:val="20"/>
          <w:color w:val="auto"/>
        </w:rPr>
      </w:pPr>
    </w:p>
    <w:p>
      <w:pPr>
        <w:jc w:val="both"/>
        <w:spacing w:after="0" w:line="307" w:lineRule="auto"/>
        <w:rPr>
          <w:sz w:val="20"/>
          <w:szCs w:val="20"/>
          <w:color w:val="auto"/>
        </w:rPr>
      </w:pPr>
      <w:r>
        <w:rPr>
          <w:rFonts w:ascii="Arial" w:cs="Arial" w:eastAsia="Arial" w:hAnsi="Arial"/>
          <w:sz w:val="18"/>
          <w:szCs w:val="18"/>
          <w:b w:val="1"/>
          <w:bCs w:val="1"/>
          <w:i w:val="1"/>
          <w:iCs w:val="1"/>
          <w:color w:val="auto"/>
        </w:rPr>
        <w:t>Goodwill and other intangible assets that NRG has recorded in connection with its acquisitions are subject to impairment evaluations and, as a result, the Company could be required to write off some or all of this goodwill and other intangible assets, which may adversely affect the Company's financial condition and results of operations.</w:t>
      </w:r>
    </w:p>
    <w:p>
      <w:pPr>
        <w:spacing w:after="0" w:line="4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Goodwill is not amortized but is reviewed annually or more frequently for impairment. Other intangibles are also reviewed at least annually or more frequently, if certain conditions exist, and are amortized. Any reduction in or impairment of the value of goodwill or other intangible assets will result in a charge against earnings, which could materially adversely affect NRG's reported results of operations and financial position in future periods.</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880" w:h="15480" w:orient="portrait"/>
          <w:cols w:equalWidth="0" w:num="1">
            <w:col w:w="10160"/>
          </w:cols>
          <w:pgMar w:left="860" w:top="505" w:right="860" w:bottom="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20"/>
          <w:szCs w:val="20"/>
          <w:b w:val="1"/>
          <w:bCs w:val="1"/>
          <w:color w:val="auto"/>
        </w:rPr>
        <w:t>CAUTIONARY STATEMENT REGARDING FORWARD-LOOKING INFORMATION</w:t>
      </w:r>
    </w:p>
    <w:p>
      <w:pPr>
        <w:spacing w:after="0" w:line="134"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8"/>
          <w:szCs w:val="18"/>
          <w:color w:val="auto"/>
        </w:rPr>
        <w:t xml:space="preserve">This Annual Report on Form 10-K of NRG Energy, Inc., or NRG or the Company, includes forward-looking statements within the meaning of Section 27A of the Securities Act of 1933, as amended, or Securities Act, and Section 21E of the Securities Exchange Act of 1934, as amended, or Exchange Act. The words "believes," "projects," "anticipates," "plans," "expects," "intends," "estimates," "should," "forecasts," and similar expressions are intended to identify forward-looking statements. These forward-looking statements involve known and unknown risks, uncertainties and other factors that may cause NRG's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8"/>
          <w:szCs w:val="18"/>
          <w:b w:val="1"/>
          <w:bCs w:val="1"/>
          <w:i w:val="1"/>
          <w:iCs w:val="1"/>
          <w:color w:val="auto"/>
        </w:rPr>
        <w:t>Risk Factors</w:t>
      </w:r>
      <w:r>
        <w:rPr>
          <w:rFonts w:ascii="Arial" w:cs="Arial" w:eastAsia="Arial" w:hAnsi="Arial"/>
          <w:sz w:val="18"/>
          <w:szCs w:val="18"/>
          <w:color w:val="auto"/>
        </w:rPr>
        <w:t xml:space="preserve"> and the following:</w:t>
      </w:r>
    </w:p>
    <w:p>
      <w:pPr>
        <w:spacing w:after="0" w:line="1" w:lineRule="exact"/>
        <w:rPr>
          <w:sz w:val="20"/>
          <w:szCs w:val="20"/>
          <w:color w:val="auto"/>
        </w:rPr>
      </w:pPr>
    </w:p>
    <w:p>
      <w:pPr>
        <w:ind w:left="720" w:hanging="362"/>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NRG's ability to obtain and maintain retail market share;</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changes in the wholesale power and gas markets and fluctuations in the cost of fuel;</w:t>
      </w:r>
    </w:p>
    <w:p>
      <w:pPr>
        <w:spacing w:after="0" w:line="90" w:lineRule="exact"/>
        <w:rPr>
          <w:rFonts w:ascii="Arial" w:cs="Arial" w:eastAsia="Arial" w:hAnsi="Arial"/>
          <w:sz w:val="18"/>
          <w:szCs w:val="18"/>
          <w:color w:val="auto"/>
        </w:rPr>
      </w:pPr>
    </w:p>
    <w:p>
      <w:pPr>
        <w:ind w:left="720" w:hanging="362"/>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Volatile power and gas supply costs and demand for power and gas, including the impacts of weather;</w:t>
      </w:r>
    </w:p>
    <w:p>
      <w:pPr>
        <w:spacing w:after="0" w:line="67" w:lineRule="exact"/>
        <w:rPr>
          <w:rFonts w:ascii="Arial" w:cs="Arial" w:eastAsia="Arial" w:hAnsi="Arial"/>
          <w:sz w:val="20"/>
          <w:szCs w:val="20"/>
          <w:color w:val="auto"/>
        </w:rPr>
      </w:pPr>
    </w:p>
    <w:p>
      <w:pPr>
        <w:jc w:val="both"/>
        <w:ind w:left="720" w:hanging="362"/>
        <w:spacing w:after="0" w:line="253"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Hazards customary to the power production industry and power generation operations, such as fuel and electricity price volatility, unusual weather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NRG may not have adequate insurance to cover losses as a result of such hazards;</w:t>
      </w:r>
    </w:p>
    <w:p>
      <w:pPr>
        <w:spacing w:after="0" w:line="30" w:lineRule="exact"/>
        <w:rPr>
          <w:rFonts w:ascii="Arial" w:cs="Arial" w:eastAsia="Arial" w:hAnsi="Arial"/>
          <w:sz w:val="20"/>
          <w:szCs w:val="20"/>
          <w:color w:val="auto"/>
        </w:rPr>
      </w:pPr>
    </w:p>
    <w:p>
      <w:pPr>
        <w:ind w:left="720" w:hanging="362"/>
        <w:spacing w:after="0" w:line="277"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effectiveness of NRG's risk management policies and procedures and the ability of NRG's counterparties to satisfy their financial commitments;</w:t>
      </w:r>
    </w:p>
    <w:p>
      <w:pPr>
        <w:spacing w:after="0" w:line="3" w:lineRule="exact"/>
        <w:rPr>
          <w:rFonts w:ascii="Arial" w:cs="Arial" w:eastAsia="Arial" w:hAnsi="Arial"/>
          <w:sz w:val="20"/>
          <w:szCs w:val="20"/>
          <w:color w:val="auto"/>
        </w:rPr>
      </w:pPr>
    </w:p>
    <w:p>
      <w:pPr>
        <w:ind w:left="720" w:hanging="362"/>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NRG's ability to enter into contracts to sell power or gas and procure fuel on acceptable terms and prices;</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NRG's ability to successfully integrate, realize cost savings and manage any acquired businesses;</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NRG's ability to engage in successful acquisitions and divestitures, as well as other mergers and acquisitions activity;</w:t>
      </w:r>
    </w:p>
    <w:p>
      <w:pPr>
        <w:spacing w:after="0" w:line="90" w:lineRule="exact"/>
        <w:rPr>
          <w:rFonts w:ascii="Arial" w:cs="Arial" w:eastAsia="Arial" w:hAnsi="Arial"/>
          <w:sz w:val="18"/>
          <w:szCs w:val="18"/>
          <w:color w:val="auto"/>
        </w:rPr>
      </w:pPr>
    </w:p>
    <w:p>
      <w:pPr>
        <w:ind w:left="720" w:hanging="362"/>
        <w:spacing w:after="0" w:line="277"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NRG’s ability to successfully complete the development and construction new generation projects in a timely and cost effective manner;</w:t>
      </w:r>
    </w:p>
    <w:p>
      <w:pPr>
        <w:spacing w:after="0" w:line="3" w:lineRule="exact"/>
        <w:rPr>
          <w:rFonts w:ascii="Arial" w:cs="Arial" w:eastAsia="Arial" w:hAnsi="Arial"/>
          <w:sz w:val="20"/>
          <w:szCs w:val="20"/>
          <w:color w:val="auto"/>
        </w:rPr>
      </w:pPr>
    </w:p>
    <w:p>
      <w:pPr>
        <w:jc w:val="both"/>
        <w:ind w:left="720" w:hanging="362"/>
        <w:spacing w:after="0" w:line="262"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Cyber terrorism and cybersecurity risks, data breaches or the occurrence of a catastrophic loss and the possibility that NRG may not have sufficient insurance to cover losses resulting from such hazards or the inability of NRG's insurers to provide coverage;</w:t>
      </w:r>
    </w:p>
    <w:p>
      <w:pPr>
        <w:spacing w:after="0" w:line="19" w:lineRule="exact"/>
        <w:rPr>
          <w:rFonts w:ascii="Arial" w:cs="Arial" w:eastAsia="Arial" w:hAnsi="Arial"/>
          <w:sz w:val="20"/>
          <w:szCs w:val="20"/>
          <w:color w:val="auto"/>
        </w:rPr>
      </w:pPr>
    </w:p>
    <w:p>
      <w:pPr>
        <w:ind w:left="720" w:hanging="362"/>
        <w:spacing w:after="0" w:line="277"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Operational and reputational risks related to the use of AI and the adherence to developing laws and regulations related to the use of AI;</w:t>
      </w:r>
    </w:p>
    <w:p>
      <w:pPr>
        <w:spacing w:after="0" w:line="3" w:lineRule="exact"/>
        <w:rPr>
          <w:rFonts w:ascii="Arial" w:cs="Arial" w:eastAsia="Arial" w:hAnsi="Arial"/>
          <w:sz w:val="20"/>
          <w:szCs w:val="20"/>
          <w:color w:val="auto"/>
        </w:rPr>
      </w:pPr>
    </w:p>
    <w:p>
      <w:pPr>
        <w:ind w:left="720" w:hanging="362"/>
        <w:spacing w:after="0"/>
        <w:tabs>
          <w:tab w:leader="none" w:pos="7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Counterparties' collateral demands and other factors affecting NRG's liquidity position and financial condition;</w:t>
      </w:r>
    </w:p>
    <w:p>
      <w:pPr>
        <w:spacing w:after="0" w:line="78" w:lineRule="exact"/>
        <w:rPr>
          <w:rFonts w:ascii="Arial" w:cs="Arial" w:eastAsia="Arial" w:hAnsi="Arial"/>
          <w:sz w:val="19"/>
          <w:szCs w:val="19"/>
          <w:color w:val="auto"/>
        </w:rPr>
      </w:pPr>
    </w:p>
    <w:p>
      <w:pPr>
        <w:ind w:left="720" w:hanging="362"/>
        <w:spacing w:after="0" w:line="277"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NRG's ability to operate its businesses efficiently and generate earnings and cash flows from its asset-based businesses in relation to its debt and other obligations;</w:t>
      </w:r>
    </w:p>
    <w:p>
      <w:pPr>
        <w:spacing w:after="0" w:line="3" w:lineRule="exact"/>
        <w:rPr>
          <w:rFonts w:ascii="Arial" w:cs="Arial" w:eastAsia="Arial" w:hAnsi="Arial"/>
          <w:sz w:val="20"/>
          <w:szCs w:val="20"/>
          <w:color w:val="auto"/>
        </w:rPr>
      </w:pPr>
    </w:p>
    <w:p>
      <w:pPr>
        <w:ind w:left="720" w:hanging="362"/>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liquidity and competitiveness of wholesale markets for energy commodities;</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Changes in law, including judicial and regulatory decisions;</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Government regulation, including changes in market rules, rates, tariffs and environmental laws;</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NRG's ability to develop and innovate new products, as retail and wholesale markets continue to change and evolve;</w:t>
      </w:r>
    </w:p>
    <w:p>
      <w:pPr>
        <w:spacing w:after="0" w:line="90" w:lineRule="exact"/>
        <w:rPr>
          <w:rFonts w:ascii="Arial" w:cs="Arial" w:eastAsia="Arial" w:hAnsi="Arial"/>
          <w:sz w:val="18"/>
          <w:szCs w:val="18"/>
          <w:color w:val="auto"/>
        </w:rPr>
      </w:pPr>
    </w:p>
    <w:p>
      <w:pPr>
        <w:ind w:left="720" w:hanging="362"/>
        <w:spacing w:after="0" w:line="277"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Price mitigation strategies and other market structures employed by ISOs or RTOs that result in a failure to adequately and fairly compensate NRG's generation units;</w:t>
      </w:r>
    </w:p>
    <w:p>
      <w:pPr>
        <w:spacing w:after="0" w:line="3" w:lineRule="exact"/>
        <w:rPr>
          <w:rFonts w:ascii="Arial" w:cs="Arial" w:eastAsia="Arial" w:hAnsi="Arial"/>
          <w:sz w:val="20"/>
          <w:szCs w:val="20"/>
          <w:color w:val="auto"/>
        </w:rPr>
      </w:pPr>
    </w:p>
    <w:p>
      <w:pPr>
        <w:ind w:left="720" w:hanging="362"/>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NRG's ability to mitigate forced outage risk;</w:t>
      </w:r>
    </w:p>
    <w:p>
      <w:pPr>
        <w:spacing w:after="0" w:line="67" w:lineRule="exact"/>
        <w:rPr>
          <w:rFonts w:ascii="Arial" w:cs="Arial" w:eastAsia="Arial" w:hAnsi="Arial"/>
          <w:sz w:val="20"/>
          <w:szCs w:val="20"/>
          <w:color w:val="auto"/>
        </w:rPr>
      </w:pPr>
    </w:p>
    <w:p>
      <w:pPr>
        <w:ind w:left="720" w:hanging="362"/>
        <w:spacing w:after="0" w:line="277"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NRG's ability to borrow funds and access capital markets, as well as NRG's substantial indebtedness and the possibility that NRG may incur additional indebtedness in the future;</w:t>
      </w:r>
    </w:p>
    <w:p>
      <w:pPr>
        <w:spacing w:after="0" w:line="3" w:lineRule="exact"/>
        <w:rPr>
          <w:rFonts w:ascii="Arial" w:cs="Arial" w:eastAsia="Arial" w:hAnsi="Arial"/>
          <w:sz w:val="20"/>
          <w:szCs w:val="20"/>
          <w:color w:val="auto"/>
        </w:rPr>
      </w:pPr>
    </w:p>
    <w:p>
      <w:pPr>
        <w:ind w:left="720" w:hanging="362"/>
        <w:spacing w:after="0" w:line="309"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and financial restrictions placed on NRG and its subsidiaries that are contained in NRG's corporate credit agreements, and in debt and other agreements of certain of NRG subsidiaries and project affiliates generally;</w:t>
      </w:r>
    </w:p>
    <w:p>
      <w:pPr>
        <w:spacing w:after="0" w:line="1" w:lineRule="exact"/>
        <w:rPr>
          <w:rFonts w:ascii="Arial" w:cs="Arial" w:eastAsia="Arial" w:hAnsi="Arial"/>
          <w:sz w:val="18"/>
          <w:szCs w:val="18"/>
          <w:color w:val="auto"/>
        </w:rPr>
      </w:pPr>
    </w:p>
    <w:p>
      <w:pPr>
        <w:ind w:left="720" w:hanging="362"/>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ability of NRG and its counterparties to develop and build new power generation facilities;</w:t>
      </w:r>
    </w:p>
    <w:p>
      <w:pPr>
        <w:spacing w:after="0" w:line="67" w:lineRule="exact"/>
        <w:rPr>
          <w:rFonts w:ascii="Arial" w:cs="Arial" w:eastAsia="Arial" w:hAnsi="Arial"/>
          <w:sz w:val="20"/>
          <w:szCs w:val="20"/>
          <w:color w:val="auto"/>
        </w:rPr>
      </w:pPr>
    </w:p>
    <w:p>
      <w:pPr>
        <w:ind w:left="720" w:hanging="362"/>
        <w:spacing w:after="0" w:line="277"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NRG's ability to implement its strategy of finding ways to meet the challenges of climate change, clean air and protecting natural resources, while taking advantage of business opportunities;</w:t>
      </w:r>
    </w:p>
    <w:p>
      <w:pPr>
        <w:spacing w:after="0" w:line="3" w:lineRule="exact"/>
        <w:rPr>
          <w:rFonts w:ascii="Arial" w:cs="Arial" w:eastAsia="Arial" w:hAnsi="Arial"/>
          <w:sz w:val="20"/>
          <w:szCs w:val="20"/>
          <w:color w:val="auto"/>
        </w:rPr>
      </w:pPr>
    </w:p>
    <w:p>
      <w:pPr>
        <w:ind w:left="720" w:hanging="362"/>
        <w:spacing w:after="0" w:line="293" w:lineRule="auto"/>
        <w:tabs>
          <w:tab w:leader="none" w:pos="7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NRG's ability to increase cash from operations through operational and market initiatives, corporate efficiencies, asset strategy, and a range of other programs throughout NRG to reduce costs or generate revenues;</w:t>
      </w:r>
    </w:p>
    <w:p>
      <w:pPr>
        <w:spacing w:after="0" w:line="1" w:lineRule="exact"/>
        <w:rPr>
          <w:rFonts w:ascii="Arial" w:cs="Arial" w:eastAsia="Arial" w:hAnsi="Arial"/>
          <w:sz w:val="19"/>
          <w:szCs w:val="19"/>
          <w:color w:val="auto"/>
        </w:rPr>
      </w:pPr>
    </w:p>
    <w:p>
      <w:pPr>
        <w:ind w:left="720" w:hanging="362"/>
        <w:spacing w:after="0" w:line="277"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NRG's ability to successfully evaluate investments and achieve intended financial results in new business and growth initiatives; and</w:t>
      </w:r>
    </w:p>
    <w:p>
      <w:pPr>
        <w:spacing w:after="0" w:line="3" w:lineRule="exact"/>
        <w:rPr>
          <w:rFonts w:ascii="Arial" w:cs="Arial" w:eastAsia="Arial" w:hAnsi="Arial"/>
          <w:sz w:val="20"/>
          <w:szCs w:val="20"/>
          <w:color w:val="auto"/>
        </w:rPr>
      </w:pPr>
    </w:p>
    <w:p>
      <w:pPr>
        <w:ind w:left="720" w:hanging="362"/>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NRG's ability to develop and maintain successful partnering relationships as needed.</w:t>
      </w:r>
    </w:p>
    <w:p>
      <w:pPr>
        <w:sectPr>
          <w:pgSz w:w="11880" w:h="15480" w:orient="portrait"/>
          <w:cols w:equalWidth="0" w:num="1">
            <w:col w:w="10160"/>
          </w:cols>
          <w:pgMar w:left="860" w:top="505" w:right="860" w:bottom="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880" w:h="15480" w:orient="portrait"/>
          <w:cols w:equalWidth="0" w:num="1">
            <w:col w:w="10160"/>
          </w:cols>
          <w:pgMar w:left="860" w:top="505" w:right="860" w:bottom="0" w:gutter="0" w:footer="0" w:header="0"/>
          <w:type w:val="continuous"/>
        </w:sectPr>
      </w:pPr>
    </w:p>
    <w:bookmarkStart w:id="41" w:name="page42"/>
    <w:bookmarkEnd w:id="41"/>
    <w:p>
      <w:pPr>
        <w:jc w:val="both"/>
        <w:ind w:firstLine="312"/>
        <w:spacing w:after="0" w:line="253" w:lineRule="auto"/>
        <w:rPr>
          <w:sz w:val="20"/>
          <w:szCs w:val="20"/>
          <w:color w:val="auto"/>
        </w:rPr>
      </w:pPr>
      <w:r>
        <w:rPr>
          <w:rFonts w:ascii="Arial" w:cs="Arial" w:eastAsia="Arial" w:hAnsi="Arial"/>
          <w:sz w:val="20"/>
          <w:szCs w:val="20"/>
          <w:color w:val="auto"/>
        </w:rPr>
        <w:t>In addition, unlisted factors may present significant additional obstacles to the realization of forward-looking statements. Forward-looking statements speak only as of the date they were made and NRG undertakes no obligation to publicly update or revise any forward-looking statements, whether as a result of new information, future events or otherwise except as otherwise required by applicable laws. The foregoing factors that could cause NRG's actual results to differ materially from those contemplated in any forward-looking statements included in this Annual Report on Form 10-K should not be construed as exhaustive.</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 Unresolved Staff Comments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 Cybersecurity</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Risk Management and Strategy</w:t>
      </w:r>
    </w:p>
    <w:p>
      <w:pPr>
        <w:spacing w:after="0" w:line="134"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Company leverages a comprehensive, multi-tiered cybersecurity strategy to manage cybersecurity risk based on criteria established by the NIST Cybersecurity Framework. As part of its cybersecurity strategy, the Company utilizes a range of industry and regulatory standards including, but not limited to, NERC-CIP, Payment Card Industry Data Security Standard, and IoT Security Assurance Framework. Compliance with NERC-CIP standards is mandated for entities involved in power generation, transmission, and distribution by regulatory bodies responsible for protecting critical infrastructure within the United States. NRG engages certified external assessors to ensure compliance with these standards.</w:t>
      </w:r>
    </w:p>
    <w:p>
      <w:pPr>
        <w:spacing w:after="0" w:line="59" w:lineRule="exact"/>
        <w:rPr>
          <w:sz w:val="20"/>
          <w:szCs w:val="20"/>
          <w:color w:val="auto"/>
        </w:rPr>
      </w:pPr>
    </w:p>
    <w:p>
      <w:pPr>
        <w:jc w:val="both"/>
        <w:ind w:firstLine="445"/>
        <w:spacing w:after="0" w:line="281" w:lineRule="auto"/>
        <w:rPr>
          <w:sz w:val="20"/>
          <w:szCs w:val="20"/>
          <w:color w:val="auto"/>
        </w:rPr>
      </w:pPr>
      <w:r>
        <w:rPr>
          <w:rFonts w:ascii="Arial" w:cs="Arial" w:eastAsia="Arial" w:hAnsi="Arial"/>
          <w:sz w:val="18"/>
          <w:szCs w:val="18"/>
          <w:color w:val="auto"/>
        </w:rPr>
        <w:t>The Company’s strategy seeks to align underlying processes not only with industry standards but also mirror best practices among peer organizations. The strategy ensures a standardized method across all activities at NRG allowing for consistent recognition, assessment and potential mitigation of significant cybersecurity risks. To further the strategy, the Company established the NRG Cybersecurity Integration Center ("CIC") which is composed of experienced team members from across cybersecurity disciplines with relevant educational and industry experience. The CIC provides the following functions to the Company: cyber governance, operations, detection and response, engineering, testing, cyber risk management (including third-party risks), compliance, training and awareness, and reporting. The CIC utilizes advanced continuous monitoring systems and investigative techniques for real-time threat detection. The systematic monitoring approach allows for risk classification and prioritization based on potential impacts, and facilitates targeted resource allocation according to risk severity. The Company conducts regular penetration testing to proactively identify vulnerabilities and enhance its defense measures. The Company engages third-party assessors to gain comprehensive insights into its cyber risk profile.</w:t>
      </w:r>
    </w:p>
    <w:p>
      <w:pPr>
        <w:spacing w:after="0" w:line="67"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20"/>
          <w:szCs w:val="20"/>
          <w:color w:val="auto"/>
        </w:rPr>
        <w:t>The Company relies on third-party service providers in the normal course of business. The Company has established a comprehensive approach to identify and manage cybersecurity risks associated with providers including, but not limited to, rigorous due diligence and assessments of third-party service providers' cybersecurity protocols before engagement, requirements relating to information handling, incident notification and assessment against the Company's cybersecurity requirements. Furthermore, the Company has implemented additional control measures and procedures in business processes to enable continuous risk identification and assessment, and to support monitoring mechanisms to oversee and manage supplier cybersecurity practices.</w:t>
      </w:r>
    </w:p>
    <w:p>
      <w:pPr>
        <w:spacing w:after="0" w:line="92" w:lineRule="exact"/>
        <w:rPr>
          <w:sz w:val="20"/>
          <w:szCs w:val="20"/>
          <w:color w:val="auto"/>
        </w:rPr>
      </w:pPr>
    </w:p>
    <w:p>
      <w:pPr>
        <w:jc w:val="both"/>
        <w:ind w:firstLine="445"/>
        <w:spacing w:after="0" w:line="266" w:lineRule="auto"/>
        <w:rPr>
          <w:sz w:val="20"/>
          <w:szCs w:val="20"/>
          <w:color w:val="auto"/>
        </w:rPr>
      </w:pPr>
      <w:r>
        <w:rPr>
          <w:rFonts w:ascii="Arial" w:cs="Arial" w:eastAsia="Arial" w:hAnsi="Arial"/>
          <w:sz w:val="19"/>
          <w:szCs w:val="19"/>
          <w:color w:val="auto"/>
        </w:rPr>
        <w:t xml:space="preserve">As of December 31, 2024, the Company is not aware of any risks from cybersecurity threats, including as a result of any previous cybersecurity incidents, that have materially affected or are reasonably likely to have a material affect on NRG’s business strategy, results of operations and financial condition. Despite efforts to maintain processes which mitigate cybersecurity risks, there is no guarantee that such risks may not have a material affect on NRG’s business strategy, results of operations, and financial condition in the future. For additional information on cybersecurity risks the Company may face, see Item 1A — Risk Factors – </w:t>
      </w:r>
      <w:r>
        <w:rPr>
          <w:rFonts w:ascii="Arial" w:cs="Arial" w:eastAsia="Arial" w:hAnsi="Arial"/>
          <w:sz w:val="19"/>
          <w:szCs w:val="19"/>
          <w:b w:val="1"/>
          <w:bCs w:val="1"/>
          <w:i w:val="1"/>
          <w:iCs w:val="1"/>
          <w:color w:val="auto"/>
        </w:rPr>
        <w:t>“The operation of the Company's businesses is subject to advanced persistent cyber-based security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threats and integrity risk. Attacks on NRG's infrastructure that breach cyber/data security measures could expose the Company to significant liabilities, reputational damage, regulatory action, and disrupt business operations, which could have a material adverse effect”.</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Governance</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Management</w:t>
      </w:r>
    </w:p>
    <w:p>
      <w:pPr>
        <w:spacing w:after="0" w:line="13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The Chief Information Security Officer ("CISO") is the head of cybersecurity for the Company and leads the CIC. The CISO has decades of professional experience, education, and certification in security analysis, design, implementation, and management, with a particularly strong background in technical vulnerability assessment and program development. Within various roles throughout the CISO's career, he has overseen information assurance and cybersecurity efforts, including critical infrastructure protection in government agencies and industry.</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880" w:h="15480" w:orient="portrait"/>
          <w:cols w:equalWidth="0" w:num="1">
            <w:col w:w="10160"/>
          </w:cols>
          <w:pgMar w:left="860" w:top="512" w:right="860" w:bottom="0" w:gutter="0" w:footer="0" w:header="0"/>
          <w:type w:val="continuous"/>
        </w:sectPr>
      </w:pPr>
    </w:p>
    <w:bookmarkStart w:id="42" w:name="page43"/>
    <w:bookmarkEnd w:id="42"/>
    <w:p>
      <w:pPr>
        <w:ind w:firstLine="445"/>
        <w:spacing w:after="0" w:line="277" w:lineRule="auto"/>
        <w:rPr>
          <w:sz w:val="20"/>
          <w:szCs w:val="20"/>
          <w:color w:val="auto"/>
        </w:rPr>
      </w:pPr>
      <w:r>
        <w:rPr>
          <w:rFonts w:ascii="Arial" w:cs="Arial" w:eastAsia="Arial" w:hAnsi="Arial"/>
          <w:sz w:val="20"/>
          <w:szCs w:val="20"/>
          <w:color w:val="auto"/>
        </w:rPr>
        <w:t>At least twice per year, the CISO provides comprehensive updates to the Board of Directors on cybersecurity and any recent developments impacting the Company. These updates include, among other items:</w:t>
      </w:r>
    </w:p>
    <w:p>
      <w:pPr>
        <w:spacing w:after="0" w:line="63" w:lineRule="exact"/>
        <w:rPr>
          <w:sz w:val="20"/>
          <w:szCs w:val="20"/>
          <w:color w:val="auto"/>
        </w:rPr>
      </w:pPr>
    </w:p>
    <w:p>
      <w:pPr>
        <w:ind w:left="720" w:hanging="362"/>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Incident reports and developments from any cybersecurity events;</w:t>
      </w:r>
    </w:p>
    <w:p>
      <w:pPr>
        <w:spacing w:after="0" w:line="28" w:lineRule="exact"/>
        <w:rPr>
          <w:rFonts w:ascii="Arial" w:cs="Arial" w:eastAsia="Arial" w:hAnsi="Arial"/>
          <w:sz w:val="20"/>
          <w:szCs w:val="20"/>
          <w:color w:val="auto"/>
        </w:rPr>
      </w:pPr>
    </w:p>
    <w:p>
      <w:pPr>
        <w:ind w:left="720" w:hanging="362"/>
        <w:spacing w:after="0" w:line="247"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Current cybersecurity landscape and emerging cybersecurity threats, with a particular emphasis on Company and industry-specific threats; and</w:t>
      </w:r>
    </w:p>
    <w:p>
      <w:pPr>
        <w:spacing w:after="0" w:line="1" w:lineRule="exact"/>
        <w:rPr>
          <w:rFonts w:ascii="Arial" w:cs="Arial" w:eastAsia="Arial" w:hAnsi="Arial"/>
          <w:sz w:val="20"/>
          <w:szCs w:val="20"/>
          <w:color w:val="auto"/>
        </w:rPr>
      </w:pPr>
    </w:p>
    <w:p>
      <w:pPr>
        <w:ind w:left="720" w:hanging="362"/>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Status of ongoing initiatives to strengthen the Company's cybersecurity program.</w:t>
      </w:r>
    </w:p>
    <w:p>
      <w:pPr>
        <w:spacing w:after="0" w:line="106"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9"/>
          <w:szCs w:val="19"/>
          <w:color w:val="auto"/>
        </w:rPr>
        <w:t>In addition, the CISO regularly informs other members of senior management, including the President and CEO, of all aspects related to cybersecurity risks and incidents. This is intended to ensure that the highest levels of management remain updated on the cybersecurity risk preparedness and potential risks facing the Company. Furthermore, significant cybersecurity matters and strategic risk management decisions are escalated to the Board of Directors ensuring that they have comprehensive oversight and can provide guidance on critical cybersecurity issues.</w:t>
      </w:r>
    </w:p>
    <w:p>
      <w:pPr>
        <w:spacing w:after="0" w:line="73"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color w:val="auto"/>
        </w:rPr>
        <w:t>In preparation for a potential cybersecurity incident, the Company has implemented structured processes and procedures aligned with the NIST framework. This framework provides a foundation for a systematic and consistent approach to preparing for, identifying, containing, eradicating, and recovering from incidents. The effectiveness of these protocols is routinely verified through tabletop exercises involving relevant teams and Company leadership. In accordance with the Company’s process and procedures, incidents which may have a material impact on the Company are promptly referred to senior leadership and the Board of Directors for review and appropriate determination.</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Board of Directors</w:t>
      </w:r>
    </w:p>
    <w:p>
      <w:pPr>
        <w:spacing w:after="0" w:line="130"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20"/>
          <w:szCs w:val="20"/>
          <w:color w:val="auto"/>
        </w:rPr>
        <w:t>The Board of Directors is primarily responsible for the risk oversight of the Company, and has delegated oversight of risks related to cybersecurity to the Finance and Risk Management ("FARM") Committee of the Board. The FARM Committee regularly reports on its activities to the Board of Directors after each meeting. The FARM Committee, as well as the overall Board of Directors, is composed of members with diverse expertise, including risk management, incident response and technology. The Board of Directors is aware of the critical nature of managing risks associated with cybersecurity threats and has worked with the Company’s management to establish comprehensive oversight mechanisms to ensure effective cybersecurity governance.</w:t>
      </w:r>
    </w:p>
    <w:p>
      <w:pPr>
        <w:spacing w:after="0" w:line="92"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FARM Committee and the Board of Directors receive updates on any significant developments in the cybersecurity domain, seeking to ensure that the Board of Director’s oversight is proactive and responsive. The Board of Directors remains involved in ensuring that cybersecurity considerations are integrated into the Company’s broader strategic objectives. Pursuant to the charter of the FARM Committee, the FARM Committee's responsibilities include an annual review of the Company’s cybersecurity program and the effectiveness of its risk management strategies. This review is intended to help identify areas for improvement and ensure the alignment of cybersecurity efforts with the overall risk management framework.</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880" w:h="15480" w:orient="portrait"/>
          <w:cols w:equalWidth="0" w:num="1">
            <w:col w:w="10160"/>
          </w:cols>
          <w:pgMar w:left="860" w:top="512" w:right="860" w:bottom="0" w:gutter="0" w:footer="0" w:header="0"/>
          <w:type w:val="continuous"/>
        </w:sectPr>
      </w:pPr>
    </w:p>
    <w:bookmarkStart w:id="43" w:name="page44"/>
    <w:bookmarkEnd w:id="43"/>
    <w:p>
      <w:pPr>
        <w:spacing w:after="0"/>
        <w:rPr>
          <w:sz w:val="20"/>
          <w:szCs w:val="20"/>
          <w:color w:val="auto"/>
        </w:rPr>
      </w:pPr>
      <w:r>
        <w:rPr>
          <w:rFonts w:ascii="Arial" w:cs="Arial" w:eastAsia="Arial" w:hAnsi="Arial"/>
          <w:sz w:val="20"/>
          <w:szCs w:val="20"/>
          <w:b w:val="1"/>
          <w:bCs w:val="1"/>
          <w:color w:val="auto"/>
        </w:rPr>
        <w:t>Item 2 — Properties</w:t>
      </w:r>
    </w:p>
    <w:p>
      <w:pPr>
        <w:spacing w:after="0" w:line="13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Listed below are descriptions of NRG's interests in facilities, operations and/or projects owned or leased as of December 31, 2024. The rated MW capacity figures provided represent nominal summer MW capacity of power generated. Net MW capacity is adjusted for the Company's owned or leased interest as of December 31, 2024. The Company believes its existing facilities, operations and/or projects are suitable for the conduct of its business. The following table summarizes NRG's power production and cogeneration facilities by region: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 of Facility</w:t>
            </w:r>
          </w:p>
        </w:tc>
        <w:tc>
          <w:tcPr>
            <w:tcW w:w="60" w:type="dxa"/>
            <w:vAlign w:val="bottom"/>
          </w:tcPr>
          <w:p>
            <w:pPr>
              <w:spacing w:after="0"/>
              <w:rPr>
                <w:sz w:val="19"/>
                <w:szCs w:val="19"/>
                <w:color w:val="auto"/>
              </w:rPr>
            </w:pP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Power Market</w:t>
            </w:r>
          </w:p>
        </w:tc>
        <w:tc>
          <w:tcPr>
            <w:tcW w:w="60" w:type="dxa"/>
            <w:vAlign w:val="bottom"/>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Plant Type</w:t>
            </w:r>
          </w:p>
        </w:tc>
        <w:tc>
          <w:tcPr>
            <w:tcW w:w="60" w:type="dxa"/>
            <w:vAlign w:val="bottom"/>
          </w:tcPr>
          <w:p>
            <w:pPr>
              <w:spacing w:after="0"/>
              <w:rPr>
                <w:sz w:val="19"/>
                <w:szCs w:val="19"/>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w w:val="92"/>
              </w:rPr>
              <w:t>Primary Fuel</w:t>
            </w:r>
          </w:p>
        </w:tc>
        <w:tc>
          <w:tcPr>
            <w:tcW w:w="1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95"/>
              </w:rPr>
              <w:t>Location</w:t>
            </w:r>
          </w:p>
        </w:tc>
        <w:tc>
          <w:tcPr>
            <w:tcW w:w="6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Rated MW Capacity</w:t>
            </w:r>
            <w:r>
              <w:rPr>
                <w:rFonts w:ascii="Arial" w:cs="Arial" w:eastAsia="Arial" w:hAnsi="Arial"/>
                <w:sz w:val="20"/>
                <w:szCs w:val="20"/>
                <w:b w:val="1"/>
                <w:bCs w:val="1"/>
                <w:color w:val="auto"/>
                <w:w w:val="94"/>
                <w:vertAlign w:val="superscript"/>
              </w:rPr>
              <w:t>(a)</w:t>
            </w:r>
          </w:p>
        </w:tc>
        <w:tc>
          <w:tcPr>
            <w:tcW w:w="6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Net MW Capacity</w:t>
            </w:r>
            <w:r>
              <w:rPr>
                <w:rFonts w:ascii="Arial" w:cs="Arial" w:eastAsia="Arial" w:hAnsi="Arial"/>
                <w:sz w:val="20"/>
                <w:szCs w:val="20"/>
                <w:b w:val="1"/>
                <w:bCs w:val="1"/>
                <w:color w:val="auto"/>
                <w:w w:val="95"/>
                <w:vertAlign w:val="superscript"/>
              </w:rPr>
              <w:t>(b)</w:t>
            </w:r>
          </w:p>
        </w:tc>
        <w:tc>
          <w:tcPr>
            <w:tcW w:w="60" w:type="dxa"/>
            <w:vAlign w:val="bottom"/>
          </w:tcPr>
          <w:p>
            <w:pPr>
              <w:spacing w:after="0"/>
              <w:rPr>
                <w:sz w:val="19"/>
                <w:szCs w:val="19"/>
                <w:color w:val="auto"/>
              </w:rPr>
            </w:pP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 Owned</w:t>
            </w:r>
          </w:p>
        </w:tc>
        <w:tc>
          <w:tcPr>
            <w:tcW w:w="0" w:type="dxa"/>
            <w:vAlign w:val="bottom"/>
          </w:tcPr>
          <w:p>
            <w:pPr>
              <w:spacing w:after="0"/>
              <w:rPr>
                <w:sz w:val="1"/>
                <w:szCs w:val="1"/>
                <w:color w:val="auto"/>
              </w:rPr>
            </w:pPr>
          </w:p>
        </w:tc>
      </w:tr>
      <w:tr>
        <w:trPr>
          <w:trHeight w:val="256"/>
        </w:trPr>
        <w:tc>
          <w:tcPr>
            <w:tcW w:w="1640" w:type="dxa"/>
            <w:vAlign w:val="bottom"/>
          </w:tcPr>
          <w:p>
            <w:pPr>
              <w:ind w:left="60"/>
              <w:spacing w:after="0"/>
              <w:rPr>
                <w:sz w:val="20"/>
                <w:szCs w:val="20"/>
                <w:color w:val="auto"/>
              </w:rPr>
            </w:pPr>
            <w:r>
              <w:rPr>
                <w:rFonts w:ascii="Arial" w:cs="Arial" w:eastAsia="Arial" w:hAnsi="Arial"/>
                <w:sz w:val="16"/>
                <w:szCs w:val="16"/>
                <w:b w:val="1"/>
                <w:bCs w:val="1"/>
                <w:color w:val="auto"/>
              </w:rPr>
              <w:t>Texas</w:t>
            </w: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640" w:type="dxa"/>
            <w:vAlign w:val="bottom"/>
          </w:tcPr>
          <w:p>
            <w:pPr>
              <w:ind w:left="60"/>
              <w:spacing w:after="0"/>
              <w:rPr>
                <w:sz w:val="20"/>
                <w:szCs w:val="20"/>
                <w:color w:val="auto"/>
              </w:rPr>
            </w:pPr>
            <w:r>
              <w:rPr>
                <w:rFonts w:ascii="Arial" w:cs="Arial" w:eastAsia="Arial" w:hAnsi="Arial"/>
                <w:sz w:val="16"/>
                <w:szCs w:val="16"/>
                <w:color w:val="auto"/>
              </w:rPr>
              <w:t>Cedar Bayou</w:t>
            </w:r>
          </w:p>
        </w:tc>
        <w:tc>
          <w:tcPr>
            <w:tcW w:w="6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6"/>
                <w:szCs w:val="16"/>
                <w:color w:val="auto"/>
              </w:rPr>
              <w:t>ERCOT</w:t>
            </w:r>
          </w:p>
        </w:tc>
        <w:tc>
          <w:tcPr>
            <w:tcW w:w="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Fossil</w:t>
            </w:r>
          </w:p>
        </w:tc>
        <w:tc>
          <w:tcPr>
            <w:tcW w:w="6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6"/>
                <w:szCs w:val="16"/>
                <w:color w:val="auto"/>
              </w:rPr>
              <w:t>Natural Gas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TX</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1,494</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1,494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82"/>
        </w:trPr>
        <w:tc>
          <w:tcPr>
            <w:tcW w:w="1640" w:type="dxa"/>
            <w:vAlign w:val="bottom"/>
          </w:tcPr>
          <w:p>
            <w:pPr>
              <w:ind w:left="60"/>
              <w:spacing w:after="0"/>
              <w:rPr>
                <w:sz w:val="20"/>
                <w:szCs w:val="20"/>
                <w:color w:val="auto"/>
              </w:rPr>
            </w:pPr>
            <w:r>
              <w:rPr>
                <w:rFonts w:ascii="Arial" w:cs="Arial" w:eastAsia="Arial" w:hAnsi="Arial"/>
                <w:sz w:val="16"/>
                <w:szCs w:val="16"/>
                <w:color w:val="auto"/>
              </w:rPr>
              <w:t>Cedar Bayou 4</w:t>
            </w:r>
          </w:p>
        </w:tc>
        <w:tc>
          <w:tcPr>
            <w:tcW w:w="6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6"/>
                <w:szCs w:val="16"/>
                <w:color w:val="auto"/>
              </w:rPr>
              <w:t>ERCOT</w:t>
            </w:r>
          </w:p>
        </w:tc>
        <w:tc>
          <w:tcPr>
            <w:tcW w:w="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Fossil</w:t>
            </w:r>
          </w:p>
        </w:tc>
        <w:tc>
          <w:tcPr>
            <w:tcW w:w="6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6"/>
                <w:szCs w:val="16"/>
                <w:color w:val="auto"/>
              </w:rPr>
              <w:t>Natural Gas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TX</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504</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252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82"/>
        </w:trPr>
        <w:tc>
          <w:tcPr>
            <w:tcW w:w="1640" w:type="dxa"/>
            <w:vAlign w:val="bottom"/>
          </w:tcPr>
          <w:p>
            <w:pPr>
              <w:ind w:left="60"/>
              <w:spacing w:after="0"/>
              <w:rPr>
                <w:sz w:val="20"/>
                <w:szCs w:val="20"/>
                <w:color w:val="auto"/>
              </w:rPr>
            </w:pPr>
            <w:r>
              <w:rPr>
                <w:rFonts w:ascii="Arial" w:cs="Arial" w:eastAsia="Arial" w:hAnsi="Arial"/>
                <w:sz w:val="16"/>
                <w:szCs w:val="16"/>
                <w:color w:val="auto"/>
              </w:rPr>
              <w:t>Greens Bayou</w:t>
            </w:r>
          </w:p>
        </w:tc>
        <w:tc>
          <w:tcPr>
            <w:tcW w:w="6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6"/>
                <w:szCs w:val="16"/>
                <w:color w:val="auto"/>
              </w:rPr>
              <w:t>ERCOT</w:t>
            </w:r>
          </w:p>
        </w:tc>
        <w:tc>
          <w:tcPr>
            <w:tcW w:w="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Fossil</w:t>
            </w:r>
          </w:p>
        </w:tc>
        <w:tc>
          <w:tcPr>
            <w:tcW w:w="6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6"/>
                <w:szCs w:val="16"/>
                <w:color w:val="auto"/>
              </w:rPr>
              <w:t>Natural Gas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TX</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327</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327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82"/>
        </w:trPr>
        <w:tc>
          <w:tcPr>
            <w:tcW w:w="1640" w:type="dxa"/>
            <w:vAlign w:val="bottom"/>
          </w:tcPr>
          <w:p>
            <w:pPr>
              <w:ind w:left="60"/>
              <w:spacing w:after="0"/>
              <w:rPr>
                <w:sz w:val="20"/>
                <w:szCs w:val="20"/>
                <w:color w:val="auto"/>
              </w:rPr>
            </w:pPr>
            <w:r>
              <w:rPr>
                <w:rFonts w:ascii="Arial" w:cs="Arial" w:eastAsia="Arial" w:hAnsi="Arial"/>
                <w:sz w:val="16"/>
                <w:szCs w:val="16"/>
                <w:color w:val="auto"/>
              </w:rPr>
              <w:t>Limestone</w:t>
            </w:r>
          </w:p>
        </w:tc>
        <w:tc>
          <w:tcPr>
            <w:tcW w:w="6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6"/>
                <w:szCs w:val="16"/>
                <w:color w:val="auto"/>
              </w:rPr>
              <w:t>ERCOT</w:t>
            </w:r>
          </w:p>
        </w:tc>
        <w:tc>
          <w:tcPr>
            <w:tcW w:w="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Fossil</w:t>
            </w:r>
          </w:p>
        </w:tc>
        <w:tc>
          <w:tcPr>
            <w:tcW w:w="6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6"/>
                <w:szCs w:val="16"/>
                <w:color w:val="auto"/>
              </w:rPr>
              <w:t>Coal</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TX</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1,660</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1,660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82"/>
        </w:trPr>
        <w:tc>
          <w:tcPr>
            <w:tcW w:w="1640" w:type="dxa"/>
            <w:vAlign w:val="bottom"/>
          </w:tcPr>
          <w:p>
            <w:pPr>
              <w:ind w:left="60"/>
              <w:spacing w:after="0"/>
              <w:rPr>
                <w:sz w:val="20"/>
                <w:szCs w:val="20"/>
                <w:color w:val="auto"/>
              </w:rPr>
            </w:pPr>
            <w:r>
              <w:rPr>
                <w:rFonts w:ascii="Arial" w:cs="Arial" w:eastAsia="Arial" w:hAnsi="Arial"/>
                <w:sz w:val="16"/>
                <w:szCs w:val="16"/>
                <w:color w:val="auto"/>
              </w:rPr>
              <w:t>San Jacinto</w:t>
            </w:r>
          </w:p>
        </w:tc>
        <w:tc>
          <w:tcPr>
            <w:tcW w:w="6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6"/>
                <w:szCs w:val="16"/>
                <w:color w:val="auto"/>
              </w:rPr>
              <w:t>ERCOT</w:t>
            </w:r>
          </w:p>
        </w:tc>
        <w:tc>
          <w:tcPr>
            <w:tcW w:w="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Fossil</w:t>
            </w:r>
          </w:p>
        </w:tc>
        <w:tc>
          <w:tcPr>
            <w:tcW w:w="6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6"/>
                <w:szCs w:val="16"/>
                <w:color w:val="auto"/>
              </w:rPr>
              <w:t>Natural Gas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TX</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160</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160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82"/>
        </w:trPr>
        <w:tc>
          <w:tcPr>
            <w:tcW w:w="1640" w:type="dxa"/>
            <w:vAlign w:val="bottom"/>
          </w:tcPr>
          <w:p>
            <w:pPr>
              <w:ind w:left="60"/>
              <w:spacing w:after="0"/>
              <w:rPr>
                <w:sz w:val="20"/>
                <w:szCs w:val="20"/>
                <w:color w:val="auto"/>
              </w:rPr>
            </w:pPr>
            <w:r>
              <w:rPr>
                <w:rFonts w:ascii="Arial" w:cs="Arial" w:eastAsia="Arial" w:hAnsi="Arial"/>
                <w:sz w:val="16"/>
                <w:szCs w:val="16"/>
                <w:color w:val="auto"/>
              </w:rPr>
              <w:t>T.H. Wharton</w:t>
            </w:r>
          </w:p>
        </w:tc>
        <w:tc>
          <w:tcPr>
            <w:tcW w:w="6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6"/>
                <w:szCs w:val="16"/>
                <w:color w:val="auto"/>
              </w:rPr>
              <w:t>ERCOT</w:t>
            </w:r>
          </w:p>
        </w:tc>
        <w:tc>
          <w:tcPr>
            <w:tcW w:w="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Fossil</w:t>
            </w:r>
          </w:p>
        </w:tc>
        <w:tc>
          <w:tcPr>
            <w:tcW w:w="6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6"/>
                <w:szCs w:val="16"/>
                <w:color w:val="auto"/>
              </w:rPr>
              <w:t>Natural Gas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TX</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1,002</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1,002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82"/>
        </w:trPr>
        <w:tc>
          <w:tcPr>
            <w:tcW w:w="1640" w:type="dxa"/>
            <w:vAlign w:val="bottom"/>
          </w:tcPr>
          <w:p>
            <w:pPr>
              <w:ind w:left="60"/>
              <w:spacing w:after="0"/>
              <w:rPr>
                <w:sz w:val="20"/>
                <w:szCs w:val="20"/>
                <w:color w:val="auto"/>
              </w:rPr>
            </w:pPr>
            <w:r>
              <w:rPr>
                <w:rFonts w:ascii="Arial" w:cs="Arial" w:eastAsia="Arial" w:hAnsi="Arial"/>
                <w:sz w:val="16"/>
                <w:szCs w:val="16"/>
                <w:color w:val="auto"/>
              </w:rPr>
              <w:t>W.A. Parish</w:t>
            </w:r>
          </w:p>
        </w:tc>
        <w:tc>
          <w:tcPr>
            <w:tcW w:w="6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6"/>
                <w:szCs w:val="16"/>
                <w:color w:val="auto"/>
              </w:rPr>
              <w:t>ERCOT</w:t>
            </w:r>
          </w:p>
        </w:tc>
        <w:tc>
          <w:tcPr>
            <w:tcW w:w="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Fossil</w:t>
            </w:r>
          </w:p>
        </w:tc>
        <w:tc>
          <w:tcPr>
            <w:tcW w:w="6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6"/>
                <w:szCs w:val="16"/>
                <w:color w:val="auto"/>
              </w:rPr>
              <w:t>Coal</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TX</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2,514</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2,514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88"/>
        </w:trPr>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W.A. Parish</w:t>
            </w: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ERCOT</w:t>
            </w: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Fossil</w:t>
            </w: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Natural Gas</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TX</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1,118</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1,118</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62"/>
        </w:trPr>
        <w:tc>
          <w:tcPr>
            <w:tcW w:w="16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Total Texas</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8,779</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8,527</w:t>
            </w:r>
          </w:p>
        </w:tc>
        <w:tc>
          <w:tcPr>
            <w:tcW w:w="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640" w:type="dxa"/>
            <w:vAlign w:val="bottom"/>
          </w:tcPr>
          <w:p>
            <w:pPr>
              <w:ind w:left="60"/>
              <w:spacing w:after="0"/>
              <w:rPr>
                <w:sz w:val="20"/>
                <w:szCs w:val="20"/>
                <w:color w:val="auto"/>
              </w:rPr>
            </w:pPr>
            <w:r>
              <w:rPr>
                <w:rFonts w:ascii="Arial" w:cs="Arial" w:eastAsia="Arial" w:hAnsi="Arial"/>
                <w:sz w:val="16"/>
                <w:szCs w:val="16"/>
                <w:b w:val="1"/>
                <w:bCs w:val="1"/>
                <w:color w:val="auto"/>
              </w:rPr>
              <w:t>East</w:t>
            </w: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640" w:type="dxa"/>
            <w:vAlign w:val="bottom"/>
          </w:tcPr>
          <w:p>
            <w:pPr>
              <w:ind w:left="60"/>
              <w:spacing w:after="0"/>
              <w:rPr>
                <w:sz w:val="20"/>
                <w:szCs w:val="20"/>
                <w:color w:val="auto"/>
              </w:rPr>
            </w:pPr>
            <w:r>
              <w:rPr>
                <w:rFonts w:ascii="Arial" w:cs="Arial" w:eastAsia="Arial" w:hAnsi="Arial"/>
                <w:sz w:val="16"/>
                <w:szCs w:val="16"/>
                <w:color w:val="auto"/>
              </w:rPr>
              <w:t>Chalk Point</w:t>
            </w:r>
          </w:p>
        </w:tc>
        <w:tc>
          <w:tcPr>
            <w:tcW w:w="60" w:type="dxa"/>
            <w:vAlign w:val="bottom"/>
          </w:tcPr>
          <w:p>
            <w:pPr>
              <w:spacing w:after="0"/>
              <w:rPr>
                <w:sz w:val="21"/>
                <w:szCs w:val="21"/>
                <w:color w:val="auto"/>
              </w:rPr>
            </w:pPr>
          </w:p>
        </w:tc>
        <w:tc>
          <w:tcPr>
            <w:tcW w:w="1180" w:type="dxa"/>
            <w:vAlign w:val="bottom"/>
          </w:tcPr>
          <w:p>
            <w:pPr>
              <w:ind w:left="40"/>
              <w:spacing w:after="0"/>
              <w:rPr>
                <w:sz w:val="20"/>
                <w:szCs w:val="20"/>
                <w:color w:val="auto"/>
              </w:rPr>
            </w:pPr>
            <w:r>
              <w:rPr>
                <w:rFonts w:ascii="Arial" w:cs="Arial" w:eastAsia="Arial" w:hAnsi="Arial"/>
                <w:sz w:val="16"/>
                <w:szCs w:val="16"/>
                <w:color w:val="auto"/>
              </w:rPr>
              <w:t>PJM</w:t>
            </w:r>
          </w:p>
        </w:tc>
        <w:tc>
          <w:tcPr>
            <w:tcW w:w="6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Fossil</w:t>
            </w:r>
          </w:p>
        </w:tc>
        <w:tc>
          <w:tcPr>
            <w:tcW w:w="60" w:type="dxa"/>
            <w:vAlign w:val="bottom"/>
          </w:tcPr>
          <w:p>
            <w:pPr>
              <w:spacing w:after="0"/>
              <w:rPr>
                <w:sz w:val="21"/>
                <w:szCs w:val="21"/>
                <w:color w:val="auto"/>
              </w:rPr>
            </w:pPr>
          </w:p>
        </w:tc>
        <w:tc>
          <w:tcPr>
            <w:tcW w:w="1020" w:type="dxa"/>
            <w:vAlign w:val="bottom"/>
          </w:tcPr>
          <w:p>
            <w:pPr>
              <w:ind w:left="40"/>
              <w:spacing w:after="0"/>
              <w:rPr>
                <w:sz w:val="20"/>
                <w:szCs w:val="20"/>
                <w:color w:val="auto"/>
              </w:rPr>
            </w:pPr>
            <w:r>
              <w:rPr>
                <w:rFonts w:ascii="Arial" w:cs="Arial" w:eastAsia="Arial" w:hAnsi="Arial"/>
                <w:sz w:val="16"/>
                <w:szCs w:val="16"/>
                <w:color w:val="auto"/>
              </w:rPr>
              <w:t>Natural Gas</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MD</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82"/>
        </w:trPr>
        <w:tc>
          <w:tcPr>
            <w:tcW w:w="1640" w:type="dxa"/>
            <w:vAlign w:val="bottom"/>
          </w:tcPr>
          <w:p>
            <w:pPr>
              <w:ind w:left="60"/>
              <w:spacing w:after="0"/>
              <w:rPr>
                <w:sz w:val="20"/>
                <w:szCs w:val="20"/>
                <w:color w:val="auto"/>
              </w:rPr>
            </w:pPr>
            <w:r>
              <w:rPr>
                <w:rFonts w:ascii="Arial" w:cs="Arial" w:eastAsia="Arial" w:hAnsi="Arial"/>
                <w:sz w:val="16"/>
                <w:szCs w:val="16"/>
                <w:color w:val="auto"/>
              </w:rPr>
              <w:t>Fisk</w:t>
            </w:r>
          </w:p>
        </w:tc>
        <w:tc>
          <w:tcPr>
            <w:tcW w:w="6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6"/>
                <w:szCs w:val="16"/>
                <w:color w:val="auto"/>
              </w:rPr>
              <w:t>PJM</w:t>
            </w:r>
          </w:p>
        </w:tc>
        <w:tc>
          <w:tcPr>
            <w:tcW w:w="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Fossil</w:t>
            </w:r>
          </w:p>
        </w:tc>
        <w:tc>
          <w:tcPr>
            <w:tcW w:w="6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6"/>
                <w:szCs w:val="16"/>
                <w:color w:val="auto"/>
              </w:rPr>
              <w:t>Oil</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IL</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171</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171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27"/>
        </w:trPr>
        <w:tc>
          <w:tcPr>
            <w:tcW w:w="1640" w:type="dxa"/>
            <w:vAlign w:val="bottom"/>
          </w:tcPr>
          <w:p>
            <w:pPr>
              <w:ind w:left="60"/>
              <w:spacing w:after="0"/>
              <w:rPr>
                <w:sz w:val="20"/>
                <w:szCs w:val="20"/>
                <w:color w:val="auto"/>
              </w:rPr>
            </w:pPr>
            <w:r>
              <w:rPr>
                <w:rFonts w:ascii="Arial" w:cs="Arial" w:eastAsia="Arial" w:hAnsi="Arial"/>
                <w:sz w:val="16"/>
                <w:szCs w:val="16"/>
                <w:color w:val="auto"/>
              </w:rPr>
              <w:t>Indian River</w:t>
            </w:r>
            <w:r>
              <w:rPr>
                <w:rFonts w:ascii="Arial" w:cs="Arial" w:eastAsia="Arial" w:hAnsi="Arial"/>
                <w:sz w:val="20"/>
                <w:szCs w:val="20"/>
                <w:color w:val="auto"/>
                <w:vertAlign w:val="superscript"/>
              </w:rPr>
              <w:t>(c)</w:t>
            </w:r>
          </w:p>
        </w:tc>
        <w:tc>
          <w:tcPr>
            <w:tcW w:w="6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6"/>
                <w:szCs w:val="16"/>
                <w:color w:val="auto"/>
              </w:rPr>
              <w:t>PJM</w:t>
            </w:r>
          </w:p>
        </w:tc>
        <w:tc>
          <w:tcPr>
            <w:tcW w:w="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Fossil</w:t>
            </w:r>
          </w:p>
        </w:tc>
        <w:tc>
          <w:tcPr>
            <w:tcW w:w="6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6"/>
                <w:szCs w:val="16"/>
                <w:color w:val="auto"/>
              </w:rPr>
              <w:t>Coal</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DE</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410</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410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7"/>
        </w:trPr>
        <w:tc>
          <w:tcPr>
            <w:tcW w:w="1640" w:type="dxa"/>
            <w:vAlign w:val="bottom"/>
          </w:tcPr>
          <w:p>
            <w:pPr>
              <w:ind w:left="60"/>
              <w:spacing w:after="0"/>
              <w:rPr>
                <w:sz w:val="20"/>
                <w:szCs w:val="20"/>
                <w:color w:val="auto"/>
              </w:rPr>
            </w:pPr>
            <w:r>
              <w:rPr>
                <w:rFonts w:ascii="Arial" w:cs="Arial" w:eastAsia="Arial" w:hAnsi="Arial"/>
                <w:sz w:val="16"/>
                <w:szCs w:val="16"/>
                <w:color w:val="auto"/>
              </w:rPr>
              <w:t>Indian River</w:t>
            </w:r>
          </w:p>
        </w:tc>
        <w:tc>
          <w:tcPr>
            <w:tcW w:w="60" w:type="dxa"/>
            <w:vAlign w:val="bottom"/>
          </w:tcPr>
          <w:p>
            <w:pPr>
              <w:spacing w:after="0"/>
              <w:rPr>
                <w:sz w:val="18"/>
                <w:szCs w:val="18"/>
                <w:color w:val="auto"/>
              </w:rPr>
            </w:pPr>
          </w:p>
        </w:tc>
        <w:tc>
          <w:tcPr>
            <w:tcW w:w="1180" w:type="dxa"/>
            <w:vAlign w:val="bottom"/>
          </w:tcPr>
          <w:p>
            <w:pPr>
              <w:ind w:left="40"/>
              <w:spacing w:after="0"/>
              <w:rPr>
                <w:sz w:val="20"/>
                <w:szCs w:val="20"/>
                <w:color w:val="auto"/>
              </w:rPr>
            </w:pPr>
            <w:r>
              <w:rPr>
                <w:rFonts w:ascii="Arial" w:cs="Arial" w:eastAsia="Arial" w:hAnsi="Arial"/>
                <w:sz w:val="16"/>
                <w:szCs w:val="16"/>
                <w:color w:val="auto"/>
              </w:rPr>
              <w:t>PJM</w:t>
            </w:r>
          </w:p>
        </w:tc>
        <w:tc>
          <w:tcPr>
            <w:tcW w:w="6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Fossil</w:t>
            </w:r>
          </w:p>
        </w:tc>
        <w:tc>
          <w:tcPr>
            <w:tcW w:w="60" w:type="dxa"/>
            <w:vAlign w:val="bottom"/>
          </w:tcPr>
          <w:p>
            <w:pPr>
              <w:spacing w:after="0"/>
              <w:rPr>
                <w:sz w:val="18"/>
                <w:szCs w:val="18"/>
                <w:color w:val="auto"/>
              </w:rPr>
            </w:pPr>
          </w:p>
        </w:tc>
        <w:tc>
          <w:tcPr>
            <w:tcW w:w="1020" w:type="dxa"/>
            <w:vAlign w:val="bottom"/>
          </w:tcPr>
          <w:p>
            <w:pPr>
              <w:ind w:left="40"/>
              <w:spacing w:after="0"/>
              <w:rPr>
                <w:sz w:val="20"/>
                <w:szCs w:val="20"/>
                <w:color w:val="auto"/>
              </w:rPr>
            </w:pPr>
            <w:r>
              <w:rPr>
                <w:rFonts w:ascii="Arial" w:cs="Arial" w:eastAsia="Arial" w:hAnsi="Arial"/>
                <w:sz w:val="16"/>
                <w:szCs w:val="16"/>
                <w:color w:val="auto"/>
              </w:rPr>
              <w:t>Oil</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DE</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27"/>
        </w:trPr>
        <w:tc>
          <w:tcPr>
            <w:tcW w:w="1640" w:type="dxa"/>
            <w:vAlign w:val="bottom"/>
          </w:tcPr>
          <w:p>
            <w:pPr>
              <w:ind w:left="60"/>
              <w:spacing w:after="0"/>
              <w:rPr>
                <w:sz w:val="20"/>
                <w:szCs w:val="20"/>
                <w:color w:val="auto"/>
              </w:rPr>
            </w:pPr>
            <w:r>
              <w:rPr>
                <w:rFonts w:ascii="Arial" w:cs="Arial" w:eastAsia="Arial" w:hAnsi="Arial"/>
                <w:sz w:val="16"/>
                <w:szCs w:val="16"/>
                <w:color w:val="auto"/>
              </w:rPr>
              <w:t>Powerton</w:t>
            </w:r>
            <w:r>
              <w:rPr>
                <w:rFonts w:ascii="Arial" w:cs="Arial" w:eastAsia="Arial" w:hAnsi="Arial"/>
                <w:sz w:val="20"/>
                <w:szCs w:val="20"/>
                <w:color w:val="auto"/>
                <w:vertAlign w:val="superscript"/>
              </w:rPr>
              <w:t>(d)</w:t>
            </w:r>
          </w:p>
        </w:tc>
        <w:tc>
          <w:tcPr>
            <w:tcW w:w="6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6"/>
                <w:szCs w:val="16"/>
                <w:color w:val="auto"/>
              </w:rPr>
              <w:t>PJM</w:t>
            </w:r>
          </w:p>
        </w:tc>
        <w:tc>
          <w:tcPr>
            <w:tcW w:w="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Fossil</w:t>
            </w:r>
          </w:p>
        </w:tc>
        <w:tc>
          <w:tcPr>
            <w:tcW w:w="6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6"/>
                <w:szCs w:val="16"/>
                <w:color w:val="auto"/>
              </w:rPr>
              <w:t>Coal</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IL</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1,538</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1,538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7"/>
        </w:trPr>
        <w:tc>
          <w:tcPr>
            <w:tcW w:w="1640" w:type="dxa"/>
            <w:vAlign w:val="bottom"/>
          </w:tcPr>
          <w:p>
            <w:pPr>
              <w:ind w:left="60"/>
              <w:spacing w:after="0"/>
              <w:rPr>
                <w:sz w:val="20"/>
                <w:szCs w:val="20"/>
                <w:color w:val="auto"/>
              </w:rPr>
            </w:pPr>
            <w:r>
              <w:rPr>
                <w:rFonts w:ascii="Arial" w:cs="Arial" w:eastAsia="Arial" w:hAnsi="Arial"/>
                <w:sz w:val="16"/>
                <w:szCs w:val="16"/>
                <w:color w:val="auto"/>
              </w:rPr>
              <w:t>Vienna</w:t>
            </w:r>
          </w:p>
        </w:tc>
        <w:tc>
          <w:tcPr>
            <w:tcW w:w="60" w:type="dxa"/>
            <w:vAlign w:val="bottom"/>
          </w:tcPr>
          <w:p>
            <w:pPr>
              <w:spacing w:after="0"/>
              <w:rPr>
                <w:sz w:val="18"/>
                <w:szCs w:val="18"/>
                <w:color w:val="auto"/>
              </w:rPr>
            </w:pPr>
          </w:p>
        </w:tc>
        <w:tc>
          <w:tcPr>
            <w:tcW w:w="1180" w:type="dxa"/>
            <w:vAlign w:val="bottom"/>
          </w:tcPr>
          <w:p>
            <w:pPr>
              <w:ind w:left="40"/>
              <w:spacing w:after="0"/>
              <w:rPr>
                <w:sz w:val="20"/>
                <w:szCs w:val="20"/>
                <w:color w:val="auto"/>
              </w:rPr>
            </w:pPr>
            <w:r>
              <w:rPr>
                <w:rFonts w:ascii="Arial" w:cs="Arial" w:eastAsia="Arial" w:hAnsi="Arial"/>
                <w:sz w:val="16"/>
                <w:szCs w:val="16"/>
                <w:color w:val="auto"/>
              </w:rPr>
              <w:t>PJM</w:t>
            </w:r>
          </w:p>
        </w:tc>
        <w:tc>
          <w:tcPr>
            <w:tcW w:w="6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Fossil</w:t>
            </w:r>
          </w:p>
        </w:tc>
        <w:tc>
          <w:tcPr>
            <w:tcW w:w="60" w:type="dxa"/>
            <w:vAlign w:val="bottom"/>
          </w:tcPr>
          <w:p>
            <w:pPr>
              <w:spacing w:after="0"/>
              <w:rPr>
                <w:sz w:val="18"/>
                <w:szCs w:val="18"/>
                <w:color w:val="auto"/>
              </w:rPr>
            </w:pPr>
          </w:p>
        </w:tc>
        <w:tc>
          <w:tcPr>
            <w:tcW w:w="1020" w:type="dxa"/>
            <w:vAlign w:val="bottom"/>
          </w:tcPr>
          <w:p>
            <w:pPr>
              <w:ind w:left="40"/>
              <w:spacing w:after="0"/>
              <w:rPr>
                <w:sz w:val="20"/>
                <w:szCs w:val="20"/>
                <w:color w:val="auto"/>
              </w:rPr>
            </w:pPr>
            <w:r>
              <w:rPr>
                <w:rFonts w:ascii="Arial" w:cs="Arial" w:eastAsia="Arial" w:hAnsi="Arial"/>
                <w:sz w:val="16"/>
                <w:szCs w:val="16"/>
                <w:color w:val="auto"/>
              </w:rPr>
              <w:t>Oil</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MD</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167</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167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58"/>
        </w:trPr>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Waukegan</w:t>
            </w:r>
          </w:p>
        </w:tc>
        <w:tc>
          <w:tcPr>
            <w:tcW w:w="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PJM</w:t>
            </w:r>
          </w:p>
        </w:tc>
        <w:tc>
          <w:tcPr>
            <w:tcW w:w="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Fossil</w:t>
            </w:r>
          </w:p>
        </w:tc>
        <w:tc>
          <w:tcPr>
            <w:tcW w:w="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Oil</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IL</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101</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101</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62"/>
        </w:trPr>
        <w:tc>
          <w:tcPr>
            <w:tcW w:w="16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Total East</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2,483</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2,483</w:t>
            </w:r>
          </w:p>
        </w:tc>
        <w:tc>
          <w:tcPr>
            <w:tcW w:w="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640" w:type="dxa"/>
            <w:vAlign w:val="bottom"/>
          </w:tcPr>
          <w:p>
            <w:pPr>
              <w:ind w:left="60"/>
              <w:spacing w:after="0"/>
              <w:rPr>
                <w:sz w:val="20"/>
                <w:szCs w:val="20"/>
                <w:color w:val="auto"/>
              </w:rPr>
            </w:pPr>
            <w:r>
              <w:rPr>
                <w:rFonts w:ascii="Arial" w:cs="Arial" w:eastAsia="Arial" w:hAnsi="Arial"/>
                <w:sz w:val="16"/>
                <w:szCs w:val="16"/>
                <w:b w:val="1"/>
                <w:bCs w:val="1"/>
                <w:color w:val="auto"/>
              </w:rPr>
              <w:t>West/Services/Other</w:t>
            </w: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Cottonwood</w:t>
            </w:r>
          </w:p>
        </w:tc>
        <w:tc>
          <w:tcPr>
            <w:tcW w:w="60" w:type="dxa"/>
            <w:vAlign w:val="bottom"/>
          </w:tcPr>
          <w:p>
            <w:pPr>
              <w:spacing w:after="0"/>
              <w:rPr>
                <w:sz w:val="16"/>
                <w:szCs w:val="16"/>
                <w:color w:val="auto"/>
              </w:rPr>
            </w:pPr>
          </w:p>
        </w:tc>
        <w:tc>
          <w:tcPr>
            <w:tcW w:w="1180" w:type="dxa"/>
            <w:vAlign w:val="bottom"/>
            <w:vMerge w:val="restart"/>
          </w:tcPr>
          <w:p>
            <w:pPr>
              <w:ind w:left="40"/>
              <w:spacing w:after="0"/>
              <w:rPr>
                <w:sz w:val="20"/>
                <w:szCs w:val="20"/>
                <w:color w:val="auto"/>
              </w:rPr>
            </w:pPr>
            <w:r>
              <w:rPr>
                <w:rFonts w:ascii="Arial" w:cs="Arial" w:eastAsia="Arial" w:hAnsi="Arial"/>
                <w:sz w:val="16"/>
                <w:szCs w:val="16"/>
                <w:color w:val="auto"/>
              </w:rPr>
              <w:t>MISO</w:t>
            </w:r>
          </w:p>
        </w:tc>
        <w:tc>
          <w:tcPr>
            <w:tcW w:w="60" w:type="dxa"/>
            <w:vAlign w:val="bottom"/>
          </w:tcPr>
          <w:p>
            <w:pPr>
              <w:spacing w:after="0"/>
              <w:rPr>
                <w:sz w:val="16"/>
                <w:szCs w:val="16"/>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Fossil</w:t>
            </w:r>
          </w:p>
        </w:tc>
        <w:tc>
          <w:tcPr>
            <w:tcW w:w="60" w:type="dxa"/>
            <w:vAlign w:val="bottom"/>
          </w:tcPr>
          <w:p>
            <w:pPr>
              <w:spacing w:after="0"/>
              <w:rPr>
                <w:sz w:val="16"/>
                <w:szCs w:val="16"/>
                <w:color w:val="auto"/>
              </w:rPr>
            </w:pPr>
          </w:p>
        </w:tc>
        <w:tc>
          <w:tcPr>
            <w:tcW w:w="1020" w:type="dxa"/>
            <w:vAlign w:val="bottom"/>
            <w:vMerge w:val="restart"/>
          </w:tcPr>
          <w:p>
            <w:pPr>
              <w:ind w:left="40"/>
              <w:spacing w:after="0"/>
              <w:rPr>
                <w:sz w:val="20"/>
                <w:szCs w:val="20"/>
                <w:color w:val="auto"/>
              </w:rPr>
            </w:pPr>
            <w:r>
              <w:rPr>
                <w:rFonts w:ascii="Arial" w:cs="Arial" w:eastAsia="Arial" w:hAnsi="Arial"/>
                <w:sz w:val="16"/>
                <w:szCs w:val="16"/>
                <w:color w:val="auto"/>
              </w:rPr>
              <w:t>Natural Gas</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vMerge w:val="restart"/>
          </w:tcPr>
          <w:p>
            <w:pPr>
              <w:ind w:left="60"/>
              <w:spacing w:after="0"/>
              <w:rPr>
                <w:sz w:val="20"/>
                <w:szCs w:val="20"/>
                <w:color w:val="auto"/>
              </w:rPr>
            </w:pPr>
            <w:r>
              <w:rPr>
                <w:rFonts w:ascii="Arial" w:cs="Arial" w:eastAsia="Arial" w:hAnsi="Arial"/>
                <w:sz w:val="16"/>
                <w:szCs w:val="16"/>
                <w:color w:val="auto"/>
              </w:rPr>
              <w:t>TX</w:t>
            </w:r>
          </w:p>
        </w:tc>
        <w:tc>
          <w:tcPr>
            <w:tcW w:w="1700" w:type="dxa"/>
            <w:vAlign w:val="bottom"/>
            <w:gridSpan w:val="2"/>
            <w:vMerge w:val="restart"/>
          </w:tcPr>
          <w:p>
            <w:pPr>
              <w:jc w:val="right"/>
              <w:spacing w:after="0"/>
              <w:rPr>
                <w:sz w:val="20"/>
                <w:szCs w:val="20"/>
                <w:color w:val="auto"/>
              </w:rPr>
            </w:pPr>
            <w:r>
              <w:rPr>
                <w:rFonts w:ascii="Arial" w:cs="Arial" w:eastAsia="Arial" w:hAnsi="Arial"/>
                <w:sz w:val="16"/>
                <w:szCs w:val="16"/>
                <w:color w:val="auto"/>
              </w:rPr>
              <w:t>1,139</w:t>
            </w:r>
          </w:p>
        </w:tc>
        <w:tc>
          <w:tcPr>
            <w:tcW w:w="1540" w:type="dxa"/>
            <w:vAlign w:val="bottom"/>
            <w:gridSpan w:val="2"/>
            <w:vMerge w:val="restart"/>
          </w:tcPr>
          <w:p>
            <w:pPr>
              <w:jc w:val="right"/>
              <w:spacing w:after="0"/>
              <w:rPr>
                <w:sz w:val="20"/>
                <w:szCs w:val="20"/>
                <w:color w:val="auto"/>
              </w:rPr>
            </w:pPr>
            <w:r>
              <w:rPr>
                <w:rFonts w:ascii="Arial" w:cs="Arial" w:eastAsia="Arial" w:hAnsi="Arial"/>
                <w:sz w:val="16"/>
                <w:szCs w:val="16"/>
                <w:color w:val="auto"/>
              </w:rPr>
              <w:t>1,139</w:t>
            </w: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___(e)</w:t>
            </w:r>
          </w:p>
        </w:tc>
        <w:tc>
          <w:tcPr>
            <w:tcW w:w="0" w:type="dxa"/>
            <w:vAlign w:val="bottom"/>
          </w:tcPr>
          <w:p>
            <w:pPr>
              <w:spacing w:after="0"/>
              <w:rPr>
                <w:sz w:val="1"/>
                <w:szCs w:val="1"/>
                <w:color w:val="auto"/>
              </w:rPr>
            </w:pPr>
          </w:p>
        </w:tc>
      </w:tr>
      <w:tr>
        <w:trPr>
          <w:trHeight w:val="89"/>
        </w:trPr>
        <w:tc>
          <w:tcPr>
            <w:tcW w:w="1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40" w:type="dxa"/>
            <w:vAlign w:val="bottom"/>
          </w:tcPr>
          <w:p>
            <w:pPr>
              <w:ind w:left="60"/>
              <w:spacing w:after="0"/>
              <w:rPr>
                <w:sz w:val="20"/>
                <w:szCs w:val="20"/>
                <w:color w:val="auto"/>
              </w:rPr>
            </w:pPr>
            <w:r>
              <w:rPr>
                <w:rFonts w:ascii="Arial" w:cs="Arial" w:eastAsia="Arial" w:hAnsi="Arial"/>
                <w:sz w:val="16"/>
                <w:szCs w:val="16"/>
                <w:color w:val="auto"/>
              </w:rPr>
              <w:t>Gladstone</w:t>
            </w: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Fossil</w:t>
            </w:r>
          </w:p>
        </w:tc>
        <w:tc>
          <w:tcPr>
            <w:tcW w:w="6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6"/>
                <w:szCs w:val="16"/>
                <w:color w:val="auto"/>
              </w:rPr>
              <w:t>Coal</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AUS</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1,613</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605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301"/>
        </w:trPr>
        <w:tc>
          <w:tcPr>
            <w:tcW w:w="1640" w:type="dxa"/>
            <w:vAlign w:val="bottom"/>
          </w:tcPr>
          <w:p>
            <w:pPr>
              <w:ind w:left="60"/>
              <w:spacing w:after="0"/>
              <w:rPr>
                <w:sz w:val="20"/>
                <w:szCs w:val="20"/>
                <w:color w:val="auto"/>
              </w:rPr>
            </w:pPr>
            <w:r>
              <w:rPr>
                <w:rFonts w:ascii="Arial" w:cs="Arial" w:eastAsia="Arial" w:hAnsi="Arial"/>
                <w:sz w:val="16"/>
                <w:szCs w:val="16"/>
                <w:color w:val="auto"/>
              </w:rPr>
              <w:t>Ivanpah</w:t>
            </w:r>
            <w:r>
              <w:rPr>
                <w:rFonts w:ascii="Arial" w:cs="Arial" w:eastAsia="Arial" w:hAnsi="Arial"/>
                <w:sz w:val="20"/>
                <w:szCs w:val="20"/>
                <w:color w:val="auto"/>
                <w:vertAlign w:val="superscript"/>
              </w:rPr>
              <w:t>(f)</w:t>
            </w:r>
          </w:p>
        </w:tc>
        <w:tc>
          <w:tcPr>
            <w:tcW w:w="6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6"/>
                <w:szCs w:val="16"/>
                <w:color w:val="auto"/>
              </w:rPr>
              <w:t>CAISO</w:t>
            </w:r>
          </w:p>
        </w:tc>
        <w:tc>
          <w:tcPr>
            <w:tcW w:w="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Renewable</w:t>
            </w:r>
          </w:p>
        </w:tc>
        <w:tc>
          <w:tcPr>
            <w:tcW w:w="6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6"/>
                <w:szCs w:val="16"/>
                <w:color w:val="auto"/>
              </w:rPr>
              <w:t>Solar</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CA</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385</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210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33"/>
        </w:trPr>
        <w:tc>
          <w:tcPr>
            <w:tcW w:w="1640" w:type="dxa"/>
            <w:vAlign w:val="bottom"/>
          </w:tcPr>
          <w:p>
            <w:pPr>
              <w:ind w:left="60"/>
              <w:spacing w:after="0"/>
              <w:rPr>
                <w:sz w:val="20"/>
                <w:szCs w:val="20"/>
                <w:color w:val="auto"/>
              </w:rPr>
            </w:pPr>
            <w:r>
              <w:rPr>
                <w:rFonts w:ascii="Arial" w:cs="Arial" w:eastAsia="Arial" w:hAnsi="Arial"/>
                <w:sz w:val="16"/>
                <w:szCs w:val="16"/>
                <w:color w:val="auto"/>
              </w:rPr>
              <w:t>Midway-Sunset</w:t>
            </w:r>
          </w:p>
        </w:tc>
        <w:tc>
          <w:tcPr>
            <w:tcW w:w="60" w:type="dxa"/>
            <w:vAlign w:val="bottom"/>
          </w:tcPr>
          <w:p>
            <w:pPr>
              <w:spacing w:after="0"/>
              <w:rPr>
                <w:sz w:val="20"/>
                <w:szCs w:val="20"/>
                <w:color w:val="auto"/>
              </w:rPr>
            </w:pPr>
          </w:p>
        </w:tc>
        <w:tc>
          <w:tcPr>
            <w:tcW w:w="1180" w:type="dxa"/>
            <w:vAlign w:val="bottom"/>
          </w:tcPr>
          <w:p>
            <w:pPr>
              <w:ind w:left="40"/>
              <w:spacing w:after="0"/>
              <w:rPr>
                <w:sz w:val="20"/>
                <w:szCs w:val="20"/>
                <w:color w:val="auto"/>
              </w:rPr>
            </w:pPr>
            <w:r>
              <w:rPr>
                <w:rFonts w:ascii="Arial" w:cs="Arial" w:eastAsia="Arial" w:hAnsi="Arial"/>
                <w:sz w:val="16"/>
                <w:szCs w:val="16"/>
                <w:color w:val="auto"/>
              </w:rPr>
              <w:t>CAISO</w:t>
            </w:r>
          </w:p>
        </w:tc>
        <w:tc>
          <w:tcPr>
            <w:tcW w:w="60" w:type="dxa"/>
            <w:vAlign w:val="bottom"/>
          </w:tcPr>
          <w:p>
            <w:pPr>
              <w:spacing w:after="0"/>
              <w:rPr>
                <w:sz w:val="20"/>
                <w:szCs w:val="20"/>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Fossil</w:t>
            </w:r>
          </w:p>
        </w:tc>
        <w:tc>
          <w:tcPr>
            <w:tcW w:w="60" w:type="dxa"/>
            <w:vAlign w:val="bottom"/>
          </w:tcPr>
          <w:p>
            <w:pPr>
              <w:spacing w:after="0"/>
              <w:rPr>
                <w:sz w:val="20"/>
                <w:szCs w:val="20"/>
                <w:color w:val="auto"/>
              </w:rPr>
            </w:pPr>
          </w:p>
        </w:tc>
        <w:tc>
          <w:tcPr>
            <w:tcW w:w="1020" w:type="dxa"/>
            <w:vAlign w:val="bottom"/>
          </w:tcPr>
          <w:p>
            <w:pPr>
              <w:ind w:left="40"/>
              <w:spacing w:after="0"/>
              <w:rPr>
                <w:sz w:val="20"/>
                <w:szCs w:val="20"/>
                <w:color w:val="auto"/>
              </w:rPr>
            </w:pPr>
            <w:r>
              <w:rPr>
                <w:rFonts w:ascii="Arial" w:cs="Arial" w:eastAsia="Arial" w:hAnsi="Arial"/>
                <w:sz w:val="16"/>
                <w:szCs w:val="16"/>
                <w:color w:val="auto"/>
              </w:rPr>
              <w:t>Natural Gas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CA</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226</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113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88"/>
        </w:trPr>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Stadiums and Other</w:t>
            </w: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Renewable</w:t>
            </w: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Solar</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various</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7"/>
        </w:trPr>
        <w:tc>
          <w:tcPr>
            <w:tcW w:w="1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gridSpan w:val="4"/>
          </w:tcPr>
          <w:p>
            <w:pPr>
              <w:ind w:left="60"/>
              <w:spacing w:after="0"/>
              <w:rPr>
                <w:sz w:val="20"/>
                <w:szCs w:val="20"/>
                <w:color w:val="auto"/>
              </w:rPr>
            </w:pPr>
            <w:r>
              <w:rPr>
                <w:rFonts w:ascii="Arial" w:cs="Arial" w:eastAsia="Arial" w:hAnsi="Arial"/>
                <w:sz w:val="16"/>
                <w:szCs w:val="16"/>
                <w:b w:val="1"/>
                <w:bCs w:val="1"/>
                <w:color w:val="auto"/>
                <w:w w:val="91"/>
              </w:rPr>
              <w:t>Total West/Services/Other</w:t>
            </w: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3,367</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2,071</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16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7"/>
              </w:rPr>
              <w:t>Total Fleet</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14,629</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13,081</w:t>
            </w:r>
          </w:p>
        </w:tc>
        <w:tc>
          <w:tcPr>
            <w:tcW w:w="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-4773930</wp:posOffset>
            </wp:positionV>
            <wp:extent cx="6475095" cy="4780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6475095" cy="4780915"/>
                    </a:xfrm>
                    <a:prstGeom prst="rect">
                      <a:avLst/>
                    </a:prstGeom>
                    <a:noFill/>
                  </pic:spPr>
                </pic:pic>
              </a:graphicData>
            </a:graphic>
          </wp:anchor>
        </w:drawing>
      </w:r>
    </w:p>
    <w:p>
      <w:pPr>
        <w:ind w:left="360" w:hanging="359"/>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MW capacity of the facility without taking into account NRG ownership percentage</w:t>
      </w:r>
    </w:p>
    <w:p>
      <w:pPr>
        <w:spacing w:after="0" w:line="23" w:lineRule="exact"/>
        <w:rPr>
          <w:rFonts w:ascii="Arial" w:cs="Arial" w:eastAsia="Arial" w:hAnsi="Arial"/>
          <w:sz w:val="16"/>
          <w:szCs w:val="16"/>
          <w:color w:val="auto"/>
        </w:rPr>
      </w:pPr>
    </w:p>
    <w:p>
      <w:pPr>
        <w:jc w:val="both"/>
        <w:ind w:left="360" w:hanging="359"/>
        <w:spacing w:after="0" w:line="247"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Actual capacity, adjusted for ownership interest, can vary depending on factors including weather conditions, operational conditions, and other factors. Additionally, ERCOT and PJM require periodic demonstration of capability, and the capacity may vary individually and in the aggregate from time to time</w:t>
      </w:r>
    </w:p>
    <w:p>
      <w:pPr>
        <w:spacing w:after="0" w:line="2" w:lineRule="exact"/>
        <w:rPr>
          <w:rFonts w:ascii="Arial" w:cs="Arial" w:eastAsia="Arial" w:hAnsi="Arial"/>
          <w:sz w:val="16"/>
          <w:szCs w:val="16"/>
          <w:color w:val="auto"/>
        </w:rPr>
      </w:pPr>
    </w:p>
    <w:p>
      <w:pPr>
        <w:ind w:left="360" w:right="140" w:hanging="359"/>
        <w:spacing w:after="0" w:line="247"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previously announced the shut down of the Indian River facility. However, PJM identified reliability impacts resulting from the proposed deactivation and Indian River Unit 4 retired on February 23, 2025</w:t>
      </w:r>
    </w:p>
    <w:p>
      <w:pPr>
        <w:spacing w:after="0" w:line="1" w:lineRule="exact"/>
        <w:rPr>
          <w:rFonts w:ascii="Arial" w:cs="Arial" w:eastAsia="Arial" w:hAnsi="Arial"/>
          <w:sz w:val="16"/>
          <w:szCs w:val="16"/>
          <w:color w:val="auto"/>
        </w:rPr>
      </w:pPr>
    </w:p>
    <w:p>
      <w:pPr>
        <w:ind w:left="360" w:hanging="359"/>
        <w:spacing w:after="0" w:line="232"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Powerton is projected to close by December 31, 2028 to comply with ELG regulations</w:t>
      </w:r>
    </w:p>
    <w:p>
      <w:pPr>
        <w:ind w:left="360" w:hanging="359"/>
        <w:spacing w:after="0"/>
        <w:tabs>
          <w:tab w:leader="none" w:pos="3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NRG leases 100% interests in the Cottonwood facility through a facility lease agreement expiring in May 2025 and operates the Cottonwood facility</w:t>
      </w:r>
    </w:p>
    <w:p>
      <w:pPr>
        <w:spacing w:after="0" w:line="16" w:lineRule="exact"/>
        <w:rPr>
          <w:rFonts w:ascii="Arial" w:cs="Arial" w:eastAsia="Arial" w:hAnsi="Arial"/>
          <w:sz w:val="15"/>
          <w:szCs w:val="15"/>
          <w:color w:val="auto"/>
        </w:rPr>
      </w:pPr>
    </w:p>
    <w:p>
      <w:pPr>
        <w:jc w:val="both"/>
        <w:ind w:left="360" w:hanging="359"/>
        <w:spacing w:after="0" w:line="251"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January 17, 2025, PG&amp;E filed an advice letter to the CPUC seeking approval of a termination agreement between the utility and Solar Partners II, LLC and Solar Partners VIII, LLC, which include NRG’s ownership interests. If approved by the CPUC, this would result in the termination of PG&amp;E’s PPAs with Ivanpah Units 1 and 3</w:t>
      </w:r>
    </w:p>
    <w:p>
      <w:pPr>
        <w:spacing w:after="0" w:line="154"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9"/>
          <w:szCs w:val="19"/>
          <w:color w:val="auto"/>
        </w:rPr>
        <w:t>NRG owns several real properties and facilities related to its generation assets, other vacant real property unrelated to its generation assets, and properties not used for operational purposes. NRG believes it has satisfactory title to its plants and facilities in accordance with standards generally accepted in the electric power industry, subject to exceptions that, in the Company's opinion, would not have a material adverse effect on the use or value of its portfolio.</w:t>
      </w:r>
    </w:p>
    <w:p>
      <w:pPr>
        <w:spacing w:after="0" w:line="8"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NRG leases its operational and corporate headquarters in Houston, Texas, its financial and commercial corporate offices in Princeton, New Jersey, its smart home corporate offices in Provo and Lehi, Utah, as well as its retail operations offices, smart home monitoring stations, call centers, warehouses and various other office space.</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880" w:h="15480" w:orient="portrait"/>
          <w:cols w:equalWidth="0" w:num="1">
            <w:col w:w="10160"/>
          </w:cols>
          <w:pgMar w:left="860" w:top="505" w:right="860" w:bottom="0" w:gutter="0" w:footer="0" w:header="0"/>
          <w:type w:val="continuous"/>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Item 3 — Legal Proceedings</w:t>
      </w:r>
    </w:p>
    <w:p>
      <w:pPr>
        <w:spacing w:after="0" w:line="130" w:lineRule="exact"/>
        <w:rPr>
          <w:sz w:val="20"/>
          <w:szCs w:val="20"/>
          <w:color w:val="auto"/>
        </w:rPr>
      </w:pPr>
    </w:p>
    <w:p>
      <w:pPr>
        <w:ind w:firstLine="445"/>
        <w:spacing w:after="0" w:line="281" w:lineRule="auto"/>
        <w:rPr>
          <w:sz w:val="20"/>
          <w:szCs w:val="20"/>
          <w:color w:val="auto"/>
        </w:rPr>
      </w:pPr>
      <w:r>
        <w:rPr>
          <w:rFonts w:ascii="Arial" w:cs="Arial" w:eastAsia="Arial" w:hAnsi="Arial"/>
          <w:sz w:val="20"/>
          <w:szCs w:val="20"/>
          <w:color w:val="auto"/>
        </w:rPr>
        <w:t xml:space="preserve">See Item 15 </w:t>
      </w:r>
      <w:r>
        <w:rPr>
          <w:rFonts w:ascii="Arial" w:cs="Arial" w:eastAsia="Arial" w:hAnsi="Arial"/>
          <w:sz w:val="20"/>
          <w:szCs w:val="20"/>
          <w:b w:val="1"/>
          <w:bCs w:val="1"/>
          <w:color w:val="auto"/>
        </w:rPr>
        <w:t>—</w:t>
      </w:r>
      <w:r>
        <w:rPr>
          <w:rFonts w:ascii="Arial" w:cs="Arial" w:eastAsia="Arial" w:hAnsi="Arial"/>
          <w:sz w:val="20"/>
          <w:szCs w:val="20"/>
          <w:color w:val="auto"/>
        </w:rPr>
        <w:t xml:space="preserve"> Note 22, </w:t>
      </w:r>
      <w:r>
        <w:rPr>
          <w:rFonts w:ascii="Arial" w:cs="Arial" w:eastAsia="Arial" w:hAnsi="Arial"/>
          <w:sz w:val="20"/>
          <w:szCs w:val="20"/>
          <w:b w:val="1"/>
          <w:bCs w:val="1"/>
          <w:i w:val="1"/>
          <w:iCs w:val="1"/>
          <w:color w:val="auto"/>
        </w:rPr>
        <w:t>Commitments and Contingencies</w:t>
      </w:r>
      <w:r>
        <w:rPr>
          <w:rFonts w:ascii="Arial" w:cs="Arial" w:eastAsia="Arial" w:hAnsi="Arial"/>
          <w:sz w:val="20"/>
          <w:szCs w:val="20"/>
          <w:color w:val="auto"/>
        </w:rPr>
        <w:t>, to the Consolidated Financial Statements for discussion of the material legal proceedings to which NRG is a party.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 Mine Safety Disclosures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There have been no events that are required to be reported under this Item.</w:t>
      </w:r>
    </w:p>
    <w:p>
      <w:pPr>
        <w:sectPr>
          <w:pgSz w:w="11880" w:h="15480" w:orient="portrait"/>
          <w:cols w:equalWidth="0" w:num="1">
            <w:col w:w="10040"/>
          </w:cols>
          <w:pgMar w:left="860" w:top="50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43</w:t>
      </w:r>
    </w:p>
    <w:p>
      <w:pPr>
        <w:sectPr>
          <w:pgSz w:w="11880" w:h="15480" w:orient="portrait"/>
          <w:cols w:equalWidth="0" w:num="1">
            <w:col w:w="10040"/>
          </w:cols>
          <w:pgMar w:left="860" w:top="505" w:right="980" w:bottom="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20"/>
          <w:szCs w:val="20"/>
          <w:b w:val="1"/>
          <w:bCs w:val="1"/>
          <w:color w:val="auto"/>
        </w:rPr>
        <w:t>PART II</w:t>
      </w:r>
    </w:p>
    <w:p>
      <w:pPr>
        <w:spacing w:after="0" w:line="24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Item 5 — Market for Registrant's Common Equity, Related Stockholder Matters and Issuer Purchases of Equity Securities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 and Holders</w:t>
      </w:r>
    </w:p>
    <w:p>
      <w:pPr>
        <w:spacing w:after="0" w:line="13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color w:val="auto"/>
        </w:rPr>
        <w:t>NRG's common stock trades on the New York Stock Exchange under the symbol "NRG". NRG's authorized capital stock consists of 500,000,000 shares of common stock and 10,000,000 shares of preferred stock. A total of 25,000,000 shares of the Company's common stock are authorized for issuance under the NRG LTIP, and a total of 17,500,000 shares of common stock are authorized for issuance under the Vivint LTIP. For more information about the LTIPs, refer to Item 12 — S</w:t>
      </w:r>
      <w:r>
        <w:rPr>
          <w:rFonts w:ascii="Arial" w:cs="Arial" w:eastAsia="Arial" w:hAnsi="Arial"/>
          <w:sz w:val="19"/>
          <w:szCs w:val="19"/>
          <w:b w:val="1"/>
          <w:bCs w:val="1"/>
          <w:i w:val="1"/>
          <w:iCs w:val="1"/>
          <w:color w:val="auto"/>
        </w:rPr>
        <w:t>ecurity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Ownership of Certain Beneficial Owners and Management and Related Stockholder Matters </w:t>
      </w:r>
      <w:r>
        <w:rPr>
          <w:rFonts w:ascii="Arial" w:cs="Arial" w:eastAsia="Arial" w:hAnsi="Arial"/>
          <w:sz w:val="19"/>
          <w:szCs w:val="19"/>
          <w:color w:val="auto"/>
        </w:rPr>
        <w:t>and Item 15 — Note 20,</w:t>
      </w:r>
      <w:r>
        <w:rPr>
          <w:rFonts w:ascii="Arial" w:cs="Arial" w:eastAsia="Arial" w:hAnsi="Arial"/>
          <w:sz w:val="19"/>
          <w:szCs w:val="19"/>
          <w:b w:val="1"/>
          <w:bCs w:val="1"/>
          <w:i w:val="1"/>
          <w:iCs w:val="1"/>
          <w:color w:val="auto"/>
        </w:rPr>
        <w:t xml:space="preserve"> Stock-Based Compensation</w:t>
      </w:r>
      <w:r>
        <w:rPr>
          <w:rFonts w:ascii="Arial" w:cs="Arial" w:eastAsia="Arial" w:hAnsi="Arial"/>
          <w:sz w:val="19"/>
          <w:szCs w:val="19"/>
          <w:color w:val="auto"/>
        </w:rPr>
        <w:t>, to the Consolidated Financial Statements</w:t>
      </w:r>
      <w:r>
        <w:rPr>
          <w:rFonts w:ascii="Arial" w:cs="Arial" w:eastAsia="Arial" w:hAnsi="Arial"/>
          <w:sz w:val="19"/>
          <w:szCs w:val="19"/>
          <w:b w:val="1"/>
          <w:bCs w:val="1"/>
          <w:i w:val="1"/>
          <w:iCs w:val="1"/>
          <w:color w:val="auto"/>
        </w:rPr>
        <w:t>.</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As of January 31, 2025, there were 14,339 common stockholders of record.</w:t>
      </w:r>
    </w:p>
    <w:p>
      <w:pPr>
        <w:spacing w:after="0" w:line="126"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Company’s long-term capital allocation framework targets to return approximately 80% of excess cash to shareholders and invest 20% in growth initiatives, after debt reduction. The Company expects to return the capital to shareholders through share repurchases and dividends on its common stock.</w:t>
      </w:r>
    </w:p>
    <w:p>
      <w:pPr>
        <w:spacing w:after="0" w:line="7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In 2024, the Company increased the annual dividend on its common stock to $1.63 per share, representing an 8% increase from 2023. Consistent with its capital allocation framework, the Company further increased the annual dividend on its common stock by 8% to $1.76 per common share beginning in the first quarter of 2025. The long-term capital allocation policy targets an annual dividend growth rate of 7-9% per common share.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134"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9"/>
          <w:szCs w:val="19"/>
          <w:color w:val="auto"/>
        </w:rPr>
        <w:t>NRG engages in share repurchase programs with the goal of returning excess cash to shareholders. The share repurchase plan permits the execution of the plan through open-market purchases, private transactions, accelerated share repurchases and other similar transactions. The timing, price and volume of repurchases is based on a number of factors, including available capital, market conditions, and compliance with associated laws and regulations.</w:t>
      </w:r>
    </w:p>
    <w:p>
      <w:pPr>
        <w:spacing w:after="0" w:line="68"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8"/>
          <w:szCs w:val="18"/>
          <w:color w:val="auto"/>
        </w:rPr>
        <w:t>In June 2023, the Company announced that the Board of Directors increased the share repurchase authorization of its common stock to $2.7 billion to be executed through 2025. In October 2024, the Board of Directors authorized an additional $1.0 billion for shares repurchases as part of the existing share repurchase authorization. Through January 31, 2025, the Company completed $2.2 billion of share repurchases under the $3.7 billion authorization. For further information regarding share repurchases, see Item 15 — Note 15</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Capital Structure</w:t>
      </w:r>
      <w:r>
        <w:rPr>
          <w:rFonts w:ascii="Arial" w:cs="Arial" w:eastAsia="Arial" w:hAnsi="Arial"/>
          <w:sz w:val="18"/>
          <w:szCs w:val="18"/>
          <w:color w:val="auto"/>
        </w:rPr>
        <w:t xml:space="preserve"> in this Annual Report on Form 10-K.</w:t>
      </w:r>
    </w:p>
    <w:p>
      <w:pPr>
        <w:spacing w:after="0" w:line="56"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table below sets forth the information with respect to purchases made by or on behalf of NRG or any "affiliated purchaser" (as defined in Rule 10b-18(a)(3) under the Exchange Act) of NRG's common stock during the quarter ended December 31,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Total Number of 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tcPr>
          <w:p>
            <w:pPr>
              <w:jc w:val="center"/>
              <w:ind w:right="91"/>
              <w:spacing w:after="0"/>
              <w:rPr>
                <w:sz w:val="20"/>
                <w:szCs w:val="20"/>
                <w:color w:val="auto"/>
              </w:rPr>
            </w:pPr>
            <w:r>
              <w:rPr>
                <w:rFonts w:ascii="Arial" w:cs="Arial" w:eastAsia="Arial" w:hAnsi="Arial"/>
                <w:sz w:val="16"/>
                <w:szCs w:val="16"/>
                <w:b w:val="1"/>
                <w:bCs w:val="1"/>
                <w:color w:val="auto"/>
                <w:w w:val="91"/>
              </w:rPr>
              <w:t>Approximate Dollar Value of</w:t>
            </w:r>
          </w:p>
        </w:tc>
        <w:tc>
          <w:tcPr>
            <w:tcW w:w="0" w:type="dxa"/>
            <w:vAlign w:val="bottom"/>
          </w:tcPr>
          <w:p>
            <w:pPr>
              <w:spacing w:after="0"/>
              <w:rPr>
                <w:sz w:val="1"/>
                <w:szCs w:val="1"/>
                <w:color w:val="auto"/>
              </w:rPr>
            </w:pPr>
          </w:p>
        </w:tc>
      </w:tr>
      <w:tr>
        <w:trPr>
          <w:trHeight w:val="158"/>
        </w:trPr>
        <w:tc>
          <w:tcPr>
            <w:tcW w:w="2380" w:type="dxa"/>
            <w:vAlign w:val="bottom"/>
            <w:vMerge w:val="restart"/>
          </w:tcPr>
          <w:p>
            <w:pPr>
              <w:ind w:left="260"/>
              <w:spacing w:after="0"/>
              <w:rPr>
                <w:sz w:val="20"/>
                <w:szCs w:val="20"/>
                <w:color w:val="auto"/>
              </w:rPr>
            </w:pPr>
            <w:r>
              <w:rPr>
                <w:rFonts w:ascii="Arial" w:cs="Arial" w:eastAsia="Arial" w:hAnsi="Arial"/>
                <w:sz w:val="16"/>
                <w:szCs w:val="16"/>
                <w:b w:val="1"/>
                <w:bCs w:val="1"/>
                <w:color w:val="auto"/>
                <w:w w:val="99"/>
              </w:rPr>
              <w:t>For the three months ended</w:t>
            </w:r>
          </w:p>
        </w:tc>
        <w:tc>
          <w:tcPr>
            <w:tcW w:w="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ind w:right="105"/>
              <w:spacing w:after="0"/>
              <w:rPr>
                <w:sz w:val="20"/>
                <w:szCs w:val="20"/>
                <w:color w:val="auto"/>
              </w:rPr>
            </w:pPr>
            <w:r>
              <w:rPr>
                <w:rFonts w:ascii="Arial" w:cs="Arial" w:eastAsia="Arial" w:hAnsi="Arial"/>
                <w:sz w:val="16"/>
                <w:szCs w:val="16"/>
                <w:b w:val="1"/>
                <w:bCs w:val="1"/>
                <w:color w:val="auto"/>
                <w:w w:val="89"/>
              </w:rPr>
              <w:t>Average Price</w:t>
            </w:r>
          </w:p>
        </w:tc>
        <w:tc>
          <w:tcPr>
            <w:tcW w:w="80" w:type="dxa"/>
            <w:vAlign w:val="bottom"/>
          </w:tcPr>
          <w:p>
            <w:pPr>
              <w:spacing w:after="0"/>
              <w:rPr>
                <w:sz w:val="13"/>
                <w:szCs w:val="13"/>
                <w:color w:val="auto"/>
              </w:rPr>
            </w:pPr>
          </w:p>
        </w:tc>
        <w:tc>
          <w:tcPr>
            <w:tcW w:w="2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58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89"/>
              </w:rPr>
              <w:t>Shares that May Yet Be Purchased</w:t>
            </w:r>
          </w:p>
        </w:tc>
        <w:tc>
          <w:tcPr>
            <w:tcW w:w="0" w:type="dxa"/>
            <w:vAlign w:val="bottom"/>
          </w:tcPr>
          <w:p>
            <w:pPr>
              <w:spacing w:after="0"/>
              <w:rPr>
                <w:sz w:val="1"/>
                <w:szCs w:val="1"/>
                <w:color w:val="auto"/>
              </w:rPr>
            </w:pPr>
          </w:p>
        </w:tc>
      </w:tr>
      <w:tr>
        <w:trPr>
          <w:trHeight w:val="158"/>
        </w:trPr>
        <w:tc>
          <w:tcPr>
            <w:tcW w:w="23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ind w:left="380"/>
              <w:spacing w:after="0" w:line="158" w:lineRule="exact"/>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7"/>
              </w:rPr>
              <w:t>Purchased as Part of Publicly</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tcPr>
          <w:p>
            <w:pPr>
              <w:jc w:val="center"/>
              <w:ind w:right="91"/>
              <w:spacing w:after="0" w:line="158" w:lineRule="exact"/>
              <w:rPr>
                <w:sz w:val="20"/>
                <w:szCs w:val="20"/>
                <w:color w:val="auto"/>
              </w:rPr>
            </w:pPr>
            <w:r>
              <w:rPr>
                <w:rFonts w:ascii="Arial" w:cs="Arial" w:eastAsia="Arial" w:hAnsi="Arial"/>
                <w:sz w:val="16"/>
                <w:szCs w:val="16"/>
                <w:b w:val="1"/>
                <w:bCs w:val="1"/>
                <w:color w:val="auto"/>
                <w:w w:val="89"/>
              </w:rPr>
              <w:t>Under the Plans or Programs (in</w:t>
            </w:r>
          </w:p>
        </w:tc>
        <w:tc>
          <w:tcPr>
            <w:tcW w:w="0" w:type="dxa"/>
            <w:vAlign w:val="bottom"/>
          </w:tcPr>
          <w:p>
            <w:pPr>
              <w:spacing w:after="0"/>
              <w:rPr>
                <w:sz w:val="1"/>
                <w:szCs w:val="1"/>
                <w:color w:val="auto"/>
              </w:rPr>
            </w:pPr>
          </w:p>
        </w:tc>
      </w:tr>
      <w:tr>
        <w:trPr>
          <w:trHeight w:val="212"/>
        </w:trPr>
        <w:tc>
          <w:tcPr>
            <w:tcW w:w="238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December 31, 2024</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Purchased</w:t>
            </w:r>
          </w:p>
        </w:tc>
        <w:tc>
          <w:tcPr>
            <w:tcW w:w="8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5"/>
              <w:spacing w:after="0" w:line="212" w:lineRule="exact"/>
              <w:rPr>
                <w:sz w:val="20"/>
                <w:szCs w:val="20"/>
                <w:color w:val="auto"/>
              </w:rPr>
            </w:pPr>
            <w:r>
              <w:rPr>
                <w:rFonts w:ascii="Arial" w:cs="Arial" w:eastAsia="Arial" w:hAnsi="Arial"/>
                <w:sz w:val="16"/>
                <w:szCs w:val="16"/>
                <w:b w:val="1"/>
                <w:bCs w:val="1"/>
                <w:color w:val="auto"/>
                <w:w w:val="95"/>
              </w:rPr>
              <w:t>Paid per Share</w:t>
            </w:r>
            <w:r>
              <w:rPr>
                <w:rFonts w:ascii="Arial" w:cs="Arial" w:eastAsia="Arial" w:hAnsi="Arial"/>
                <w:sz w:val="20"/>
                <w:szCs w:val="20"/>
                <w:b w:val="1"/>
                <w:bCs w:val="1"/>
                <w:color w:val="auto"/>
                <w:w w:val="95"/>
                <w:vertAlign w:val="superscript"/>
              </w:rPr>
              <w:t>(a)</w:t>
            </w:r>
          </w:p>
        </w:tc>
        <w:tc>
          <w:tcPr>
            <w:tcW w:w="80" w:type="dxa"/>
            <w:vAlign w:val="bottom"/>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Announced Plans or Programs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center"/>
              <w:ind w:right="91"/>
              <w:spacing w:after="0" w:line="212" w:lineRule="exact"/>
              <w:rPr>
                <w:sz w:val="20"/>
                <w:szCs w:val="20"/>
                <w:color w:val="auto"/>
              </w:rPr>
            </w:pPr>
            <w:r>
              <w:rPr>
                <w:rFonts w:ascii="Arial" w:cs="Arial" w:eastAsia="Arial" w:hAnsi="Arial"/>
                <w:sz w:val="16"/>
                <w:szCs w:val="16"/>
                <w:b w:val="1"/>
                <w:bCs w:val="1"/>
                <w:color w:val="auto"/>
                <w:w w:val="86"/>
              </w:rPr>
              <w:t>millions)</w:t>
            </w:r>
            <w:r>
              <w:rPr>
                <w:rFonts w:ascii="Arial" w:cs="Arial" w:eastAsia="Arial" w:hAnsi="Arial"/>
                <w:sz w:val="20"/>
                <w:szCs w:val="20"/>
                <w:b w:val="1"/>
                <w:bCs w:val="1"/>
                <w:color w:val="auto"/>
                <w:w w:val="86"/>
                <w:vertAlign w:val="superscript"/>
              </w:rPr>
              <w:t>(b)</w:t>
            </w:r>
          </w:p>
        </w:tc>
        <w:tc>
          <w:tcPr>
            <w:tcW w:w="0" w:type="dxa"/>
            <w:vAlign w:val="bottom"/>
          </w:tcPr>
          <w:p>
            <w:pPr>
              <w:spacing w:after="0"/>
              <w:rPr>
                <w:sz w:val="1"/>
                <w:szCs w:val="1"/>
                <w:color w:val="auto"/>
              </w:rPr>
            </w:pPr>
          </w:p>
        </w:tc>
      </w:tr>
      <w:tr>
        <w:trPr>
          <w:trHeight w:val="287"/>
        </w:trPr>
        <w:tc>
          <w:tcPr>
            <w:tcW w:w="2380" w:type="dxa"/>
            <w:vAlign w:val="bottom"/>
          </w:tcPr>
          <w:p>
            <w:pPr>
              <w:ind w:left="60"/>
              <w:spacing w:after="0"/>
              <w:rPr>
                <w:sz w:val="20"/>
                <w:szCs w:val="20"/>
                <w:color w:val="auto"/>
              </w:rPr>
            </w:pPr>
            <w:r>
              <w:rPr>
                <w:rFonts w:ascii="Arial" w:cs="Arial" w:eastAsia="Arial" w:hAnsi="Arial"/>
                <w:sz w:val="20"/>
                <w:szCs w:val="20"/>
                <w:color w:val="auto"/>
                <w:w w:val="91"/>
              </w:rPr>
              <w:t xml:space="preserve">Month #1 </w:t>
            </w:r>
            <w:r>
              <w:rPr>
                <w:rFonts w:ascii="Arial" w:cs="Arial" w:eastAsia="Arial" w:hAnsi="Arial"/>
                <w:sz w:val="20"/>
                <w:szCs w:val="20"/>
                <w:color w:val="B4B4B4"/>
                <w:w w:val="91"/>
              </w:rPr>
              <w:t>. . . . . . . . . . . . . . .</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Borders>
              <w:right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380" w:type="dxa"/>
            <w:vAlign w:val="bottom"/>
          </w:tcPr>
          <w:p>
            <w:pPr>
              <w:ind w:left="60"/>
              <w:spacing w:after="0" w:line="220" w:lineRule="exact"/>
              <w:rPr>
                <w:sz w:val="20"/>
                <w:szCs w:val="20"/>
                <w:color w:val="auto"/>
              </w:rPr>
            </w:pPr>
            <w:r>
              <w:rPr>
                <w:rFonts w:ascii="Arial" w:cs="Arial" w:eastAsia="Arial" w:hAnsi="Arial"/>
                <w:sz w:val="20"/>
                <w:szCs w:val="20"/>
                <w:color w:val="auto"/>
                <w:w w:val="92"/>
              </w:rPr>
              <w:t>(October 1, 2024 to October</w:t>
            </w:r>
          </w:p>
        </w:tc>
        <w:tc>
          <w:tcPr>
            <w:tcW w:w="1320" w:type="dxa"/>
            <w:vAlign w:val="bottom"/>
            <w:gridSpan w:val="2"/>
            <w:vMerge w:val="restart"/>
          </w:tcPr>
          <w:p>
            <w:pPr>
              <w:ind w:left="440"/>
              <w:spacing w:after="0"/>
              <w:rPr>
                <w:sz w:val="20"/>
                <w:szCs w:val="20"/>
                <w:color w:val="auto"/>
              </w:rPr>
            </w:pPr>
            <w:r>
              <w:rPr>
                <w:rFonts w:ascii="Arial" w:cs="Arial" w:eastAsia="Arial" w:hAnsi="Arial"/>
                <w:sz w:val="20"/>
                <w:szCs w:val="20"/>
                <w:color w:val="auto"/>
                <w:w w:val="96"/>
              </w:rPr>
              <w:t>2,524,323</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89.23</w:t>
            </w:r>
          </w:p>
        </w:tc>
        <w:tc>
          <w:tcPr>
            <w:tcW w:w="2380" w:type="dxa"/>
            <w:vAlign w:val="bottom"/>
            <w:gridSpan w:val="2"/>
            <w:vMerge w:val="restart"/>
          </w:tcPr>
          <w:p>
            <w:pPr>
              <w:jc w:val="right"/>
              <w:spacing w:after="0"/>
              <w:rPr>
                <w:sz w:val="20"/>
                <w:szCs w:val="20"/>
                <w:color w:val="auto"/>
              </w:rPr>
            </w:pPr>
            <w:r>
              <w:rPr>
                <w:rFonts w:ascii="Arial" w:cs="Arial" w:eastAsia="Arial" w:hAnsi="Arial"/>
                <w:sz w:val="20"/>
                <w:szCs w:val="20"/>
                <w:color w:val="auto"/>
              </w:rPr>
              <w:t>2,524,323</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2420" w:type="dxa"/>
            <w:vAlign w:val="bottom"/>
            <w:vMerge w:val="restart"/>
          </w:tcPr>
          <w:p>
            <w:pPr>
              <w:jc w:val="right"/>
              <w:ind w:right="11"/>
              <w:spacing w:after="0"/>
              <w:rPr>
                <w:sz w:val="20"/>
                <w:szCs w:val="20"/>
                <w:color w:val="auto"/>
              </w:rPr>
            </w:pPr>
            <w:r>
              <w:rPr>
                <w:rFonts w:ascii="Arial" w:cs="Arial" w:eastAsia="Arial" w:hAnsi="Arial"/>
                <w:sz w:val="20"/>
                <w:szCs w:val="20"/>
                <w:color w:val="auto"/>
              </w:rPr>
              <w:t>2,006</w:t>
            </w:r>
          </w:p>
        </w:tc>
        <w:tc>
          <w:tcPr>
            <w:tcW w:w="0" w:type="dxa"/>
            <w:vAlign w:val="bottom"/>
          </w:tcPr>
          <w:p>
            <w:pPr>
              <w:spacing w:after="0"/>
              <w:rPr>
                <w:sz w:val="1"/>
                <w:szCs w:val="1"/>
                <w:color w:val="auto"/>
              </w:rPr>
            </w:pPr>
          </w:p>
        </w:tc>
      </w:tr>
      <w:tr>
        <w:trPr>
          <w:trHeight w:val="258"/>
        </w:trPr>
        <w:tc>
          <w:tcPr>
            <w:tcW w:w="2380" w:type="dxa"/>
            <w:vAlign w:val="bottom"/>
          </w:tcPr>
          <w:p>
            <w:pPr>
              <w:ind w:left="60"/>
              <w:spacing w:after="0"/>
              <w:rPr>
                <w:sz w:val="20"/>
                <w:szCs w:val="20"/>
                <w:color w:val="auto"/>
              </w:rPr>
            </w:pPr>
            <w:r>
              <w:rPr>
                <w:rFonts w:ascii="Arial" w:cs="Arial" w:eastAsia="Arial" w:hAnsi="Arial"/>
                <w:sz w:val="20"/>
                <w:szCs w:val="20"/>
                <w:color w:val="auto"/>
                <w:w w:val="91"/>
              </w:rPr>
              <w:t xml:space="preserve">31, 2024) </w:t>
            </w:r>
            <w:r>
              <w:rPr>
                <w:rFonts w:ascii="Arial" w:cs="Arial" w:eastAsia="Arial" w:hAnsi="Arial"/>
                <w:sz w:val="20"/>
                <w:szCs w:val="20"/>
                <w:color w:val="B4B4B4"/>
                <w:w w:val="91"/>
              </w:rPr>
              <w:t>. . . . . . . . . . . . . . .</w:t>
            </w:r>
          </w:p>
        </w:tc>
        <w:tc>
          <w:tcPr>
            <w:tcW w:w="1320" w:type="dxa"/>
            <w:vAlign w:val="bottom"/>
            <w:gridSpan w:val="2"/>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2380" w:type="dxa"/>
            <w:vAlign w:val="bottom"/>
            <w:gridSpan w:val="2"/>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2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9"/>
        </w:trPr>
        <w:tc>
          <w:tcPr>
            <w:tcW w:w="2380" w:type="dxa"/>
            <w:vAlign w:val="bottom"/>
          </w:tcPr>
          <w:p>
            <w:pPr>
              <w:ind w:left="60"/>
              <w:spacing w:after="0"/>
              <w:rPr>
                <w:sz w:val="20"/>
                <w:szCs w:val="20"/>
                <w:color w:val="auto"/>
              </w:rPr>
            </w:pPr>
            <w:r>
              <w:rPr>
                <w:rFonts w:ascii="Arial" w:cs="Arial" w:eastAsia="Arial" w:hAnsi="Arial"/>
                <w:sz w:val="20"/>
                <w:szCs w:val="20"/>
                <w:color w:val="auto"/>
                <w:w w:val="91"/>
              </w:rPr>
              <w:t xml:space="preserve">Month #2 </w:t>
            </w:r>
            <w:r>
              <w:rPr>
                <w:rFonts w:ascii="Arial" w:cs="Arial" w:eastAsia="Arial" w:hAnsi="Arial"/>
                <w:sz w:val="20"/>
                <w:szCs w:val="20"/>
                <w:color w:val="B4B4B4"/>
                <w:w w:val="91"/>
              </w:rPr>
              <w:t>. . . . . . . . . . . . . . .</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Borders>
              <w:right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380" w:type="dxa"/>
            <w:vAlign w:val="bottom"/>
          </w:tcPr>
          <w:p>
            <w:pPr>
              <w:ind w:left="60"/>
              <w:spacing w:after="0" w:line="220" w:lineRule="exact"/>
              <w:rPr>
                <w:sz w:val="20"/>
                <w:szCs w:val="20"/>
                <w:color w:val="auto"/>
              </w:rPr>
            </w:pPr>
            <w:r>
              <w:rPr>
                <w:rFonts w:ascii="Arial" w:cs="Arial" w:eastAsia="Arial" w:hAnsi="Arial"/>
                <w:sz w:val="20"/>
                <w:szCs w:val="20"/>
                <w:color w:val="auto"/>
              </w:rPr>
              <w:t>(November 1, 2024 to</w:t>
            </w:r>
          </w:p>
        </w:tc>
        <w:tc>
          <w:tcPr>
            <w:tcW w:w="1320" w:type="dxa"/>
            <w:vAlign w:val="bottom"/>
            <w:gridSpan w:val="2"/>
            <w:vMerge w:val="restart"/>
          </w:tcPr>
          <w:p>
            <w:pPr>
              <w:ind w:left="440"/>
              <w:spacing w:after="0"/>
              <w:rPr>
                <w:sz w:val="20"/>
                <w:szCs w:val="20"/>
                <w:color w:val="auto"/>
              </w:rPr>
            </w:pPr>
            <w:r>
              <w:rPr>
                <w:rFonts w:ascii="Arial" w:cs="Arial" w:eastAsia="Arial" w:hAnsi="Arial"/>
                <w:sz w:val="20"/>
                <w:szCs w:val="20"/>
                <w:color w:val="auto"/>
                <w:w w:val="96"/>
              </w:rPr>
              <w:t>1,612,869</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94.94</w:t>
            </w:r>
          </w:p>
        </w:tc>
        <w:tc>
          <w:tcPr>
            <w:tcW w:w="2380" w:type="dxa"/>
            <w:vAlign w:val="bottom"/>
            <w:gridSpan w:val="2"/>
            <w:vMerge w:val="restart"/>
          </w:tcPr>
          <w:p>
            <w:pPr>
              <w:jc w:val="right"/>
              <w:spacing w:after="0"/>
              <w:rPr>
                <w:sz w:val="20"/>
                <w:szCs w:val="20"/>
                <w:color w:val="auto"/>
              </w:rPr>
            </w:pPr>
            <w:r>
              <w:rPr>
                <w:rFonts w:ascii="Arial" w:cs="Arial" w:eastAsia="Arial" w:hAnsi="Arial"/>
                <w:sz w:val="20"/>
                <w:szCs w:val="20"/>
                <w:color w:val="auto"/>
              </w:rPr>
              <w:t>1,612,869</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2420" w:type="dxa"/>
            <w:vAlign w:val="bottom"/>
            <w:vMerge w:val="restart"/>
          </w:tcPr>
          <w:p>
            <w:pPr>
              <w:jc w:val="right"/>
              <w:ind w:right="11"/>
              <w:spacing w:after="0"/>
              <w:rPr>
                <w:sz w:val="20"/>
                <w:szCs w:val="20"/>
                <w:color w:val="auto"/>
              </w:rPr>
            </w:pPr>
            <w:r>
              <w:rPr>
                <w:rFonts w:ascii="Arial" w:cs="Arial" w:eastAsia="Arial" w:hAnsi="Arial"/>
                <w:sz w:val="20"/>
                <w:szCs w:val="20"/>
                <w:color w:val="auto"/>
              </w:rPr>
              <w:t>1,853</w:t>
            </w:r>
          </w:p>
        </w:tc>
        <w:tc>
          <w:tcPr>
            <w:tcW w:w="0" w:type="dxa"/>
            <w:vAlign w:val="bottom"/>
          </w:tcPr>
          <w:p>
            <w:pPr>
              <w:spacing w:after="0"/>
              <w:rPr>
                <w:sz w:val="1"/>
                <w:szCs w:val="1"/>
                <w:color w:val="auto"/>
              </w:rPr>
            </w:pPr>
          </w:p>
        </w:tc>
      </w:tr>
      <w:tr>
        <w:trPr>
          <w:trHeight w:val="258"/>
        </w:trPr>
        <w:tc>
          <w:tcPr>
            <w:tcW w:w="2380" w:type="dxa"/>
            <w:vAlign w:val="bottom"/>
          </w:tcPr>
          <w:p>
            <w:pPr>
              <w:ind w:left="60"/>
              <w:spacing w:after="0"/>
              <w:rPr>
                <w:sz w:val="20"/>
                <w:szCs w:val="20"/>
                <w:color w:val="auto"/>
              </w:rPr>
            </w:pPr>
            <w:r>
              <w:rPr>
                <w:rFonts w:ascii="Arial" w:cs="Arial" w:eastAsia="Arial" w:hAnsi="Arial"/>
                <w:sz w:val="20"/>
                <w:szCs w:val="20"/>
                <w:color w:val="auto"/>
                <w:w w:val="92"/>
              </w:rPr>
              <w:t xml:space="preserve">November 30, 2024) </w:t>
            </w:r>
            <w:r>
              <w:rPr>
                <w:rFonts w:ascii="Arial" w:cs="Arial" w:eastAsia="Arial" w:hAnsi="Arial"/>
                <w:sz w:val="20"/>
                <w:szCs w:val="20"/>
                <w:color w:val="B4B4B4"/>
                <w:w w:val="92"/>
              </w:rPr>
              <w:t>. . . . . .</w:t>
            </w:r>
          </w:p>
        </w:tc>
        <w:tc>
          <w:tcPr>
            <w:tcW w:w="1320" w:type="dxa"/>
            <w:vAlign w:val="bottom"/>
            <w:gridSpan w:val="2"/>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2380" w:type="dxa"/>
            <w:vAlign w:val="bottom"/>
            <w:gridSpan w:val="2"/>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2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9"/>
        </w:trPr>
        <w:tc>
          <w:tcPr>
            <w:tcW w:w="2380" w:type="dxa"/>
            <w:vAlign w:val="bottom"/>
          </w:tcPr>
          <w:p>
            <w:pPr>
              <w:ind w:left="60"/>
              <w:spacing w:after="0"/>
              <w:rPr>
                <w:sz w:val="20"/>
                <w:szCs w:val="20"/>
                <w:color w:val="auto"/>
              </w:rPr>
            </w:pPr>
            <w:r>
              <w:rPr>
                <w:rFonts w:ascii="Arial" w:cs="Arial" w:eastAsia="Arial" w:hAnsi="Arial"/>
                <w:sz w:val="20"/>
                <w:szCs w:val="20"/>
                <w:color w:val="auto"/>
                <w:w w:val="91"/>
              </w:rPr>
              <w:t xml:space="preserve">Month #3 </w:t>
            </w:r>
            <w:r>
              <w:rPr>
                <w:rFonts w:ascii="Arial" w:cs="Arial" w:eastAsia="Arial" w:hAnsi="Arial"/>
                <w:sz w:val="20"/>
                <w:szCs w:val="20"/>
                <w:color w:val="B4B4B4"/>
                <w:w w:val="91"/>
              </w:rPr>
              <w:t>. . . . . . . . . . . . . . .</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Borders>
              <w:right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60"/>
              <w:spacing w:after="0" w:line="190" w:lineRule="exact"/>
              <w:rPr>
                <w:sz w:val="20"/>
                <w:szCs w:val="20"/>
                <w:color w:val="auto"/>
              </w:rPr>
            </w:pPr>
            <w:r>
              <w:rPr>
                <w:rFonts w:ascii="Arial" w:cs="Arial" w:eastAsia="Arial" w:hAnsi="Arial"/>
                <w:sz w:val="20"/>
                <w:szCs w:val="20"/>
                <w:color w:val="auto"/>
              </w:rPr>
              <w:t>(December 1, 2024 to</w:t>
            </w:r>
          </w:p>
        </w:tc>
        <w:tc>
          <w:tcPr>
            <w:tcW w:w="80" w:type="dxa"/>
            <w:vAlign w:val="bottom"/>
            <w:vMerge w:val="restart"/>
          </w:tcPr>
          <w:p>
            <w:pPr>
              <w:spacing w:after="0"/>
              <w:rPr>
                <w:sz w:val="16"/>
                <w:szCs w:val="16"/>
                <w:color w:val="auto"/>
              </w:rPr>
            </w:pPr>
          </w:p>
        </w:tc>
        <w:tc>
          <w:tcPr>
            <w:tcW w:w="1240" w:type="dxa"/>
            <w:vAlign w:val="bottom"/>
            <w:vMerge w:val="restart"/>
          </w:tcPr>
          <w:p>
            <w:pPr>
              <w:ind w:left="360"/>
              <w:spacing w:after="0"/>
              <w:rPr>
                <w:sz w:val="20"/>
                <w:szCs w:val="20"/>
                <w:color w:val="auto"/>
              </w:rPr>
            </w:pPr>
            <w:r>
              <w:rPr>
                <w:rFonts w:ascii="Arial" w:cs="Arial" w:eastAsia="Arial" w:hAnsi="Arial"/>
                <w:sz w:val="20"/>
                <w:szCs w:val="20"/>
                <w:color w:val="auto"/>
                <w:w w:val="96"/>
              </w:rPr>
              <w:t>2,406,947</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94.78</w:t>
            </w:r>
          </w:p>
        </w:tc>
        <w:tc>
          <w:tcPr>
            <w:tcW w:w="80" w:type="dxa"/>
            <w:vAlign w:val="bottom"/>
            <w:vMerge w:val="restart"/>
          </w:tcPr>
          <w:p>
            <w:pPr>
              <w:spacing w:after="0"/>
              <w:rPr>
                <w:sz w:val="16"/>
                <w:szCs w:val="16"/>
                <w:color w:val="auto"/>
              </w:rPr>
            </w:pPr>
          </w:p>
        </w:tc>
        <w:tc>
          <w:tcPr>
            <w:tcW w:w="2300" w:type="dxa"/>
            <w:vAlign w:val="bottom"/>
            <w:vMerge w:val="restart"/>
          </w:tcPr>
          <w:p>
            <w:pPr>
              <w:jc w:val="right"/>
              <w:spacing w:after="0"/>
              <w:rPr>
                <w:sz w:val="20"/>
                <w:szCs w:val="20"/>
                <w:color w:val="auto"/>
              </w:rPr>
            </w:pPr>
            <w:r>
              <w:rPr>
                <w:rFonts w:ascii="Arial" w:cs="Arial" w:eastAsia="Arial" w:hAnsi="Arial"/>
                <w:sz w:val="20"/>
                <w:szCs w:val="20"/>
                <w:color w:val="auto"/>
              </w:rPr>
              <w:t>2,406,947</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2420" w:type="dxa"/>
            <w:vAlign w:val="bottom"/>
            <w:vMerge w:val="restart"/>
          </w:tcPr>
          <w:p>
            <w:pPr>
              <w:jc w:val="right"/>
              <w:ind w:right="11"/>
              <w:spacing w:after="0"/>
              <w:rPr>
                <w:sz w:val="20"/>
                <w:szCs w:val="20"/>
                <w:color w:val="auto"/>
              </w:rPr>
            </w:pPr>
            <w:r>
              <w:rPr>
                <w:rFonts w:ascii="Arial" w:cs="Arial" w:eastAsia="Arial" w:hAnsi="Arial"/>
                <w:sz w:val="20"/>
                <w:szCs w:val="20"/>
                <w:color w:val="auto"/>
              </w:rPr>
              <w:t>1,625</w:t>
            </w:r>
          </w:p>
        </w:tc>
        <w:tc>
          <w:tcPr>
            <w:tcW w:w="0" w:type="dxa"/>
            <w:vAlign w:val="bottom"/>
          </w:tcPr>
          <w:p>
            <w:pPr>
              <w:spacing w:after="0"/>
              <w:rPr>
                <w:sz w:val="1"/>
                <w:szCs w:val="1"/>
                <w:color w:val="auto"/>
              </w:rPr>
            </w:pPr>
          </w:p>
        </w:tc>
      </w:tr>
      <w:tr>
        <w:trPr>
          <w:trHeight w:val="260"/>
        </w:trPr>
        <w:tc>
          <w:tcPr>
            <w:tcW w:w="238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w w:val="92"/>
              </w:rPr>
              <w:t xml:space="preserve">December 31, 2024) </w:t>
            </w:r>
            <w:r>
              <w:rPr>
                <w:rFonts w:ascii="Arial" w:cs="Arial" w:eastAsia="Arial" w:hAnsi="Arial"/>
                <w:sz w:val="20"/>
                <w:szCs w:val="20"/>
                <w:color w:val="B4B4B4"/>
                <w:w w:val="92"/>
              </w:rPr>
              <w:t>. . . . . .</w:t>
            </w:r>
          </w:p>
        </w:tc>
        <w:tc>
          <w:tcPr>
            <w:tcW w:w="80" w:type="dxa"/>
            <w:vAlign w:val="bottom"/>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2300" w:type="dxa"/>
            <w:vAlign w:val="bottom"/>
            <w:tcBorders>
              <w:bottom w:val="single" w:sz="8" w:color="auto"/>
            </w:tcBorders>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2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38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w w:val="92"/>
              </w:rPr>
              <w:t>Total at December 31, 2024</w:t>
            </w:r>
          </w:p>
        </w:tc>
        <w:tc>
          <w:tcPr>
            <w:tcW w:w="80" w:type="dxa"/>
            <w:vAlign w:val="bottom"/>
          </w:tcPr>
          <w:p>
            <w:pPr>
              <w:spacing w:after="0"/>
              <w:rPr>
                <w:sz w:val="24"/>
                <w:szCs w:val="24"/>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20"/>
                <w:szCs w:val="20"/>
                <w:color w:val="auto"/>
                <w:w w:val="96"/>
              </w:rPr>
              <w:t>6,544,139</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92.68</w:t>
            </w:r>
          </w:p>
        </w:tc>
        <w:tc>
          <w:tcPr>
            <w:tcW w:w="80" w:type="dxa"/>
            <w:vAlign w:val="bottom"/>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6,544,139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Borders>
              <w:right w:val="single" w:sz="8" w:color="E6E6E6"/>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-1699895</wp:posOffset>
            </wp:positionV>
            <wp:extent cx="6466205" cy="1706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6466205" cy="1706880"/>
                    </a:xfrm>
                    <a:prstGeom prst="rect">
                      <a:avLst/>
                    </a:prstGeom>
                    <a:noFill/>
                  </pic:spPr>
                </pic:pic>
              </a:graphicData>
            </a:graphic>
          </wp:anchor>
        </w:drawing>
      </w:r>
    </w:p>
    <w:p>
      <w:pPr>
        <w:spacing w:after="0" w:line="59" w:lineRule="exact"/>
        <w:rPr>
          <w:sz w:val="20"/>
          <w:szCs w:val="20"/>
          <w:color w:val="auto"/>
        </w:rPr>
      </w:pPr>
    </w:p>
    <w:p>
      <w:pPr>
        <w:ind w:left="440" w:hanging="439"/>
        <w:spacing w:after="0"/>
        <w:tabs>
          <w:tab w:leader="none" w:pos="4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average price paid per share excludes excise taxes owed and commissions per share paid in connection with the open market share repurchases</w:t>
      </w:r>
    </w:p>
    <w:p>
      <w:pPr>
        <w:spacing w:after="0" w:line="46" w:lineRule="exact"/>
        <w:rPr>
          <w:rFonts w:ascii="Arial" w:cs="Arial" w:eastAsia="Arial" w:hAnsi="Arial"/>
          <w:sz w:val="14"/>
          <w:szCs w:val="14"/>
          <w:color w:val="auto"/>
        </w:rPr>
      </w:pPr>
    </w:p>
    <w:p>
      <w:pPr>
        <w:ind w:left="440" w:hanging="439"/>
        <w:spacing w:after="0"/>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commissions paid in connection with the open market share repurchases</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880" w:h="15480" w:orient="portrait"/>
          <w:cols w:equalWidth="0" w:num="1">
            <w:col w:w="10160"/>
          </w:cols>
          <w:pgMar w:left="860" w:top="505" w:right="860" w:bottom="0" w:gutter="0" w:footer="0" w:header="0"/>
          <w:type w:val="continuous"/>
        </w:sectPr>
      </w:pPr>
    </w:p>
    <w:bookmarkStart w:id="46" w:name="page47"/>
    <w:bookmarkEnd w:id="46"/>
    <w:p>
      <w:pPr>
        <w:ind w:left="440"/>
        <w:spacing w:after="0"/>
        <w:rPr>
          <w:sz w:val="20"/>
          <w:szCs w:val="20"/>
          <w:color w:val="auto"/>
        </w:rPr>
      </w:pPr>
      <w:r>
        <w:rPr>
          <w:rFonts w:ascii="Arial" w:cs="Arial" w:eastAsia="Arial" w:hAnsi="Arial"/>
          <w:sz w:val="20"/>
          <w:szCs w:val="20"/>
          <w:b w:val="1"/>
          <w:bCs w:val="1"/>
          <w:color w:val="auto"/>
        </w:rPr>
        <w:t>Stock Performance Graph</w:t>
      </w:r>
    </w:p>
    <w:p>
      <w:pPr>
        <w:spacing w:after="0" w:line="13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performance graph below compares the cumulative total stockholder return on NRG's common stock for the period December 31, 2019 through December 31, 2024, with the cumulative total return of the Standard &amp; Poor's 500 Composite Stock Price Index ("S&amp;P 500") and the Philadelphia Utility Sector Index ("UTY").</w:t>
      </w:r>
    </w:p>
    <w:p>
      <w:pPr>
        <w:spacing w:after="0" w:line="78"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performance graph shown below is being furnished and compares each period assuming that $100 was invested on December 31, 2019, in each of the common stock of NRG, the stocks included in the S&amp;P 500 and the stocks included in the UTY, and that all dividends were reinvested.</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199390</wp:posOffset>
            </wp:positionV>
            <wp:extent cx="6167120" cy="3630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6167120" cy="363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15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12/31/2019</w:t>
            </w: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8"/>
                <w:szCs w:val="18"/>
                <w:b w:val="1"/>
                <w:bCs w:val="1"/>
                <w:color w:val="auto"/>
                <w:w w:val="97"/>
              </w:rPr>
              <w:t>12/31/2020</w:t>
            </w:r>
          </w:p>
        </w:tc>
        <w:tc>
          <w:tcPr>
            <w:tcW w:w="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12/31/2021</w:t>
            </w: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8"/>
                <w:szCs w:val="18"/>
                <w:b w:val="1"/>
                <w:bCs w:val="1"/>
                <w:color w:val="auto"/>
                <w:w w:val="97"/>
              </w:rPr>
              <w:t>12/31/2022</w:t>
            </w:r>
          </w:p>
        </w:tc>
        <w:tc>
          <w:tcPr>
            <w:tcW w:w="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12/31/2023</w:t>
            </w:r>
          </w:p>
        </w:tc>
        <w:tc>
          <w:tcPr>
            <w:tcW w:w="80" w:type="dxa"/>
            <w:vAlign w:val="bottom"/>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7"/>
              </w:rPr>
              <w:t>12/31/2024</w:t>
            </w:r>
          </w:p>
        </w:tc>
      </w:tr>
      <w:tr>
        <w:trPr>
          <w:trHeight w:val="260"/>
        </w:trPr>
        <w:tc>
          <w:tcPr>
            <w:tcW w:w="1540" w:type="dxa"/>
            <w:vAlign w:val="bottom"/>
          </w:tcPr>
          <w:p>
            <w:pPr>
              <w:spacing w:after="0"/>
              <w:rPr>
                <w:sz w:val="20"/>
                <w:szCs w:val="20"/>
                <w:color w:val="auto"/>
              </w:rPr>
            </w:pPr>
            <w:r>
              <w:rPr>
                <w:rFonts w:ascii="Arial" w:cs="Arial" w:eastAsia="Arial" w:hAnsi="Arial"/>
                <w:sz w:val="20"/>
                <w:szCs w:val="20"/>
                <w:color w:val="auto"/>
                <w:w w:val="96"/>
              </w:rPr>
              <w:t>NRG Energy, Inc.</w:t>
            </w:r>
          </w:p>
        </w:tc>
        <w:tc>
          <w:tcPr>
            <w:tcW w:w="3200" w:type="dxa"/>
            <w:vAlign w:val="bottom"/>
            <w:gridSpan w:val="2"/>
          </w:tcPr>
          <w:p>
            <w:pPr>
              <w:jc w:val="right"/>
              <w:spacing w:after="0"/>
              <w:rPr>
                <w:sz w:val="20"/>
                <w:szCs w:val="20"/>
                <w:color w:val="auto"/>
              </w:rPr>
            </w:pPr>
            <w:r>
              <w:rPr>
                <w:rFonts w:ascii="Arial" w:cs="Arial" w:eastAsia="Arial" w:hAnsi="Arial"/>
                <w:sz w:val="20"/>
                <w:szCs w:val="20"/>
                <w:color w:val="B4B4B4"/>
                <w:w w:val="94"/>
              </w:rPr>
              <w:t xml:space="preserve">. . . . . . . . . . . . . . . . . . . . . . </w:t>
            </w:r>
            <w:r>
              <w:rPr>
                <w:rFonts w:ascii="Arial" w:cs="Arial" w:eastAsia="Arial" w:hAnsi="Arial"/>
                <w:sz w:val="20"/>
                <w:szCs w:val="20"/>
                <w:color w:val="000000"/>
                <w:w w:val="94"/>
              </w:rPr>
              <w:t>$  100.00</w:t>
            </w:r>
          </w:p>
        </w:tc>
        <w:tc>
          <w:tcPr>
            <w:tcW w:w="340" w:type="dxa"/>
            <w:vAlign w:val="bottom"/>
            <w:gridSpan w:val="2"/>
          </w:tcPr>
          <w:p>
            <w:pPr>
              <w:jc w:val="right"/>
              <w:ind w:right="11"/>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99.16</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  117.55</w:t>
            </w:r>
          </w:p>
        </w:tc>
        <w:tc>
          <w:tcPr>
            <w:tcW w:w="340" w:type="dxa"/>
            <w:vAlign w:val="bottom"/>
            <w:gridSpan w:val="2"/>
          </w:tcPr>
          <w:p>
            <w:pPr>
              <w:jc w:val="right"/>
              <w:ind w:right="31"/>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89.97</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  152.25</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  271.99</w:t>
            </w:r>
          </w:p>
        </w:tc>
      </w:tr>
      <w:tr>
        <w:trPr>
          <w:trHeight w:val="282"/>
        </w:trPr>
        <w:tc>
          <w:tcPr>
            <w:tcW w:w="1540" w:type="dxa"/>
            <w:vAlign w:val="bottom"/>
          </w:tcPr>
          <w:p>
            <w:pPr>
              <w:spacing w:after="0"/>
              <w:rPr>
                <w:sz w:val="20"/>
                <w:szCs w:val="20"/>
                <w:color w:val="auto"/>
              </w:rPr>
            </w:pPr>
            <w:r>
              <w:rPr>
                <w:rFonts w:ascii="Arial" w:cs="Arial" w:eastAsia="Arial" w:hAnsi="Arial"/>
                <w:sz w:val="20"/>
                <w:szCs w:val="20"/>
                <w:color w:val="auto"/>
                <w:w w:val="90"/>
              </w:rPr>
              <w:t xml:space="preserve">S&amp;P 500 </w:t>
            </w:r>
            <w:r>
              <w:rPr>
                <w:rFonts w:ascii="Arial" w:cs="Arial" w:eastAsia="Arial" w:hAnsi="Arial"/>
                <w:sz w:val="20"/>
                <w:szCs w:val="20"/>
                <w:color w:val="B4B4B4"/>
                <w:w w:val="90"/>
              </w:rPr>
              <w:t>. . . . . . . .</w:t>
            </w:r>
          </w:p>
        </w:tc>
        <w:tc>
          <w:tcPr>
            <w:tcW w:w="3200" w:type="dxa"/>
            <w:vAlign w:val="bottom"/>
            <w:gridSpan w:val="2"/>
          </w:tcPr>
          <w:p>
            <w:pPr>
              <w:jc w:val="right"/>
              <w:spacing w:after="0"/>
              <w:rPr>
                <w:sz w:val="20"/>
                <w:szCs w:val="20"/>
                <w:color w:val="auto"/>
              </w:rPr>
            </w:pPr>
            <w:r>
              <w:rPr>
                <w:rFonts w:ascii="Arial" w:cs="Arial" w:eastAsia="Arial" w:hAnsi="Arial"/>
                <w:sz w:val="20"/>
                <w:szCs w:val="20"/>
                <w:color w:val="B4B4B4"/>
                <w:w w:val="88"/>
              </w:rPr>
              <w:t>. . . . . . . . . . . . . . . . . . . . . .</w:t>
            </w:r>
            <w:r>
              <w:rPr>
                <w:rFonts w:ascii="Arial" w:cs="Arial" w:eastAsia="Arial" w:hAnsi="Arial"/>
                <w:sz w:val="20"/>
                <w:szCs w:val="20"/>
                <w:color w:val="auto"/>
                <w:w w:val="88"/>
              </w:rPr>
              <w:t>100.00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118.76</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152.84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125.16</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158.07</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197.61</w:t>
            </w:r>
          </w:p>
        </w:tc>
      </w:tr>
      <w:tr>
        <w:trPr>
          <w:trHeight w:val="282"/>
        </w:trPr>
        <w:tc>
          <w:tcPr>
            <w:tcW w:w="1540" w:type="dxa"/>
            <w:vAlign w:val="bottom"/>
          </w:tcPr>
          <w:p>
            <w:pPr>
              <w:spacing w:after="0"/>
              <w:rPr>
                <w:sz w:val="20"/>
                <w:szCs w:val="20"/>
                <w:color w:val="auto"/>
              </w:rPr>
            </w:pPr>
            <w:r>
              <w:rPr>
                <w:rFonts w:ascii="Arial" w:cs="Arial" w:eastAsia="Arial" w:hAnsi="Arial"/>
                <w:sz w:val="20"/>
                <w:szCs w:val="20"/>
                <w:color w:val="auto"/>
                <w:w w:val="93"/>
              </w:rPr>
              <w:t xml:space="preserve">UTY </w:t>
            </w:r>
            <w:r>
              <w:rPr>
                <w:rFonts w:ascii="Arial" w:cs="Arial" w:eastAsia="Arial" w:hAnsi="Arial"/>
                <w:sz w:val="20"/>
                <w:szCs w:val="20"/>
                <w:color w:val="B4B4B4"/>
                <w:w w:val="93"/>
              </w:rPr>
              <w:t>. . . . . . . . . . .</w:t>
            </w:r>
          </w:p>
        </w:tc>
        <w:tc>
          <w:tcPr>
            <w:tcW w:w="3200" w:type="dxa"/>
            <w:vAlign w:val="bottom"/>
            <w:gridSpan w:val="2"/>
          </w:tcPr>
          <w:p>
            <w:pPr>
              <w:jc w:val="right"/>
              <w:spacing w:after="0"/>
              <w:rPr>
                <w:sz w:val="20"/>
                <w:szCs w:val="20"/>
                <w:color w:val="auto"/>
              </w:rPr>
            </w:pPr>
            <w:r>
              <w:rPr>
                <w:rFonts w:ascii="Arial" w:cs="Arial" w:eastAsia="Arial" w:hAnsi="Arial"/>
                <w:sz w:val="20"/>
                <w:szCs w:val="20"/>
                <w:color w:val="B4B4B4"/>
                <w:w w:val="88"/>
              </w:rPr>
              <w:t>. . . . . . . . . . . . . . . . . . . . . .</w:t>
            </w:r>
            <w:r>
              <w:rPr>
                <w:rFonts w:ascii="Arial" w:cs="Arial" w:eastAsia="Arial" w:hAnsi="Arial"/>
                <w:sz w:val="20"/>
                <w:szCs w:val="20"/>
                <w:color w:val="auto"/>
                <w:w w:val="88"/>
              </w:rPr>
              <w:t>100.00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103.22</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122.05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122.84</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111.58</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134.88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-541655</wp:posOffset>
            </wp:positionV>
            <wp:extent cx="6466205" cy="562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extLst>
                    </a:blip>
                    <a:srcRect/>
                    <a:stretch>
                      <a:fillRect/>
                    </a:stretch>
                  </pic:blipFill>
                  <pic:spPr bwMode="auto">
                    <a:xfrm>
                      <a:off x="0" y="0"/>
                      <a:ext cx="6466205" cy="56261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 Reserved</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880" w:h="15480" w:orient="portrait"/>
          <w:cols w:equalWidth="0" w:num="1">
            <w:col w:w="10160"/>
          </w:cols>
          <w:pgMar w:left="860" w:top="505" w:right="860" w:bottom="0" w:gutter="0" w:footer="0" w:header="0"/>
          <w:type w:val="continuous"/>
        </w:sectPr>
      </w:pPr>
    </w:p>
    <w:bookmarkStart w:id="47" w:name="page48"/>
    <w:bookmarkEnd w:id="47"/>
    <w:p>
      <w:pPr>
        <w:spacing w:after="0"/>
        <w:rPr>
          <w:sz w:val="20"/>
          <w:szCs w:val="20"/>
          <w:color w:val="auto"/>
        </w:rPr>
      </w:pPr>
      <w:r>
        <w:rPr>
          <w:rFonts w:ascii="Arial" w:cs="Arial" w:eastAsia="Arial" w:hAnsi="Arial"/>
          <w:sz w:val="20"/>
          <w:szCs w:val="20"/>
          <w:b w:val="1"/>
          <w:bCs w:val="1"/>
          <w:color w:val="auto"/>
        </w:rPr>
        <w:t>Item 7 — Management's Discussion and Analysis of Financial Condition and Results of Operations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discussion and analysis below has been organized as follows:</w:t>
      </w:r>
    </w:p>
    <w:p>
      <w:pPr>
        <w:spacing w:after="0" w:line="126" w:lineRule="exact"/>
        <w:rPr>
          <w:sz w:val="20"/>
          <w:szCs w:val="20"/>
          <w:color w:val="auto"/>
        </w:rPr>
      </w:pPr>
    </w:p>
    <w:p>
      <w:pPr>
        <w:jc w:val="both"/>
        <w:ind w:left="720" w:hanging="362"/>
        <w:spacing w:after="0" w:line="262" w:lineRule="auto"/>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Executive Summary, including the business environment in which the Company operates, a discussion of regulation, weather, competition and other factors that affect the business, and other significant events that are important to understanding the results of operations and financial condition;</w:t>
      </w:r>
    </w:p>
    <w:p>
      <w:pPr>
        <w:spacing w:after="0" w:line="19" w:lineRule="exact"/>
        <w:rPr>
          <w:rFonts w:ascii="Arial" w:cs="Arial" w:eastAsia="Arial" w:hAnsi="Arial"/>
          <w:sz w:val="20"/>
          <w:szCs w:val="20"/>
          <w:color w:val="auto"/>
        </w:rPr>
      </w:pPr>
    </w:p>
    <w:p>
      <w:pPr>
        <w:ind w:left="720" w:hanging="362"/>
        <w:spacing w:after="0" w:line="309"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of operations for the years ended December 31, 2024 and December 31, 2023, including an explanation of significant differences between the periods in the specific line items of NRG's Consolidated Statements of Operations;</w:t>
      </w:r>
    </w:p>
    <w:p>
      <w:pPr>
        <w:spacing w:after="0" w:line="1" w:lineRule="exact"/>
        <w:rPr>
          <w:rFonts w:ascii="Arial" w:cs="Arial" w:eastAsia="Arial" w:hAnsi="Arial"/>
          <w:sz w:val="18"/>
          <w:szCs w:val="18"/>
          <w:color w:val="auto"/>
        </w:rPr>
      </w:pPr>
    </w:p>
    <w:p>
      <w:pPr>
        <w:ind w:left="720" w:hanging="362"/>
        <w:spacing w:after="0" w:line="277" w:lineRule="auto"/>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Liquidity and capital resources including liquidity position, financial condition addressing credit ratings, material cash requirements and commitments, and other obligations; and</w:t>
      </w:r>
    </w:p>
    <w:p>
      <w:pPr>
        <w:spacing w:after="0" w:line="3" w:lineRule="exact"/>
        <w:rPr>
          <w:rFonts w:ascii="Arial" w:cs="Arial" w:eastAsia="Arial" w:hAnsi="Arial"/>
          <w:sz w:val="20"/>
          <w:szCs w:val="20"/>
          <w:color w:val="auto"/>
        </w:rPr>
      </w:pPr>
    </w:p>
    <w:p>
      <w:pPr>
        <w:ind w:left="720" w:hanging="362"/>
        <w:spacing w:after="0" w:line="304" w:lineRule="auto"/>
        <w:tabs>
          <w:tab w:leader="none" w:pos="7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Critical accounting estimates that are most important to both the portrayal of the Company's financial condition and results of operations, and require management's most difficult, subjective, or complex judgments.</w:t>
      </w:r>
    </w:p>
    <w:p>
      <w:pPr>
        <w:spacing w:after="0" w:line="41" w:lineRule="exact"/>
        <w:rPr>
          <w:sz w:val="20"/>
          <w:szCs w:val="20"/>
          <w:color w:val="auto"/>
        </w:rPr>
      </w:pPr>
    </w:p>
    <w:p>
      <w:pPr>
        <w:jc w:val="both"/>
        <w:ind w:firstLine="445"/>
        <w:spacing w:after="0" w:line="305" w:lineRule="auto"/>
        <w:rPr>
          <w:sz w:val="20"/>
          <w:szCs w:val="20"/>
          <w:color w:val="auto"/>
        </w:rPr>
      </w:pPr>
      <w:r>
        <w:rPr>
          <w:rFonts w:ascii="Arial" w:cs="Arial" w:eastAsia="Arial" w:hAnsi="Arial"/>
          <w:sz w:val="18"/>
          <w:szCs w:val="18"/>
          <w:color w:val="auto"/>
        </w:rPr>
        <w:t>As you read this discussion and analysis, refer to NRG's Consolidated Statements of Operations in this Annual Report on Form 10-K, which present the results of the Company's operations for the years ended December 31, 2024 and 2023, and also refer to Item 1 — Business to this Annual Report on Form 10-K for more detail discussion about the Company's business.</w:t>
      </w:r>
    </w:p>
    <w:p>
      <w:pPr>
        <w:spacing w:after="0" w:line="42"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20"/>
          <w:szCs w:val="20"/>
          <w:color w:val="auto"/>
        </w:rPr>
        <w:t xml:space="preserve">Beginning in the third quarter of 2024, the Company is recording the amortization of capitalized contracts costs within depreciation and amortization. This change, along with additional financial statement disclosures, is meant to address investor inquiries by enhancing transparency to easier match expenses with revenues. The Company previously recorded amortization of capitalized contract costs related to fulfillment in cost of operations and amortization of capitalized contract costs related to customer acquisition primarily in selling, general and administrative costs in the consolidated statements of operations. Amounts for prior years were adjusted for comparative purposes. See Item 15 — Note 2 , </w:t>
      </w:r>
      <w:r>
        <w:rPr>
          <w:rFonts w:ascii="Arial" w:cs="Arial" w:eastAsia="Arial" w:hAnsi="Arial"/>
          <w:sz w:val="20"/>
          <w:szCs w:val="20"/>
          <w:b w:val="1"/>
          <w:bCs w:val="1"/>
          <w:i w:val="1"/>
          <w:iCs w:val="1"/>
          <w:color w:val="auto"/>
        </w:rPr>
        <w:t>Summary of Significant Accounting</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Policies </w:t>
      </w:r>
      <w:r>
        <w:rPr>
          <w:rFonts w:ascii="Arial" w:cs="Arial" w:eastAsia="Arial" w:hAnsi="Arial"/>
          <w:sz w:val="20"/>
          <w:szCs w:val="20"/>
          <w:color w:val="auto"/>
        </w:rPr>
        <w:t>for further detail. The adjustments had no impact on the Company’s total operating costs and expenses, and total cash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flows.</w:t>
      </w:r>
    </w:p>
    <w:p>
      <w:pPr>
        <w:spacing w:after="0" w:line="88"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 xml:space="preserve">The Company has elected to omit discussion of the earliest of the three years covered by the consolidated financial statements presented. A discussion and analysis of fiscal year 2022 may be found in Part II, Item 7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Management's Discussion and Analysis of Financial Condition and Results of Operations of the Annual Report on Form 10-K for the fiscal year ended December 31, 2023, filed with the SEC on February 28, 2024, and is not materially impacted by the adjustments noted above.</w:t>
      </w:r>
    </w:p>
    <w:p>
      <w:pPr>
        <w:spacing w:after="0" w:line="20" w:lineRule="exact"/>
        <w:rPr>
          <w:sz w:val="20"/>
          <w:szCs w:val="20"/>
          <w:color w:val="auto"/>
        </w:rPr>
      </w:pPr>
    </w:p>
    <w:p>
      <w:pPr>
        <w:jc w:val="both"/>
        <w:ind w:firstLine="445"/>
        <w:spacing w:after="0" w:line="305" w:lineRule="auto"/>
        <w:rPr>
          <w:sz w:val="20"/>
          <w:szCs w:val="20"/>
          <w:color w:val="auto"/>
        </w:rPr>
      </w:pPr>
      <w:r>
        <w:rPr>
          <w:rFonts w:ascii="Arial" w:cs="Arial" w:eastAsia="Arial" w:hAnsi="Arial"/>
          <w:sz w:val="18"/>
          <w:szCs w:val="18"/>
          <w:color w:val="auto"/>
        </w:rPr>
        <w:t xml:space="preserve">The following discussion and analysis also contains forward-looking statements, including, without limitation, statements relating to NRG’s plans, strategies, objectives, expectations, intentions, and resources. Such forward-looking statements should be read in conjunction with the disclosures under Item 1A — </w:t>
      </w:r>
      <w:r>
        <w:rPr>
          <w:rFonts w:ascii="Arial" w:cs="Arial" w:eastAsia="Arial" w:hAnsi="Arial"/>
          <w:sz w:val="18"/>
          <w:szCs w:val="18"/>
          <w:b w:val="1"/>
          <w:bCs w:val="1"/>
          <w:i w:val="1"/>
          <w:iCs w:val="1"/>
          <w:color w:val="auto"/>
        </w:rPr>
        <w:t>Risk Factors</w:t>
      </w:r>
      <w:r>
        <w:rPr>
          <w:rFonts w:ascii="Arial" w:cs="Arial" w:eastAsia="Arial" w:hAnsi="Arial"/>
          <w:sz w:val="18"/>
          <w:szCs w:val="18"/>
          <w:color w:val="auto"/>
        </w:rPr>
        <w:t xml:space="preserve"> of this Annual Report on Form 10-K.</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Executive Summary</w:t>
      </w:r>
    </w:p>
    <w:p>
      <w:pPr>
        <w:spacing w:after="0" w:line="134"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20"/>
          <w:szCs w:val="20"/>
          <w:color w:val="auto"/>
        </w:rPr>
        <w:t>NRG Energy, Inc., or NRG or the Company, is a leading energy and smart home company fueled by market-leading brands, proprietary technologies and complementary sales channels. Across the U.S. and Canada, NRG delivers innovative, sustainable solutions, predominately under the brand names such as NRG, Reliant, Direct Energy, Green Mountain Energy, and Vivint, while also advocating for competitive energy markets and customer choice. The Company has a customer base that includes approximately 8 million residential customers (comprised of 6 million retail energy customers and 2 million smart home customers) in addition to commercial, industrial, and wholesale customers, supported by approximately 13 GW of generation as of December 31, 2024.</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Business Environment</w:t>
      </w:r>
    </w:p>
    <w:p>
      <w:pPr>
        <w:spacing w:after="0" w:line="134" w:lineRule="exact"/>
        <w:rPr>
          <w:sz w:val="20"/>
          <w:szCs w:val="20"/>
          <w:color w:val="auto"/>
        </w:rPr>
      </w:pPr>
    </w:p>
    <w:p>
      <w:pPr>
        <w:jc w:val="both"/>
        <w:ind w:firstLine="463"/>
        <w:spacing w:after="0" w:line="277" w:lineRule="auto"/>
        <w:rPr>
          <w:sz w:val="20"/>
          <w:szCs w:val="20"/>
          <w:color w:val="auto"/>
        </w:rPr>
      </w:pPr>
      <w:r>
        <w:rPr>
          <w:rFonts w:ascii="Arial" w:cs="Arial" w:eastAsia="Arial" w:hAnsi="Arial"/>
          <w:sz w:val="20"/>
          <w:szCs w:val="20"/>
          <w:color w:val="auto"/>
        </w:rPr>
        <w:t>The industry dynamics and external influences affecting the Company, its businesses, and the retail energy and power generation industry in 2024 and for the future medium term include:</w:t>
      </w:r>
    </w:p>
    <w:p>
      <w:pPr>
        <w:spacing w:after="0" w:line="59" w:lineRule="exact"/>
        <w:rPr>
          <w:sz w:val="20"/>
          <w:szCs w:val="20"/>
          <w:color w:val="auto"/>
        </w:rPr>
      </w:pPr>
    </w:p>
    <w:p>
      <w:pPr>
        <w:jc w:val="both"/>
        <w:ind w:firstLine="463"/>
        <w:spacing w:after="0" w:line="254" w:lineRule="auto"/>
        <w:rPr>
          <w:sz w:val="20"/>
          <w:szCs w:val="20"/>
          <w:color w:val="auto"/>
        </w:rPr>
      </w:pPr>
      <w:r>
        <w:rPr>
          <w:rFonts w:ascii="Arial" w:cs="Arial" w:eastAsia="Arial" w:hAnsi="Arial"/>
          <w:sz w:val="20"/>
          <w:szCs w:val="20"/>
          <w:b w:val="1"/>
          <w:bCs w:val="1"/>
          <w:i w:val="1"/>
          <w:iCs w:val="1"/>
          <w:color w:val="auto"/>
        </w:rPr>
        <w:t xml:space="preserve">Market Dynamics </w:t>
      </w:r>
      <w:r>
        <w:rPr>
          <w:rFonts w:ascii="Arial" w:cs="Arial" w:eastAsia="Arial" w:hAnsi="Arial"/>
          <w:sz w:val="20"/>
          <w:szCs w:val="20"/>
          <w:color w:val="auto"/>
        </w:rPr>
        <w:t>— The price of natural gas plays an important role in setting the price of electricity in many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regions where NRG operates. Natural gas prices are driven by variables including demand from the industrial, residential, and electric sectors, productivity across natural gas supply basins, costs of natural gas production, changes in pipeline infrastructure, global liquified natural gas demand, exports of natural gas, and the financial and hedging profile of natural gas customers and producers. In 2024, the average natural gas price at Henry Hub was $2.27 per MMBtu compared to $2.74 per MMBtu in 2023, representing a decrease of 17%.</w:t>
      </w:r>
    </w:p>
    <w:p>
      <w:pPr>
        <w:spacing w:after="0" w:line="88" w:lineRule="exact"/>
        <w:rPr>
          <w:sz w:val="20"/>
          <w:szCs w:val="20"/>
          <w:color w:val="auto"/>
        </w:rPr>
      </w:pPr>
    </w:p>
    <w:p>
      <w:pPr>
        <w:jc w:val="both"/>
        <w:ind w:firstLine="463"/>
        <w:spacing w:after="0" w:line="271" w:lineRule="auto"/>
        <w:rPr>
          <w:sz w:val="20"/>
          <w:szCs w:val="20"/>
          <w:color w:val="auto"/>
        </w:rPr>
      </w:pPr>
      <w:r>
        <w:rPr>
          <w:rFonts w:ascii="Arial" w:cs="Arial" w:eastAsia="Arial" w:hAnsi="Arial"/>
          <w:sz w:val="19"/>
          <w:szCs w:val="19"/>
          <w:color w:val="auto"/>
        </w:rPr>
        <w:t>NRG may experience impacts to gross margins due to significant, rapid changes in current natural gas prices, the impact those prices have on power prices, and the lag in its ability to make a corresponding adjustment to the retail rates it charges customers on term and month to month contracts. The Company hedges its load commitments in order to mitigate the impact of changes in commodity prices, and as a result, these gross margin impacts would be realized in future periods until it is able to make the corresponding adjustments to the retail customer rates.</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880" w:h="15480" w:orient="portrait"/>
          <w:cols w:equalWidth="0" w:num="1">
            <w:col w:w="10160"/>
          </w:cols>
          <w:pgMar w:left="860" w:top="505" w:right="860" w:bottom="0" w:gutter="0" w:footer="0" w:header="0"/>
          <w:type w:val="continuous"/>
        </w:sectPr>
      </w:pPr>
    </w:p>
    <w:bookmarkStart w:id="48" w:name="page49"/>
    <w:bookmarkEnd w:id="48"/>
    <w:p>
      <w:pPr>
        <w:ind w:left="460"/>
        <w:spacing w:after="0"/>
        <w:rPr>
          <w:sz w:val="20"/>
          <w:szCs w:val="20"/>
          <w:color w:val="auto"/>
        </w:rPr>
      </w:pPr>
      <w:r>
        <w:rPr>
          <w:rFonts w:ascii="Arial" w:cs="Arial" w:eastAsia="Arial" w:hAnsi="Arial"/>
          <w:sz w:val="18"/>
          <w:szCs w:val="18"/>
          <w:color w:val="auto"/>
        </w:rPr>
        <w:t>The relative price of natural gas as compared to coal and prevailing power prices are the primary driver of coal demand.</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Coal commodity prices remained relatively flat in 2024.</w:t>
      </w:r>
    </w:p>
    <w:p>
      <w:pPr>
        <w:spacing w:after="0" w:line="102"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8"/>
          <w:szCs w:val="18"/>
          <w:b w:val="1"/>
          <w:bCs w:val="1"/>
          <w:i w:val="1"/>
          <w:iCs w:val="1"/>
          <w:color w:val="auto"/>
        </w:rPr>
        <w:t xml:space="preserve">Electricity Prices </w:t>
      </w:r>
      <w:r>
        <w:rPr>
          <w:rFonts w:ascii="Arial" w:cs="Arial" w:eastAsia="Arial" w:hAnsi="Arial"/>
          <w:sz w:val="18"/>
          <w:szCs w:val="18"/>
          <w:color w:val="auto"/>
        </w:rPr>
        <w:t>— The price of electricity is a key determinant of the profitability of the Company. Many variables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the price of different fuels, weather, load growth and unit availability all coalesce to impact the final price for electricity and the Company's profitability. An increase in supply cost volatility in the competitive retail markets may result in smaller companies choosing to exit the market, which may result in further consolidation in the competitive retail space. The following table summarizes average on-peak power prices for each of the major markets in which NRG operates.</w:t>
      </w:r>
    </w:p>
    <w:p>
      <w:pPr>
        <w:spacing w:after="0" w:line="139" w:lineRule="exact"/>
        <w:rPr>
          <w:sz w:val="20"/>
          <w:szCs w:val="20"/>
          <w:color w:val="auto"/>
        </w:rPr>
      </w:pPr>
    </w:p>
    <w:tbl>
      <w:tblPr>
        <w:tblLayout w:type="fixed"/>
        <w:tblInd w:w="60" w:type="dxa"/>
        <w:tblCellMar>
          <w:top w:w="0" w:type="dxa"/>
          <w:left w:w="0" w:type="dxa"/>
          <w:bottom w:w="0" w:type="dxa"/>
          <w:right w:w="0" w:type="dxa"/>
        </w:tblCellMar>
      </w:tblPr>
      <w:tr>
        <w:trPr>
          <w:trHeight w:val="265"/>
        </w:trPr>
        <w:tc>
          <w:tcPr>
            <w:tcW w:w="58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4580" w:type="dxa"/>
            <w:vAlign w:val="bottom"/>
            <w:tcBorders>
              <w:bottom w:val="single" w:sz="8" w:color="auto"/>
            </w:tcBorders>
            <w:gridSpan w:val="6"/>
          </w:tcPr>
          <w:p>
            <w:pPr>
              <w:jc w:val="right"/>
              <w:ind w:right="666"/>
              <w:spacing w:after="0"/>
              <w:rPr>
                <w:sz w:val="20"/>
                <w:szCs w:val="20"/>
                <w:color w:val="auto"/>
              </w:rPr>
            </w:pPr>
            <w:r>
              <w:rPr>
                <w:rFonts w:ascii="Arial" w:cs="Arial" w:eastAsia="Arial" w:hAnsi="Arial"/>
                <w:sz w:val="20"/>
                <w:szCs w:val="20"/>
                <w:b w:val="1"/>
                <w:bCs w:val="1"/>
                <w:color w:val="auto"/>
              </w:rPr>
              <w:t>Average On-Peak Power Price ($/MWh)</w:t>
            </w:r>
          </w:p>
        </w:tc>
        <w:tc>
          <w:tcPr>
            <w:tcW w:w="0" w:type="dxa"/>
            <w:vAlign w:val="bottom"/>
          </w:tcPr>
          <w:p>
            <w:pPr>
              <w:spacing w:after="0"/>
              <w:rPr>
                <w:sz w:val="1"/>
                <w:szCs w:val="1"/>
                <w:color w:val="auto"/>
              </w:rPr>
            </w:pPr>
          </w:p>
        </w:tc>
      </w:tr>
      <w:tr>
        <w:trPr>
          <w:trHeight w:val="232"/>
        </w:trPr>
        <w:tc>
          <w:tcPr>
            <w:tcW w:w="51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Region</w:t>
            </w:r>
          </w:p>
        </w:tc>
        <w:tc>
          <w:tcPr>
            <w:tcW w:w="3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20"/>
                <w:szCs w:val="20"/>
                <w:b w:val="1"/>
                <w:bCs w:val="1"/>
                <w:color w:val="auto"/>
                <w:w w:val="96"/>
              </w:rPr>
              <w:t>Year Ended December 31,</w:t>
            </w:r>
          </w:p>
        </w:tc>
        <w:tc>
          <w:tcPr>
            <w:tcW w:w="60" w:type="dxa"/>
            <w:vAlign w:val="bottom"/>
          </w:tcPr>
          <w:p>
            <w:pPr>
              <w:spacing w:after="0"/>
              <w:rPr>
                <w:sz w:val="20"/>
                <w:szCs w:val="20"/>
                <w:color w:val="auto"/>
              </w:rPr>
            </w:pPr>
          </w:p>
        </w:tc>
        <w:tc>
          <w:tcPr>
            <w:tcW w:w="1600" w:type="dxa"/>
            <w:vAlign w:val="bottom"/>
            <w:tcBorders>
              <w:bottom w:val="single" w:sz="8" w:color="auto"/>
            </w:tcBorders>
          </w:tcPr>
          <w:p>
            <w:pPr>
              <w:jc w:val="right"/>
              <w:ind w:right="146"/>
              <w:spacing w:after="0"/>
              <w:rPr>
                <w:sz w:val="20"/>
                <w:szCs w:val="20"/>
                <w:color w:val="auto"/>
              </w:rPr>
            </w:pPr>
            <w:r>
              <w:rPr>
                <w:rFonts w:ascii="Arial" w:cs="Arial" w:eastAsia="Arial" w:hAnsi="Arial"/>
                <w:sz w:val="20"/>
                <w:szCs w:val="20"/>
                <w:b w:val="1"/>
                <w:bCs w:val="1"/>
                <w:color w:val="auto"/>
              </w:rPr>
              <w:t>2024 vs 2023</w:t>
            </w:r>
          </w:p>
        </w:tc>
        <w:tc>
          <w:tcPr>
            <w:tcW w:w="0" w:type="dxa"/>
            <w:vAlign w:val="bottom"/>
          </w:tcPr>
          <w:p>
            <w:pPr>
              <w:spacing w:after="0"/>
              <w:rPr>
                <w:sz w:val="1"/>
                <w:szCs w:val="1"/>
                <w:color w:val="auto"/>
              </w:rPr>
            </w:pPr>
          </w:p>
        </w:tc>
      </w:tr>
      <w:tr>
        <w:trPr>
          <w:trHeight w:val="187"/>
        </w:trPr>
        <w:tc>
          <w:tcPr>
            <w:tcW w:w="5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501"/>
              <w:spacing w:after="0" w:line="186" w:lineRule="exact"/>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01"/>
              <w:spacing w:after="0" w:line="186" w:lineRule="exact"/>
              <w:rPr>
                <w:sz w:val="20"/>
                <w:szCs w:val="20"/>
                <w:color w:val="auto"/>
              </w:rPr>
            </w:pPr>
            <w:r>
              <w:rPr>
                <w:rFonts w:ascii="Arial" w:cs="Arial" w:eastAsia="Arial" w:hAnsi="Arial"/>
                <w:sz w:val="20"/>
                <w:szCs w:val="20"/>
                <w:b w:val="1"/>
                <w:bCs w:val="1"/>
                <w:color w:val="auto"/>
              </w:rPr>
              <w:t>2023</w:t>
            </w:r>
          </w:p>
        </w:tc>
        <w:tc>
          <w:tcPr>
            <w:tcW w:w="60" w:type="dxa"/>
            <w:vAlign w:val="bottom"/>
          </w:tcPr>
          <w:p>
            <w:pPr>
              <w:spacing w:after="0"/>
              <w:rPr>
                <w:sz w:val="16"/>
                <w:szCs w:val="16"/>
                <w:color w:val="auto"/>
              </w:rPr>
            </w:pPr>
          </w:p>
        </w:tc>
        <w:tc>
          <w:tcPr>
            <w:tcW w:w="1600" w:type="dxa"/>
            <w:vAlign w:val="bottom"/>
          </w:tcPr>
          <w:p>
            <w:pPr>
              <w:jc w:val="right"/>
              <w:ind w:right="306"/>
              <w:spacing w:after="0" w:line="187" w:lineRule="exact"/>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6"/>
        </w:trPr>
        <w:tc>
          <w:tcPr>
            <w:tcW w:w="5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20"/>
                <w:szCs w:val="20"/>
                <w:color w:val="auto"/>
              </w:rPr>
              <w:t>Texas</w:t>
            </w:r>
          </w:p>
        </w:tc>
        <w:tc>
          <w:tcPr>
            <w:tcW w:w="4600" w:type="dxa"/>
            <w:vAlign w:val="bottom"/>
            <w:vMerge w:val="restart"/>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20"/>
                <w:szCs w:val="20"/>
                <w:color w:val="auto"/>
              </w:rPr>
            </w:pPr>
          </w:p>
        </w:tc>
        <w:tc>
          <w:tcPr>
            <w:tcW w:w="46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5180" w:type="dxa"/>
            <w:vAlign w:val="bottom"/>
            <w:gridSpan w:val="2"/>
          </w:tcPr>
          <w:p>
            <w:pPr>
              <w:ind w:left="220"/>
              <w:spacing w:after="0"/>
              <w:rPr>
                <w:sz w:val="20"/>
                <w:szCs w:val="20"/>
                <w:color w:val="auto"/>
              </w:rPr>
            </w:pPr>
            <w:r>
              <w:rPr>
                <w:rFonts w:ascii="Arial" w:cs="Arial" w:eastAsia="Arial" w:hAnsi="Arial"/>
                <w:sz w:val="20"/>
                <w:szCs w:val="20"/>
                <w:color w:val="auto"/>
                <w:w w:val="89"/>
              </w:rPr>
              <w:t>ERCOT - Houston</w:t>
            </w:r>
            <w:r>
              <w:rPr>
                <w:rFonts w:ascii="Arial" w:cs="Arial" w:eastAsia="Arial" w:hAnsi="Arial"/>
                <w:sz w:val="25"/>
                <w:szCs w:val="25"/>
                <w:color w:val="auto"/>
                <w:w w:val="89"/>
                <w:vertAlign w:val="superscript"/>
              </w:rPr>
              <w:t>(a)</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 . . . . . . . . . .</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32.05</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74.32</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256"/>
        </w:trPr>
        <w:tc>
          <w:tcPr>
            <w:tcW w:w="5180" w:type="dxa"/>
            <w:vAlign w:val="bottom"/>
            <w:gridSpan w:val="2"/>
          </w:tcPr>
          <w:p>
            <w:pPr>
              <w:ind w:left="220"/>
              <w:spacing w:after="0" w:line="256" w:lineRule="exact"/>
              <w:rPr>
                <w:sz w:val="20"/>
                <w:szCs w:val="20"/>
                <w:color w:val="auto"/>
              </w:rPr>
            </w:pPr>
            <w:r>
              <w:rPr>
                <w:rFonts w:ascii="Arial" w:cs="Arial" w:eastAsia="Arial" w:hAnsi="Arial"/>
                <w:sz w:val="20"/>
                <w:szCs w:val="20"/>
                <w:color w:val="auto"/>
                <w:w w:val="90"/>
              </w:rPr>
              <w:t>ERCOT - North</w:t>
            </w:r>
            <w:r>
              <w:rPr>
                <w:rFonts w:ascii="Arial" w:cs="Arial" w:eastAsia="Arial" w:hAnsi="Arial"/>
                <w:sz w:val="25"/>
                <w:szCs w:val="25"/>
                <w:color w:val="auto"/>
                <w:w w:val="90"/>
                <w:vertAlign w:val="superscript"/>
              </w:rPr>
              <w:t>(a)</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30.71</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72.89</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258"/>
        </w:trPr>
        <w:tc>
          <w:tcPr>
            <w:tcW w:w="5180" w:type="dxa"/>
            <w:vAlign w:val="bottom"/>
            <w:gridSpan w:val="2"/>
          </w:tcPr>
          <w:p>
            <w:pPr>
              <w:spacing w:after="0"/>
              <w:rPr>
                <w:sz w:val="20"/>
                <w:szCs w:val="20"/>
                <w:color w:val="auto"/>
              </w:rPr>
            </w:pPr>
            <w:r>
              <w:rPr>
                <w:rFonts w:ascii="Arial" w:cs="Arial" w:eastAsia="Arial" w:hAnsi="Arial"/>
                <w:sz w:val="20"/>
                <w:szCs w:val="20"/>
                <w:color w:val="auto"/>
              </w:rPr>
              <w:t>East</w:t>
            </w: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7"/>
        </w:trPr>
        <w:tc>
          <w:tcPr>
            <w:tcW w:w="5180" w:type="dxa"/>
            <w:vAlign w:val="bottom"/>
            <w:gridSpan w:val="2"/>
          </w:tcPr>
          <w:p>
            <w:pPr>
              <w:ind w:left="220"/>
              <w:spacing w:after="0"/>
              <w:rPr>
                <w:sz w:val="20"/>
                <w:szCs w:val="20"/>
                <w:color w:val="auto"/>
              </w:rPr>
            </w:pPr>
            <w:r>
              <w:rPr>
                <w:rFonts w:ascii="Arial" w:cs="Arial" w:eastAsia="Arial" w:hAnsi="Arial"/>
                <w:sz w:val="20"/>
                <w:szCs w:val="20"/>
                <w:color w:val="auto"/>
                <w:w w:val="90"/>
              </w:rPr>
              <w:t>NY J/NYC</w:t>
            </w:r>
            <w:r>
              <w:rPr>
                <w:rFonts w:ascii="Arial" w:cs="Arial" w:eastAsia="Arial" w:hAnsi="Arial"/>
                <w:sz w:val="25"/>
                <w:szCs w:val="25"/>
                <w:color w:val="auto"/>
                <w:w w:val="90"/>
                <w:vertAlign w:val="superscript"/>
              </w:rPr>
              <w:t>(b)</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 . . . .</w:t>
            </w:r>
          </w:p>
        </w:tc>
        <w:tc>
          <w:tcPr>
            <w:tcW w:w="3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45.25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38.95</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16 %</w:t>
            </w:r>
          </w:p>
        </w:tc>
        <w:tc>
          <w:tcPr>
            <w:tcW w:w="0" w:type="dxa"/>
            <w:vAlign w:val="bottom"/>
          </w:tcPr>
          <w:p>
            <w:pPr>
              <w:spacing w:after="0"/>
              <w:rPr>
                <w:sz w:val="1"/>
                <w:szCs w:val="1"/>
                <w:color w:val="auto"/>
              </w:rPr>
            </w:pPr>
          </w:p>
        </w:tc>
      </w:tr>
      <w:tr>
        <w:trPr>
          <w:trHeight w:val="297"/>
        </w:trPr>
        <w:tc>
          <w:tcPr>
            <w:tcW w:w="5180" w:type="dxa"/>
            <w:vAlign w:val="bottom"/>
            <w:gridSpan w:val="2"/>
          </w:tcPr>
          <w:p>
            <w:pPr>
              <w:ind w:left="220"/>
              <w:spacing w:after="0"/>
              <w:rPr>
                <w:sz w:val="20"/>
                <w:szCs w:val="20"/>
                <w:color w:val="auto"/>
              </w:rPr>
            </w:pPr>
            <w:r>
              <w:rPr>
                <w:rFonts w:ascii="Arial" w:cs="Arial" w:eastAsia="Arial" w:hAnsi="Arial"/>
                <w:sz w:val="20"/>
                <w:szCs w:val="20"/>
                <w:color w:val="auto"/>
                <w:w w:val="90"/>
              </w:rPr>
              <w:t>NEPOOL</w:t>
            </w:r>
            <w:r>
              <w:rPr>
                <w:rFonts w:ascii="Arial" w:cs="Arial" w:eastAsia="Arial" w:hAnsi="Arial"/>
                <w:sz w:val="25"/>
                <w:szCs w:val="25"/>
                <w:color w:val="auto"/>
                <w:w w:val="90"/>
                <w:vertAlign w:val="superscript"/>
              </w:rPr>
              <w:t>(b)</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 . . . . .</w:t>
            </w:r>
          </w:p>
        </w:tc>
        <w:tc>
          <w:tcPr>
            <w:tcW w:w="3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46.59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41.36</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13 %</w:t>
            </w:r>
          </w:p>
        </w:tc>
        <w:tc>
          <w:tcPr>
            <w:tcW w:w="0" w:type="dxa"/>
            <w:vAlign w:val="bottom"/>
          </w:tcPr>
          <w:p>
            <w:pPr>
              <w:spacing w:after="0"/>
              <w:rPr>
                <w:sz w:val="1"/>
                <w:szCs w:val="1"/>
                <w:color w:val="auto"/>
              </w:rPr>
            </w:pPr>
          </w:p>
        </w:tc>
      </w:tr>
      <w:tr>
        <w:trPr>
          <w:trHeight w:val="297"/>
        </w:trPr>
        <w:tc>
          <w:tcPr>
            <w:tcW w:w="5180" w:type="dxa"/>
            <w:vAlign w:val="bottom"/>
            <w:gridSpan w:val="2"/>
          </w:tcPr>
          <w:p>
            <w:pPr>
              <w:ind w:left="220"/>
              <w:spacing w:after="0"/>
              <w:rPr>
                <w:sz w:val="20"/>
                <w:szCs w:val="20"/>
                <w:color w:val="auto"/>
              </w:rPr>
            </w:pPr>
            <w:r>
              <w:rPr>
                <w:rFonts w:ascii="Arial" w:cs="Arial" w:eastAsia="Arial" w:hAnsi="Arial"/>
                <w:sz w:val="20"/>
                <w:szCs w:val="20"/>
                <w:color w:val="auto"/>
                <w:w w:val="90"/>
              </w:rPr>
              <w:t>COMED (PJM)</w:t>
            </w:r>
            <w:r>
              <w:rPr>
                <w:rFonts w:ascii="Arial" w:cs="Arial" w:eastAsia="Arial" w:hAnsi="Arial"/>
                <w:sz w:val="25"/>
                <w:szCs w:val="25"/>
                <w:color w:val="auto"/>
                <w:w w:val="90"/>
                <w:vertAlign w:val="superscript"/>
              </w:rPr>
              <w:t>(b)</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w:t>
            </w:r>
          </w:p>
        </w:tc>
        <w:tc>
          <w:tcPr>
            <w:tcW w:w="3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31.86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32.72</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315"/>
        </w:trPr>
        <w:tc>
          <w:tcPr>
            <w:tcW w:w="5180" w:type="dxa"/>
            <w:vAlign w:val="bottom"/>
            <w:gridSpan w:val="2"/>
          </w:tcPr>
          <w:p>
            <w:pPr>
              <w:ind w:left="220"/>
              <w:spacing w:after="0"/>
              <w:rPr>
                <w:sz w:val="20"/>
                <w:szCs w:val="20"/>
                <w:color w:val="auto"/>
              </w:rPr>
            </w:pPr>
            <w:r>
              <w:rPr>
                <w:rFonts w:ascii="Arial" w:cs="Arial" w:eastAsia="Arial" w:hAnsi="Arial"/>
                <w:sz w:val="20"/>
                <w:szCs w:val="20"/>
                <w:color w:val="auto"/>
                <w:w w:val="90"/>
              </w:rPr>
              <w:t>PJM West Hub</w:t>
            </w:r>
            <w:r>
              <w:rPr>
                <w:rFonts w:ascii="Arial" w:cs="Arial" w:eastAsia="Arial" w:hAnsi="Arial"/>
                <w:sz w:val="25"/>
                <w:szCs w:val="25"/>
                <w:color w:val="auto"/>
                <w:w w:val="90"/>
                <w:vertAlign w:val="superscript"/>
              </w:rPr>
              <w:t>(b)</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w:t>
            </w:r>
          </w:p>
        </w:tc>
        <w:tc>
          <w:tcPr>
            <w:tcW w:w="3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40.75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39.34</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4 %</w:t>
            </w:r>
          </w:p>
        </w:tc>
        <w:tc>
          <w:tcPr>
            <w:tcW w:w="0" w:type="dxa"/>
            <w:vAlign w:val="bottom"/>
          </w:tcPr>
          <w:p>
            <w:pPr>
              <w:spacing w:after="0"/>
              <w:rPr>
                <w:sz w:val="1"/>
                <w:szCs w:val="1"/>
                <w:color w:val="auto"/>
              </w:rPr>
            </w:pPr>
          </w:p>
        </w:tc>
      </w:tr>
      <w:tr>
        <w:trPr>
          <w:trHeight w:val="258"/>
        </w:trPr>
        <w:tc>
          <w:tcPr>
            <w:tcW w:w="5180" w:type="dxa"/>
            <w:vAlign w:val="bottom"/>
            <w:gridSpan w:val="2"/>
          </w:tcPr>
          <w:p>
            <w:pPr>
              <w:spacing w:after="0"/>
              <w:rPr>
                <w:sz w:val="20"/>
                <w:szCs w:val="20"/>
                <w:color w:val="auto"/>
              </w:rPr>
            </w:pPr>
            <w:r>
              <w:rPr>
                <w:rFonts w:ascii="Arial" w:cs="Arial" w:eastAsia="Arial" w:hAnsi="Arial"/>
                <w:sz w:val="20"/>
                <w:szCs w:val="20"/>
                <w:color w:val="auto"/>
              </w:rPr>
              <w:t>West</w:t>
            </w: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7"/>
        </w:trPr>
        <w:tc>
          <w:tcPr>
            <w:tcW w:w="5180" w:type="dxa"/>
            <w:vAlign w:val="bottom"/>
            <w:gridSpan w:val="2"/>
          </w:tcPr>
          <w:p>
            <w:pPr>
              <w:ind w:left="220"/>
              <w:spacing w:after="0"/>
              <w:rPr>
                <w:sz w:val="20"/>
                <w:szCs w:val="20"/>
                <w:color w:val="auto"/>
              </w:rPr>
            </w:pPr>
            <w:r>
              <w:rPr>
                <w:rFonts w:ascii="Arial" w:cs="Arial" w:eastAsia="Arial" w:hAnsi="Arial"/>
                <w:sz w:val="20"/>
                <w:szCs w:val="20"/>
                <w:color w:val="auto"/>
                <w:w w:val="89"/>
              </w:rPr>
              <w:t>CAISO - SP15</w:t>
            </w:r>
            <w:r>
              <w:rPr>
                <w:rFonts w:ascii="Arial" w:cs="Arial" w:eastAsia="Arial" w:hAnsi="Arial"/>
                <w:sz w:val="25"/>
                <w:szCs w:val="25"/>
                <w:color w:val="auto"/>
                <w:w w:val="89"/>
                <w:vertAlign w:val="superscript"/>
              </w:rPr>
              <w:t>(b)</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 . . . . . . . . . . . . .</w:t>
            </w:r>
          </w:p>
        </w:tc>
        <w:tc>
          <w:tcPr>
            <w:tcW w:w="3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29.95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60.17</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339"/>
        </w:trPr>
        <w:tc>
          <w:tcPr>
            <w:tcW w:w="5180" w:type="dxa"/>
            <w:vAlign w:val="bottom"/>
            <w:gridSpan w:val="2"/>
          </w:tcPr>
          <w:p>
            <w:pPr>
              <w:ind w:left="220"/>
              <w:spacing w:after="0"/>
              <w:rPr>
                <w:sz w:val="20"/>
                <w:szCs w:val="20"/>
                <w:color w:val="auto"/>
              </w:rPr>
            </w:pPr>
            <w:r>
              <w:rPr>
                <w:rFonts w:ascii="Arial" w:cs="Arial" w:eastAsia="Arial" w:hAnsi="Arial"/>
                <w:sz w:val="20"/>
                <w:szCs w:val="20"/>
                <w:color w:val="auto"/>
                <w:w w:val="90"/>
              </w:rPr>
              <w:t>MISO - Louisiana Hub</w:t>
            </w:r>
            <w:r>
              <w:rPr>
                <w:rFonts w:ascii="Arial" w:cs="Arial" w:eastAsia="Arial" w:hAnsi="Arial"/>
                <w:sz w:val="25"/>
                <w:szCs w:val="25"/>
                <w:color w:val="auto"/>
                <w:w w:val="90"/>
                <w:vertAlign w:val="superscript"/>
              </w:rPr>
              <w:t>(b)</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w:t>
            </w:r>
          </w:p>
        </w:tc>
        <w:tc>
          <w:tcPr>
            <w:tcW w:w="3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30.26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33.64</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-2052320</wp:posOffset>
            </wp:positionV>
            <wp:extent cx="6475095" cy="2033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extLst>
                    </a:blip>
                    <a:srcRect/>
                    <a:stretch>
                      <a:fillRect/>
                    </a:stretch>
                  </pic:blipFill>
                  <pic:spPr bwMode="auto">
                    <a:xfrm>
                      <a:off x="0" y="0"/>
                      <a:ext cx="6475095" cy="2033905"/>
                    </a:xfrm>
                    <a:prstGeom prst="rect">
                      <a:avLst/>
                    </a:prstGeom>
                    <a:noFill/>
                  </pic:spPr>
                </pic:pic>
              </a:graphicData>
            </a:graphic>
          </wp:anchor>
        </w:drawing>
      </w:r>
    </w:p>
    <w:p>
      <w:pPr>
        <w:ind w:left="440" w:hanging="439"/>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Average on-peak power prices based on real time settlement prices as published by the respective ISOs</w:t>
      </w:r>
    </w:p>
    <w:p>
      <w:pPr>
        <w:spacing w:after="0" w:line="23" w:lineRule="exact"/>
        <w:rPr>
          <w:rFonts w:ascii="Arial" w:cs="Arial" w:eastAsia="Arial" w:hAnsi="Arial"/>
          <w:sz w:val="16"/>
          <w:szCs w:val="16"/>
          <w:color w:val="auto"/>
        </w:rPr>
      </w:pPr>
    </w:p>
    <w:p>
      <w:pPr>
        <w:ind w:left="440" w:hanging="439"/>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Average on-peak power prices based on day-ahead settlement prices as published by the respective ISOs</w:t>
      </w:r>
    </w:p>
    <w:p>
      <w:pPr>
        <w:spacing w:after="0" w:line="9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20"/>
          <w:szCs w:val="20"/>
          <w:b w:val="1"/>
          <w:bCs w:val="1"/>
          <w:i w:val="1"/>
          <w:iCs w:val="1"/>
          <w:color w:val="auto"/>
        </w:rPr>
        <w:t xml:space="preserve">Load Growth — </w:t>
      </w:r>
      <w:r>
        <w:rPr>
          <w:rFonts w:ascii="Arial" w:cs="Arial" w:eastAsia="Arial" w:hAnsi="Arial"/>
          <w:sz w:val="20"/>
          <w:szCs w:val="20"/>
          <w:color w:val="auto"/>
        </w:rPr>
        <w:t>The electric industry is expected to experience a surge in demand driven primarily by new</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manufacturing, industrial and data center facilities (inclusive of GenAI). The U.S. Energy Information Administration's 2023 Annual Energy Outlook, combined with external forecasts of GenAI, shows the potential for 500 TWh of incremental load across the U.S. through 2030, as compared to 2023. ERCOT's current long term load forecast shows peak demand increasing from 86 GW in 2024 to 137 GW in 2028. This load growth will require significant planning and construction of new generation and transmission.</w:t>
      </w:r>
    </w:p>
    <w:p>
      <w:pPr>
        <w:spacing w:after="0" w:line="84"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8"/>
          <w:szCs w:val="18"/>
          <w:b w:val="1"/>
          <w:bCs w:val="1"/>
          <w:i w:val="1"/>
          <w:iCs w:val="1"/>
          <w:color w:val="auto"/>
        </w:rPr>
        <w:t xml:space="preserve">Increased Awareness of, and Action to Combat, Climate Change </w:t>
      </w:r>
      <w:r>
        <w:rPr>
          <w:rFonts w:ascii="Arial" w:cs="Arial" w:eastAsia="Arial" w:hAnsi="Arial"/>
          <w:sz w:val="18"/>
          <w:szCs w:val="18"/>
          <w:color w:val="auto"/>
        </w:rPr>
        <w:t>— Diverse groups of stakeholders, including investors,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 managers, financial institutions, non-government organizations, industry coalitions, individual companies, consumer groups and academic institutions, are increasingly engaged in efforts to limit global warming in the post-industrial era to 1.5 degrees Celsius. As a result, policymakers and regulators at regional, national, sub-national and local levels of government, both in the U.S. and other parts of the world, are increasingly focused on actions to combat climate change.</w:t>
      </w:r>
    </w:p>
    <w:p>
      <w:pPr>
        <w:spacing w:after="0" w:line="5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NRG actively monitors climate change related developments that could impact its business and regularly engages with a diverse set of stakeholders on these issues. Such engagement helps the Company identify and pursue potential opportunities both to decarbonize its business and better serve its customers. NRG is committed to providing transparent disclosures of its climate risks and opportunities to stakeholders.</w:t>
      </w:r>
    </w:p>
    <w:p>
      <w:pPr>
        <w:spacing w:after="0" w:line="80"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9"/>
          <w:szCs w:val="19"/>
          <w:b w:val="1"/>
          <w:bCs w:val="1"/>
          <w:i w:val="1"/>
          <w:iCs w:val="1"/>
          <w:color w:val="auto"/>
        </w:rPr>
        <w:t xml:space="preserve">Lower Carbon Infrastructure Development </w:t>
      </w:r>
      <w:r>
        <w:rPr>
          <w:rFonts w:ascii="Arial" w:cs="Arial" w:eastAsia="Arial" w:hAnsi="Arial"/>
          <w:sz w:val="19"/>
          <w:szCs w:val="19"/>
          <w:color w:val="auto"/>
        </w:rPr>
        <w:t>— Policy mechanisms at the state and federal level, including production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investment tax credits, cash grants, loan guarantees, accelerated depreciation tax benefits, RPS, and carbon trading plans, have supported and continue to support the development of renewable generation, demand-side and smart grid, and other lower carbon infrastructure technologies. According to ERCOT, 43% of 2024 energy consumption in the ERCOT market was generated from carbon emission-free resources, with wind power contributing 24%. In addition, as subsidies and incentives contribute to increases in renewable power sources, customer awareness and preferences are shifting toward sustainable solutions. Increased demand for sustainable energy products from both residential and commercial customers creates opportunities for diversified product offerings in competitive retail markets.</w:t>
      </w:r>
    </w:p>
    <w:p>
      <w:pPr>
        <w:spacing w:after="0" w:line="75"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8"/>
          <w:szCs w:val="18"/>
          <w:b w:val="1"/>
          <w:bCs w:val="1"/>
          <w:i w:val="1"/>
          <w:iCs w:val="1"/>
          <w:color w:val="auto"/>
        </w:rPr>
        <w:t xml:space="preserve">Digitization and Customization </w:t>
      </w:r>
      <w:r>
        <w:rPr>
          <w:rFonts w:ascii="Arial" w:cs="Arial" w:eastAsia="Arial" w:hAnsi="Arial"/>
          <w:sz w:val="18"/>
          <w:szCs w:val="18"/>
          <w:color w:val="auto"/>
        </w:rPr>
        <w:t>— The electric industry is experiencing major technological changes in the way power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distributed and consumed by end-use customers. The electric grid is shifting from a centralized analog system, where power is generated from limited sources and flows in one direction, to a decentralized multidirectional system, where power can be generated from a number of distributed resources and stored or dispatched on an as-needed basis. In addition, customers are seeking new ways to engage with their power providers. Technologies like smart thermostats, smart appliances and electric vehicles are giving individuals more choice and control over their electricity usage. Power providers are starting to engage with</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880" w:h="15480" w:orient="portrait"/>
          <w:cols w:equalWidth="0" w:num="1">
            <w:col w:w="10160"/>
          </w:cols>
          <w:pgMar w:left="860" w:top="512" w:right="860" w:bottom="0" w:gutter="0" w:footer="0" w:header="0"/>
          <w:type w:val="continuous"/>
        </w:sectPr>
      </w:pPr>
    </w:p>
    <w:bookmarkStart w:id="49" w:name="page50"/>
    <w:bookmarkEnd w:id="49"/>
    <w:p>
      <w:pPr>
        <w:jc w:val="both"/>
        <w:spacing w:after="0" w:line="305" w:lineRule="auto"/>
        <w:rPr>
          <w:sz w:val="20"/>
          <w:szCs w:val="20"/>
          <w:color w:val="auto"/>
        </w:rPr>
      </w:pPr>
      <w:r>
        <w:rPr>
          <w:rFonts w:ascii="Arial" w:cs="Arial" w:eastAsia="Arial" w:hAnsi="Arial"/>
          <w:sz w:val="18"/>
          <w:szCs w:val="18"/>
          <w:color w:val="auto"/>
        </w:rPr>
        <w:t>customers who have transitioned to smart homes with new offerings, including but not limited to behind-the-meter demand response, or virtual power plant products. Companies with large customer bases in competitive marketplaces are poised to create additional engagement with customers to help further integrate their smart home into their daily lives.</w:t>
      </w:r>
    </w:p>
    <w:p>
      <w:pPr>
        <w:spacing w:after="0" w:line="39"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9"/>
          <w:szCs w:val="19"/>
          <w:b w:val="1"/>
          <w:bCs w:val="1"/>
          <w:i w:val="1"/>
          <w:iCs w:val="1"/>
          <w:color w:val="auto"/>
        </w:rPr>
        <w:t xml:space="preserve">Weather </w:t>
      </w:r>
      <w:r>
        <w:rPr>
          <w:rFonts w:ascii="Arial" w:cs="Arial" w:eastAsia="Arial" w:hAnsi="Arial"/>
          <w:sz w:val="19"/>
          <w:szCs w:val="19"/>
          <w:color w:val="auto"/>
        </w:rPr>
        <w:t>— Weather conditions in the regions of the U.S. in which NRG conducts business influence the Company's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financial results. Weather conditions can affect the supply and demand for electricity and fuels and may also impact the availability of the Company's generating assets. Changes in energy supply and demand may impact the price of these energy commodities in both the spot and forward markets, which may affect the Company's results in any given period. Typically, demand for and the price of electricity is higher in the summer and the winter seasons, when temperatures and resultant demand are more extreme. The demand for and price of natural gas is also generally higher in the winter. However, all regions of the U.S. typically do not experience extreme weather conditions at the same time, thus NRG's operations are typically not exposed to the effects of extreme weather in all parts of its business at once.</w:t>
      </w:r>
    </w:p>
    <w:p>
      <w:pPr>
        <w:spacing w:after="0" w:line="75" w:lineRule="exact"/>
        <w:rPr>
          <w:sz w:val="20"/>
          <w:szCs w:val="20"/>
          <w:color w:val="auto"/>
        </w:rPr>
      </w:pPr>
    </w:p>
    <w:p>
      <w:pPr>
        <w:jc w:val="both"/>
        <w:ind w:firstLine="445"/>
        <w:spacing w:after="0" w:line="281" w:lineRule="auto"/>
        <w:rPr>
          <w:sz w:val="20"/>
          <w:szCs w:val="20"/>
          <w:color w:val="auto"/>
        </w:rPr>
      </w:pPr>
      <w:r>
        <w:rPr>
          <w:rFonts w:ascii="Arial" w:cs="Arial" w:eastAsia="Arial" w:hAnsi="Arial"/>
          <w:sz w:val="20"/>
          <w:szCs w:val="20"/>
          <w:b w:val="1"/>
          <w:bCs w:val="1"/>
          <w:i w:val="1"/>
          <w:iCs w:val="1"/>
          <w:color w:val="auto"/>
        </w:rPr>
        <w:t xml:space="preserve">Other Factors </w:t>
      </w:r>
      <w:r>
        <w:rPr>
          <w:rFonts w:ascii="Arial" w:cs="Arial" w:eastAsia="Arial" w:hAnsi="Arial"/>
          <w:sz w:val="20"/>
          <w:szCs w:val="20"/>
          <w:color w:val="auto"/>
        </w:rPr>
        <w:t>— A number of other factors significantly influence the level and volatility of prices for energy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commodities and related derivative products for NRG's business. These factors include:</w:t>
      </w:r>
    </w:p>
    <w:p>
      <w:pPr>
        <w:spacing w:after="0" w:line="59" w:lineRule="exact"/>
        <w:rPr>
          <w:sz w:val="20"/>
          <w:szCs w:val="20"/>
          <w:color w:val="auto"/>
        </w:rPr>
      </w:pPr>
    </w:p>
    <w:p>
      <w:pPr>
        <w:ind w:left="720" w:hanging="362"/>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seasonal, daily and hourly changes in demand;</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extreme peak demands;</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performance of renewable generation;</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available supply resources;</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transportation and transmission availability and reliability within and between regions;</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location of NRG's generating facilities relative to the location of its load-serving opportunities;</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procedures used to maintain the integrity of the physical electricity system during extreme conditions; and</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changes in the nature and extent of federal and state regulations.</w:t>
      </w:r>
    </w:p>
    <w:p>
      <w:pPr>
        <w:spacing w:after="0" w:line="126" w:lineRule="exact"/>
        <w:rPr>
          <w:sz w:val="20"/>
          <w:szCs w:val="20"/>
          <w:color w:val="auto"/>
        </w:rPr>
      </w:pPr>
    </w:p>
    <w:p>
      <w:pPr>
        <w:ind w:firstLine="445"/>
        <w:spacing w:after="0" w:line="277" w:lineRule="auto"/>
        <w:rPr>
          <w:sz w:val="20"/>
          <w:szCs w:val="20"/>
          <w:color w:val="auto"/>
        </w:rPr>
      </w:pPr>
      <w:r>
        <w:rPr>
          <w:rFonts w:ascii="Arial" w:cs="Arial" w:eastAsia="Arial" w:hAnsi="Arial"/>
          <w:sz w:val="20"/>
          <w:szCs w:val="20"/>
          <w:color w:val="auto"/>
        </w:rPr>
        <w:t>These factors can affect energy commodity and derivative prices in different ways and to different degrees. These effects may vary throughout the country as a result of regional differences in:</w:t>
      </w:r>
    </w:p>
    <w:p>
      <w:pPr>
        <w:spacing w:after="0" w:line="63" w:lineRule="exact"/>
        <w:rPr>
          <w:sz w:val="20"/>
          <w:szCs w:val="20"/>
          <w:color w:val="auto"/>
        </w:rPr>
      </w:pPr>
    </w:p>
    <w:p>
      <w:pPr>
        <w:ind w:left="720" w:hanging="362"/>
        <w:spacing w:after="0"/>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weather conditions;</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market liquidity;</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capability and reliability of the physical electricity and gas systems;</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local transportation systems; and</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nature and extent of electricity deregulation.</w:t>
      </w:r>
    </w:p>
    <w:p>
      <w:pPr>
        <w:spacing w:after="0" w:line="123"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9"/>
          <w:szCs w:val="19"/>
          <w:b w:val="1"/>
          <w:bCs w:val="1"/>
          <w:i w:val="1"/>
          <w:iCs w:val="1"/>
          <w:color w:val="auto"/>
        </w:rPr>
        <w:t xml:space="preserve">Environmental Matters, Regulatory Matters and Legal Proceedings </w:t>
      </w:r>
      <w:r>
        <w:rPr>
          <w:rFonts w:ascii="Arial" w:cs="Arial" w:eastAsia="Arial" w:hAnsi="Arial"/>
          <w:sz w:val="19"/>
          <w:szCs w:val="19"/>
          <w:color w:val="auto"/>
        </w:rPr>
        <w:t>— Details of environmental matters are presented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Item 15 — Note 24, </w:t>
      </w:r>
      <w:r>
        <w:rPr>
          <w:rFonts w:ascii="Arial" w:cs="Arial" w:eastAsia="Arial" w:hAnsi="Arial"/>
          <w:sz w:val="19"/>
          <w:szCs w:val="19"/>
          <w:b w:val="1"/>
          <w:bCs w:val="1"/>
          <w:i w:val="1"/>
          <w:iCs w:val="1"/>
          <w:color w:val="auto"/>
        </w:rPr>
        <w:t>Environmental Matters</w:t>
      </w:r>
      <w:r>
        <w:rPr>
          <w:rFonts w:ascii="Arial" w:cs="Arial" w:eastAsia="Arial" w:hAnsi="Arial"/>
          <w:sz w:val="19"/>
          <w:szCs w:val="19"/>
          <w:color w:val="auto"/>
        </w:rPr>
        <w:t xml:space="preserve">, to the Consolidated Financial Statements and Item 1 </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Business, </w:t>
      </w:r>
      <w:r>
        <w:rPr>
          <w:rFonts w:ascii="Arial" w:cs="Arial" w:eastAsia="Arial" w:hAnsi="Arial"/>
          <w:sz w:val="19"/>
          <w:szCs w:val="19"/>
          <w:b w:val="1"/>
          <w:bCs w:val="1"/>
          <w:i w:val="1"/>
          <w:iCs w:val="1"/>
          <w:color w:val="auto"/>
        </w:rPr>
        <w:t>Environmental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Matters</w:t>
      </w:r>
      <w:r>
        <w:rPr>
          <w:rFonts w:ascii="Arial" w:cs="Arial" w:eastAsia="Arial" w:hAnsi="Arial"/>
          <w:sz w:val="19"/>
          <w:szCs w:val="19"/>
          <w:color w:val="auto"/>
        </w:rPr>
        <w:t>. Details of regulatory matters are presented in Item 15 — Note 23,</w:t>
      </w:r>
      <w:r>
        <w:rPr>
          <w:rFonts w:ascii="Arial" w:cs="Arial" w:eastAsia="Arial" w:hAnsi="Arial"/>
          <w:sz w:val="19"/>
          <w:szCs w:val="19"/>
          <w:b w:val="1"/>
          <w:bCs w:val="1"/>
          <w:i w:val="1"/>
          <w:iCs w:val="1"/>
          <w:color w:val="auto"/>
        </w:rPr>
        <w:t xml:space="preserve"> Regulatory Matters</w:t>
      </w:r>
      <w:r>
        <w:rPr>
          <w:rFonts w:ascii="Arial" w:cs="Arial" w:eastAsia="Arial" w:hAnsi="Arial"/>
          <w:sz w:val="19"/>
          <w:szCs w:val="19"/>
          <w:color w:val="auto"/>
        </w:rPr>
        <w:t>, to the Consolidated Financial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Statements and Item 1 </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Business, </w:t>
      </w:r>
      <w:r>
        <w:rPr>
          <w:rFonts w:ascii="Arial" w:cs="Arial" w:eastAsia="Arial" w:hAnsi="Arial"/>
          <w:sz w:val="19"/>
          <w:szCs w:val="19"/>
          <w:b w:val="1"/>
          <w:bCs w:val="1"/>
          <w:i w:val="1"/>
          <w:iCs w:val="1"/>
          <w:color w:val="auto"/>
        </w:rPr>
        <w:t>Regulatory Matters</w:t>
      </w:r>
      <w:r>
        <w:rPr>
          <w:rFonts w:ascii="Arial" w:cs="Arial" w:eastAsia="Arial" w:hAnsi="Arial"/>
          <w:sz w:val="19"/>
          <w:szCs w:val="19"/>
          <w:color w:val="auto"/>
        </w:rPr>
        <w:t xml:space="preserve">. Details of legal proceedings are presented in Item 15 — Note 22, </w:t>
      </w:r>
      <w:r>
        <w:rPr>
          <w:rFonts w:ascii="Arial" w:cs="Arial" w:eastAsia="Arial" w:hAnsi="Arial"/>
          <w:sz w:val="19"/>
          <w:szCs w:val="19"/>
          <w:b w:val="1"/>
          <w:bCs w:val="1"/>
          <w:i w:val="1"/>
          <w:iCs w:val="1"/>
          <w:color w:val="auto"/>
        </w:rPr>
        <w:t>Commitments and Contingencies</w:t>
      </w:r>
      <w:r>
        <w:rPr>
          <w:rFonts w:ascii="Arial" w:cs="Arial" w:eastAsia="Arial" w:hAnsi="Arial"/>
          <w:sz w:val="19"/>
          <w:szCs w:val="19"/>
          <w:color w:val="auto"/>
        </w:rPr>
        <w:t>, to the Consolidated Financial Statements. Some of this information relates to costs that may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 material to the Company's financial results.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Events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The following significant events occurred during 2024 and through the filing date, as further described within this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Management's Discussion and Analysis and the Consolidated Financial Statements: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Dispositions</w:t>
      </w:r>
    </w:p>
    <w:p>
      <w:pPr>
        <w:spacing w:after="0" w:line="134" w:lineRule="exact"/>
        <w:rPr>
          <w:sz w:val="20"/>
          <w:szCs w:val="20"/>
          <w:color w:val="auto"/>
        </w:rPr>
      </w:pPr>
    </w:p>
    <w:p>
      <w:pPr>
        <w:jc w:val="both"/>
        <w:ind w:firstLine="445"/>
        <w:spacing w:after="0" w:line="305" w:lineRule="auto"/>
        <w:rPr>
          <w:sz w:val="20"/>
          <w:szCs w:val="20"/>
          <w:color w:val="auto"/>
        </w:rPr>
      </w:pPr>
      <w:r>
        <w:rPr>
          <w:rFonts w:ascii="Arial" w:cs="Arial" w:eastAsia="Arial" w:hAnsi="Arial"/>
          <w:sz w:val="18"/>
          <w:szCs w:val="18"/>
          <w:color w:val="auto"/>
        </w:rPr>
        <w:t>On September 16, 2024, the Company closed on the sale of its 100% ownership in the Airtron business unit. Proceeds of $500 million were reduced by working capital and other adjustments of $20 million, resulting in net proceeds of $480 million. The Company recorded a gain on the sale of $204 million within the West/Services/Other region of operations.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Capital Allocation</w:t>
      </w:r>
    </w:p>
    <w:p>
      <w:pPr>
        <w:spacing w:after="0" w:line="13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In October 2024, the Board of Directors authorized an additional $1.0 billion for share repurchases as part of the existing share repurchase authorization, for a total of $3.7 billion. As of January 31, 2025, $1.5 billion is remaining under the $3.7 billion authorization.</w:t>
      </w:r>
    </w:p>
    <w:p>
      <w:pPr>
        <w:spacing w:after="0" w:line="7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In the first quarter of 2024, NRG increased the annual common stock dividend to $1.63 from $1.51 per share, representing an 8% increase from 2023. Beginning in the first quarter of 2025, NRG increased the annual common stock dividend by 8% to $1.76 per share. The Company expects to target an annual common stock dividend growth rate of 7-9% per share in subsequent years.</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880" w:h="15480" w:orient="portrait"/>
          <w:cols w:equalWidth="0" w:num="1">
            <w:col w:w="10160"/>
          </w:cols>
          <w:pgMar w:left="860" w:top="512" w:right="860" w:bottom="0" w:gutter="0" w:footer="0" w:header="0"/>
          <w:type w:val="continuous"/>
        </w:sectPr>
      </w:pPr>
    </w:p>
    <w:bookmarkStart w:id="50" w:name="page51"/>
    <w:bookmarkEnd w:id="50"/>
    <w:p>
      <w:pPr>
        <w:jc w:val="both"/>
        <w:ind w:firstLine="445"/>
        <w:spacing w:after="0" w:line="288" w:lineRule="auto"/>
        <w:rPr>
          <w:sz w:val="20"/>
          <w:szCs w:val="20"/>
          <w:color w:val="auto"/>
        </w:rPr>
      </w:pPr>
      <w:r>
        <w:rPr>
          <w:rFonts w:ascii="Arial" w:cs="Arial" w:eastAsia="Arial" w:hAnsi="Arial"/>
          <w:sz w:val="18"/>
          <w:szCs w:val="18"/>
          <w:color w:val="auto"/>
        </w:rPr>
        <w:t xml:space="preserve">On April 16, 2024, the Company, as borrower, and certain of its subsidiaries, as guarantors, entered into the Eighth Amendment to the Second Amended and Restated Credit Agreement (the “Eighth Amendment”) with, among others, Citicorp North America, Inc., as administrative agent (the “Agent”) and as collateral agent, and certain financial institutions, as lenders, which amended the Company’s Second Amended and Restated Credit Agreement, dated as of June 30, 2016 (as amended, restated, supplemented and/or otherwise modified from time to time, the “Credit Agreement”), in order to (i) establish a new Term Loan Facility with borrowings of $875 million in aggregate principal amount (the “Existing Term Loan B Facility” and the loans thereunder, the “Existing Term Loans”) and (ii) make certain other modifications to the Credit Agreement as set forth therein. The proceeds from the Existing Term Loans were used to repay a portion of the Company’s Convertible Senior Notes, all of the Company's 3.750% senior secured first lien notes due 2024 and for general corporate purposes. For further discussion, see Item 15 — Note 12, </w:t>
      </w:r>
      <w:r>
        <w:rPr>
          <w:rFonts w:ascii="Arial" w:cs="Arial" w:eastAsia="Arial" w:hAnsi="Arial"/>
          <w:sz w:val="18"/>
          <w:szCs w:val="18"/>
          <w:b w:val="1"/>
          <w:bCs w:val="1"/>
          <w:i w:val="1"/>
          <w:iCs w:val="1"/>
          <w:color w:val="auto"/>
        </w:rPr>
        <w:t>Long-term Debt and Finance Leases.</w:t>
      </w:r>
    </w:p>
    <w:p>
      <w:pPr>
        <w:spacing w:after="0" w:line="59"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9"/>
          <w:szCs w:val="19"/>
          <w:color w:val="auto"/>
        </w:rPr>
        <w:t xml:space="preserve">On April 22, 2024, the Company, as borrower, and certain of its subsidiaries, as guarantors, entered into the Ninth Amendment to the Second Amended and Restated Credit Agreement (the “Ninth Amendment”) to the Credit Agreement to its Revolving Credit Facility to extend the maturity date of a portion of the revolving commitments thereunder to February 14, 2028. For further discussion, see Item 15 — Note 12, </w:t>
      </w:r>
      <w:r>
        <w:rPr>
          <w:rFonts w:ascii="Arial" w:cs="Arial" w:eastAsia="Arial" w:hAnsi="Arial"/>
          <w:sz w:val="19"/>
          <w:szCs w:val="19"/>
          <w:b w:val="1"/>
          <w:bCs w:val="1"/>
          <w:i w:val="1"/>
          <w:iCs w:val="1"/>
          <w:color w:val="auto"/>
        </w:rPr>
        <w:t>Long-term Debt and Finance Leases.</w:t>
      </w:r>
    </w:p>
    <w:p>
      <w:pPr>
        <w:spacing w:after="0" w:line="6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 xml:space="preserve">During the year ended December 31, 2024, the Company repurchased $343 million in aggregate principal amount of its Convertible Senior Notes, for $603 million, which included the payment of $3 million of accrued interest, using cash on hand and a portion of the proceeds from the Existing Term Loans. For the year ended December 31, 2024, a $260 million loss on debt extinguishment was recorded in connection with the repurchases. For further discussion, see Item 15 — Note 12, </w:t>
      </w:r>
      <w:r>
        <w:rPr>
          <w:rFonts w:ascii="Arial" w:cs="Arial" w:eastAsia="Arial" w:hAnsi="Arial"/>
          <w:sz w:val="20"/>
          <w:szCs w:val="20"/>
          <w:b w:val="1"/>
          <w:bCs w:val="1"/>
          <w:i w:val="1"/>
          <w:iCs w:val="1"/>
          <w:color w:val="auto"/>
        </w:rPr>
        <w:t>Long-term Debt and Finance Leases.</w:t>
      </w:r>
    </w:p>
    <w:p>
      <w:pPr>
        <w:spacing w:after="0" w:line="8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 xml:space="preserve">During the second quarter of 2024, the Company entered into privately negotiated capped call transactions with certain counterparties to effectively lock in a conversion premium of $257 million on the remaining $232 million of the Convertible Senior Notes. The option price of $257 million was incurred when the Company entered into the capped call transactions, which will be payable upon the earlier of settlement and expiration of the applicable Capped Call. For further discussion see Item 15 — Note 15, </w:t>
      </w:r>
      <w:r>
        <w:rPr>
          <w:rFonts w:ascii="Arial" w:cs="Arial" w:eastAsia="Arial" w:hAnsi="Arial"/>
          <w:sz w:val="20"/>
          <w:szCs w:val="20"/>
          <w:b w:val="1"/>
          <w:bCs w:val="1"/>
          <w:i w:val="1"/>
          <w:iCs w:val="1"/>
          <w:color w:val="auto"/>
        </w:rPr>
        <w:t>Capital Structure</w:t>
      </w:r>
      <w:r>
        <w:rPr>
          <w:rFonts w:ascii="Arial" w:cs="Arial" w:eastAsia="Arial" w:hAnsi="Arial"/>
          <w:sz w:val="20"/>
          <w:szCs w:val="20"/>
          <w:color w:val="auto"/>
        </w:rPr>
        <w:t>.</w:t>
      </w:r>
    </w:p>
    <w:p>
      <w:pPr>
        <w:spacing w:after="0" w:line="85" w:lineRule="exact"/>
        <w:rPr>
          <w:sz w:val="20"/>
          <w:szCs w:val="20"/>
          <w:color w:val="auto"/>
        </w:rPr>
      </w:pPr>
    </w:p>
    <w:p>
      <w:pPr>
        <w:jc w:val="both"/>
        <w:ind w:firstLine="445"/>
        <w:spacing w:after="0" w:line="358" w:lineRule="auto"/>
        <w:rPr>
          <w:sz w:val="20"/>
          <w:szCs w:val="20"/>
          <w:color w:val="auto"/>
        </w:rPr>
      </w:pPr>
      <w:r>
        <w:rPr>
          <w:rFonts w:ascii="Arial" w:cs="Arial" w:eastAsia="Arial" w:hAnsi="Arial"/>
          <w:sz w:val="16"/>
          <w:szCs w:val="16"/>
          <w:color w:val="auto"/>
        </w:rPr>
        <w:t xml:space="preserve">On June 21, 2024, NRG Receivables, amended its existing Receivables Facility to, among other things, (i) extend the scheduled termination date to June 20, 2025, (ii) increase the aggregate commitments from $1.4 billion to $2.3 billion (adjusted seasonally) and (iii) add a new originator. For further discussion, see Item 15 — Note 12, </w:t>
      </w:r>
      <w:r>
        <w:rPr>
          <w:rFonts w:ascii="Arial" w:cs="Arial" w:eastAsia="Arial" w:hAnsi="Arial"/>
          <w:sz w:val="16"/>
          <w:szCs w:val="16"/>
          <w:b w:val="1"/>
          <w:bCs w:val="1"/>
          <w:i w:val="1"/>
          <w:iCs w:val="1"/>
          <w:color w:val="auto"/>
        </w:rPr>
        <w:t>Long-term Debt and Finance Leases.</w:t>
      </w:r>
    </w:p>
    <w:p>
      <w:pPr>
        <w:spacing w:after="0" w:line="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During the second quarter of 2024, the Company repaid $600 million in aggregate principal amount of its 3.750% Senior Secured First Lien Notes due 2024.</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Debt Refinancing Transactions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In the fourth quarter of 2024, the Company entered into the following debt transactions: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080" w:type="dxa"/>
            <w:vAlign w:val="bottom"/>
            <w:tcBorders>
              <w:bottom w:val="single" w:sz="8" w:color="auto"/>
            </w:tcBorders>
          </w:tcPr>
          <w:p>
            <w:pPr>
              <w:ind w:left="2200"/>
              <w:spacing w:after="0"/>
              <w:rPr>
                <w:sz w:val="20"/>
                <w:szCs w:val="20"/>
                <w:color w:val="auto"/>
              </w:rPr>
            </w:pPr>
            <w:r>
              <w:rPr>
                <w:rFonts w:ascii="Arial" w:cs="Arial" w:eastAsia="Arial" w:hAnsi="Arial"/>
                <w:sz w:val="20"/>
                <w:szCs w:val="20"/>
                <w:b w:val="1"/>
                <w:bCs w:val="1"/>
                <w:color w:val="auto"/>
              </w:rPr>
              <w:t>Sources</w:t>
            </w:r>
          </w:p>
        </w:tc>
        <w:tc>
          <w:tcPr>
            <w:tcW w:w="19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20" w:type="dxa"/>
            <w:vAlign w:val="bottom"/>
            <w:tcBorders>
              <w:bottom w:val="single" w:sz="8" w:color="auto"/>
            </w:tcBorders>
          </w:tcPr>
          <w:p>
            <w:pPr>
              <w:ind w:left="2300"/>
              <w:spacing w:after="0"/>
              <w:rPr>
                <w:sz w:val="20"/>
                <w:szCs w:val="20"/>
                <w:color w:val="auto"/>
              </w:rPr>
            </w:pPr>
            <w:r>
              <w:rPr>
                <w:rFonts w:ascii="Arial" w:cs="Arial" w:eastAsia="Arial" w:hAnsi="Arial"/>
                <w:sz w:val="20"/>
                <w:szCs w:val="20"/>
                <w:b w:val="1"/>
                <w:bCs w:val="1"/>
                <w:color w:val="auto"/>
              </w:rPr>
              <w:t>Uses</w:t>
            </w:r>
          </w:p>
        </w:tc>
        <w:tc>
          <w:tcPr>
            <w:tcW w:w="20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080" w:type="dxa"/>
            <w:vAlign w:val="bottom"/>
          </w:tcPr>
          <w:p>
            <w:pPr>
              <w:ind w:left="60"/>
              <w:spacing w:after="0" w:line="209" w:lineRule="exact"/>
              <w:rPr>
                <w:sz w:val="20"/>
                <w:szCs w:val="20"/>
                <w:color w:val="auto"/>
              </w:rPr>
            </w:pPr>
            <w:r>
              <w:rPr>
                <w:rFonts w:ascii="Arial" w:cs="Arial" w:eastAsia="Arial" w:hAnsi="Arial"/>
                <w:sz w:val="20"/>
                <w:szCs w:val="20"/>
                <w:color w:val="auto"/>
                <w:w w:val="95"/>
              </w:rPr>
              <w:t>Issuance by NRG of 6.000% Senior</w:t>
            </w:r>
          </w:p>
        </w:tc>
        <w:tc>
          <w:tcPr>
            <w:tcW w:w="1980" w:type="dxa"/>
            <w:vAlign w:val="bottom"/>
            <w:vMerge w:val="restart"/>
          </w:tcPr>
          <w:p>
            <w:pPr>
              <w:jc w:val="right"/>
              <w:spacing w:after="0"/>
              <w:rPr>
                <w:sz w:val="20"/>
                <w:szCs w:val="20"/>
                <w:color w:val="auto"/>
              </w:rPr>
            </w:pPr>
            <w:r>
              <w:rPr>
                <w:rFonts w:ascii="Arial" w:cs="Arial" w:eastAsia="Arial" w:hAnsi="Arial"/>
                <w:sz w:val="20"/>
                <w:szCs w:val="20"/>
                <w:color w:val="auto"/>
              </w:rPr>
              <w:t>$925 million</w:t>
            </w:r>
          </w:p>
        </w:tc>
        <w:tc>
          <w:tcPr>
            <w:tcW w:w="100" w:type="dxa"/>
            <w:vAlign w:val="bottom"/>
          </w:tcPr>
          <w:p>
            <w:pPr>
              <w:spacing w:after="0"/>
              <w:rPr>
                <w:sz w:val="18"/>
                <w:szCs w:val="18"/>
                <w:color w:val="auto"/>
              </w:rPr>
            </w:pPr>
          </w:p>
        </w:tc>
        <w:tc>
          <w:tcPr>
            <w:tcW w:w="3020" w:type="dxa"/>
            <w:vAlign w:val="bottom"/>
          </w:tcPr>
          <w:p>
            <w:pPr>
              <w:ind w:left="40"/>
              <w:spacing w:after="0" w:line="209" w:lineRule="exact"/>
              <w:rPr>
                <w:sz w:val="20"/>
                <w:szCs w:val="20"/>
                <w:color w:val="auto"/>
              </w:rPr>
            </w:pPr>
            <w:r>
              <w:rPr>
                <w:rFonts w:ascii="Arial" w:cs="Arial" w:eastAsia="Arial" w:hAnsi="Arial"/>
                <w:sz w:val="20"/>
                <w:szCs w:val="20"/>
                <w:color w:val="auto"/>
              </w:rPr>
              <w:t>Repayment of the Vivint Senior</w:t>
            </w:r>
          </w:p>
        </w:tc>
        <w:tc>
          <w:tcPr>
            <w:tcW w:w="2000" w:type="dxa"/>
            <w:vAlign w:val="bottom"/>
            <w:tcBorders>
              <w:right w:val="single" w:sz="8" w:color="E6E6E6"/>
            </w:tcBorders>
            <w:vMerge w:val="restart"/>
          </w:tcPr>
          <w:p>
            <w:pPr>
              <w:jc w:val="right"/>
              <w:spacing w:after="0"/>
              <w:rPr>
                <w:sz w:val="20"/>
                <w:szCs w:val="20"/>
                <w:color w:val="auto"/>
              </w:rPr>
            </w:pPr>
            <w:r>
              <w:rPr>
                <w:rFonts w:ascii="Arial" w:cs="Arial" w:eastAsia="Arial" w:hAnsi="Arial"/>
                <w:sz w:val="20"/>
                <w:szCs w:val="20"/>
                <w:color w:val="auto"/>
              </w:rPr>
              <w:t>$1.310 billion</w:t>
            </w:r>
          </w:p>
        </w:tc>
        <w:tc>
          <w:tcPr>
            <w:tcW w:w="0" w:type="dxa"/>
            <w:vAlign w:val="bottom"/>
          </w:tcPr>
          <w:p>
            <w:pPr>
              <w:spacing w:after="0"/>
              <w:rPr>
                <w:sz w:val="1"/>
                <w:szCs w:val="1"/>
                <w:color w:val="auto"/>
              </w:rPr>
            </w:pPr>
          </w:p>
        </w:tc>
      </w:tr>
      <w:tr>
        <w:trPr>
          <w:trHeight w:val="270"/>
        </w:trPr>
        <w:tc>
          <w:tcPr>
            <w:tcW w:w="3080" w:type="dxa"/>
            <w:vAlign w:val="bottom"/>
          </w:tcPr>
          <w:p>
            <w:pPr>
              <w:ind w:left="60"/>
              <w:spacing w:after="0"/>
              <w:rPr>
                <w:sz w:val="20"/>
                <w:szCs w:val="20"/>
                <w:color w:val="auto"/>
              </w:rPr>
            </w:pPr>
            <w:r>
              <w:rPr>
                <w:rFonts w:ascii="Arial" w:cs="Arial" w:eastAsia="Arial" w:hAnsi="Arial"/>
                <w:sz w:val="20"/>
                <w:szCs w:val="20"/>
                <w:color w:val="auto"/>
                <w:w w:val="93"/>
              </w:rPr>
              <w:t xml:space="preserve">Notes due 2033 </w:t>
            </w:r>
            <w:r>
              <w:rPr>
                <w:rFonts w:ascii="Arial" w:cs="Arial" w:eastAsia="Arial" w:hAnsi="Arial"/>
                <w:sz w:val="20"/>
                <w:szCs w:val="20"/>
                <w:color w:val="B4B4B4"/>
                <w:w w:val="93"/>
              </w:rPr>
              <w:t>. . . . . . . . . . . . . . . .</w:t>
            </w:r>
          </w:p>
        </w:tc>
        <w:tc>
          <w:tcPr>
            <w:tcW w:w="19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3020" w:type="dxa"/>
            <w:vAlign w:val="bottom"/>
          </w:tcPr>
          <w:p>
            <w:pPr>
              <w:ind w:left="40"/>
              <w:spacing w:after="0"/>
              <w:rPr>
                <w:sz w:val="20"/>
                <w:szCs w:val="20"/>
                <w:color w:val="auto"/>
              </w:rPr>
            </w:pPr>
            <w:r>
              <w:rPr>
                <w:rFonts w:ascii="Arial" w:cs="Arial" w:eastAsia="Arial" w:hAnsi="Arial"/>
                <w:sz w:val="20"/>
                <w:szCs w:val="20"/>
                <w:color w:val="auto"/>
                <w:w w:val="96"/>
              </w:rPr>
              <w:t xml:space="preserve">Secured Term Loan B </w:t>
            </w:r>
            <w:r>
              <w:rPr>
                <w:rFonts w:ascii="Arial" w:cs="Arial" w:eastAsia="Arial" w:hAnsi="Arial"/>
                <w:sz w:val="20"/>
                <w:szCs w:val="20"/>
                <w:color w:val="B4B4B4"/>
                <w:w w:val="96"/>
              </w:rPr>
              <w:t>. . . . . . . . . .</w:t>
            </w:r>
          </w:p>
        </w:tc>
        <w:tc>
          <w:tcPr>
            <w:tcW w:w="2000" w:type="dxa"/>
            <w:vAlign w:val="bottom"/>
            <w:tcBorders>
              <w:right w:val="single" w:sz="8" w:color="E6E6E6"/>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80" w:type="dxa"/>
            <w:vAlign w:val="bottom"/>
            <w:vMerge w:val="restart"/>
          </w:tcPr>
          <w:p>
            <w:pPr>
              <w:ind w:left="60"/>
              <w:spacing w:after="0"/>
              <w:rPr>
                <w:sz w:val="20"/>
                <w:szCs w:val="20"/>
                <w:color w:val="auto"/>
              </w:rPr>
            </w:pPr>
            <w:r>
              <w:rPr>
                <w:rFonts w:ascii="Arial" w:cs="Arial" w:eastAsia="Arial" w:hAnsi="Arial"/>
                <w:sz w:val="20"/>
                <w:szCs w:val="20"/>
                <w:color w:val="auto"/>
                <w:w w:val="95"/>
              </w:rPr>
              <w:t>Issuance by NRG of 6.250% Senior</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tcPr>
          <w:p>
            <w:pPr>
              <w:ind w:left="40"/>
              <w:spacing w:after="0"/>
              <w:rPr>
                <w:sz w:val="20"/>
                <w:szCs w:val="20"/>
                <w:color w:val="auto"/>
              </w:rPr>
            </w:pPr>
            <w:r>
              <w:rPr>
                <w:rFonts w:ascii="Arial" w:cs="Arial" w:eastAsia="Arial" w:hAnsi="Arial"/>
                <w:sz w:val="20"/>
                <w:szCs w:val="20"/>
                <w:color w:val="auto"/>
              </w:rPr>
              <w:t>Cash tender offer for Vivint</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080" w:type="dxa"/>
            <w:vAlign w:val="bottom"/>
            <w:vMerge w:val="continue"/>
          </w:tcPr>
          <w:p>
            <w:pPr>
              <w:spacing w:after="0"/>
              <w:rPr>
                <w:sz w:val="17"/>
                <w:szCs w:val="17"/>
                <w:color w:val="auto"/>
              </w:rPr>
            </w:pPr>
          </w:p>
        </w:tc>
        <w:tc>
          <w:tcPr>
            <w:tcW w:w="1980" w:type="dxa"/>
            <w:vAlign w:val="bottom"/>
            <w:vMerge w:val="restart"/>
          </w:tcPr>
          <w:p>
            <w:pPr>
              <w:jc w:val="right"/>
              <w:spacing w:after="0"/>
              <w:rPr>
                <w:sz w:val="20"/>
                <w:szCs w:val="20"/>
                <w:color w:val="auto"/>
              </w:rPr>
            </w:pPr>
            <w:r>
              <w:rPr>
                <w:rFonts w:ascii="Arial" w:cs="Arial" w:eastAsia="Arial" w:hAnsi="Arial"/>
                <w:sz w:val="20"/>
                <w:szCs w:val="20"/>
                <w:color w:val="auto"/>
              </w:rPr>
              <w:t>$950 million</w:t>
            </w:r>
          </w:p>
        </w:tc>
        <w:tc>
          <w:tcPr>
            <w:tcW w:w="100" w:type="dxa"/>
            <w:vAlign w:val="bottom"/>
          </w:tcPr>
          <w:p>
            <w:pPr>
              <w:spacing w:after="0"/>
              <w:rPr>
                <w:sz w:val="17"/>
                <w:szCs w:val="17"/>
                <w:color w:val="auto"/>
              </w:rPr>
            </w:pPr>
          </w:p>
        </w:tc>
        <w:tc>
          <w:tcPr>
            <w:tcW w:w="3020" w:type="dxa"/>
            <w:vAlign w:val="bottom"/>
          </w:tcPr>
          <w:p>
            <w:pPr>
              <w:ind w:left="40"/>
              <w:spacing w:after="0" w:line="198" w:lineRule="exact"/>
              <w:rPr>
                <w:sz w:val="20"/>
                <w:szCs w:val="20"/>
                <w:color w:val="auto"/>
              </w:rPr>
            </w:pPr>
            <w:r>
              <w:rPr>
                <w:rFonts w:ascii="Arial" w:cs="Arial" w:eastAsia="Arial" w:hAnsi="Arial"/>
                <w:sz w:val="20"/>
                <w:szCs w:val="20"/>
                <w:color w:val="auto"/>
                <w:w w:val="96"/>
              </w:rPr>
              <w:t>6.750% Senior Secured Notes due</w:t>
            </w: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$600 million</w:t>
            </w:r>
          </w:p>
        </w:tc>
        <w:tc>
          <w:tcPr>
            <w:tcW w:w="0" w:type="dxa"/>
            <w:vAlign w:val="bottom"/>
          </w:tcPr>
          <w:p>
            <w:pPr>
              <w:spacing w:after="0"/>
              <w:rPr>
                <w:sz w:val="1"/>
                <w:szCs w:val="1"/>
                <w:color w:val="auto"/>
              </w:rPr>
            </w:pPr>
          </w:p>
        </w:tc>
      </w:tr>
      <w:tr>
        <w:trPr>
          <w:trHeight w:val="270"/>
        </w:trPr>
        <w:tc>
          <w:tcPr>
            <w:tcW w:w="3080" w:type="dxa"/>
            <w:vAlign w:val="bottom"/>
          </w:tcPr>
          <w:p>
            <w:pPr>
              <w:ind w:left="60"/>
              <w:spacing w:after="0"/>
              <w:rPr>
                <w:sz w:val="20"/>
                <w:szCs w:val="20"/>
                <w:color w:val="auto"/>
              </w:rPr>
            </w:pPr>
            <w:r>
              <w:rPr>
                <w:rFonts w:ascii="Arial" w:cs="Arial" w:eastAsia="Arial" w:hAnsi="Arial"/>
                <w:sz w:val="20"/>
                <w:szCs w:val="20"/>
                <w:color w:val="auto"/>
                <w:w w:val="93"/>
              </w:rPr>
              <w:t xml:space="preserve">Notes due 2034 </w:t>
            </w:r>
            <w:r>
              <w:rPr>
                <w:rFonts w:ascii="Arial" w:cs="Arial" w:eastAsia="Arial" w:hAnsi="Arial"/>
                <w:sz w:val="20"/>
                <w:szCs w:val="20"/>
                <w:color w:val="B4B4B4"/>
                <w:w w:val="93"/>
              </w:rPr>
              <w:t>. . . . . . . . . . . . . . . .</w:t>
            </w:r>
          </w:p>
        </w:tc>
        <w:tc>
          <w:tcPr>
            <w:tcW w:w="19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3020" w:type="dxa"/>
            <w:vAlign w:val="bottom"/>
          </w:tcPr>
          <w:p>
            <w:pPr>
              <w:ind w:left="40"/>
              <w:spacing w:after="0" w:line="270" w:lineRule="exact"/>
              <w:rPr>
                <w:sz w:val="20"/>
                <w:szCs w:val="20"/>
                <w:color w:val="auto"/>
              </w:rPr>
            </w:pPr>
            <w:r>
              <w:rPr>
                <w:rFonts w:ascii="Arial" w:cs="Arial" w:eastAsia="Arial" w:hAnsi="Arial"/>
                <w:sz w:val="20"/>
                <w:szCs w:val="20"/>
                <w:color w:val="auto"/>
                <w:w w:val="92"/>
              </w:rPr>
              <w:t>2027</w:t>
            </w:r>
            <w:r>
              <w:rPr>
                <w:rFonts w:ascii="Arial" w:cs="Arial" w:eastAsia="Arial" w:hAnsi="Arial"/>
                <w:sz w:val="25"/>
                <w:szCs w:val="25"/>
                <w:color w:val="auto"/>
                <w:w w:val="92"/>
                <w:vertAlign w:val="superscript"/>
              </w:rPr>
              <w:t>(a)</w:t>
            </w:r>
            <w:r>
              <w:rPr>
                <w:rFonts w:ascii="Arial" w:cs="Arial" w:eastAsia="Arial" w:hAnsi="Arial"/>
                <w:sz w:val="20"/>
                <w:szCs w:val="20"/>
                <w:color w:val="auto"/>
                <w:w w:val="92"/>
              </w:rPr>
              <w:t xml:space="preserve"> </w:t>
            </w:r>
            <w:r>
              <w:rPr>
                <w:rFonts w:ascii="Arial" w:cs="Arial" w:eastAsia="Arial" w:hAnsi="Arial"/>
                <w:sz w:val="20"/>
                <w:szCs w:val="20"/>
                <w:color w:val="B4B4B4"/>
                <w:w w:val="92"/>
              </w:rPr>
              <w:t>. . . . . . . . . . . . . . . . . . . . . . .</w:t>
            </w:r>
          </w:p>
        </w:tc>
        <w:tc>
          <w:tcPr>
            <w:tcW w:w="20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60"/>
              <w:spacing w:after="0" w:line="220" w:lineRule="exact"/>
              <w:rPr>
                <w:sz w:val="20"/>
                <w:szCs w:val="20"/>
                <w:color w:val="auto"/>
              </w:rPr>
            </w:pPr>
            <w:r>
              <w:rPr>
                <w:rFonts w:ascii="Arial" w:cs="Arial" w:eastAsia="Arial" w:hAnsi="Arial"/>
                <w:sz w:val="20"/>
                <w:szCs w:val="20"/>
                <w:color w:val="auto"/>
              </w:rPr>
              <w:t>Exchange offer for New NRG</w:t>
            </w:r>
          </w:p>
        </w:tc>
        <w:tc>
          <w:tcPr>
            <w:tcW w:w="1980" w:type="dxa"/>
            <w:vAlign w:val="bottom"/>
            <w:vMerge w:val="restart"/>
          </w:tcPr>
          <w:p>
            <w:pPr>
              <w:jc w:val="right"/>
              <w:spacing w:after="0"/>
              <w:rPr>
                <w:sz w:val="20"/>
                <w:szCs w:val="20"/>
                <w:color w:val="auto"/>
              </w:rPr>
            </w:pPr>
            <w:r>
              <w:rPr>
                <w:rFonts w:ascii="Arial" w:cs="Arial" w:eastAsia="Arial" w:hAnsi="Arial"/>
                <w:sz w:val="20"/>
                <w:szCs w:val="20"/>
                <w:color w:val="auto"/>
              </w:rPr>
              <w:t>$798 million</w:t>
            </w:r>
          </w:p>
        </w:tc>
        <w:tc>
          <w:tcPr>
            <w:tcW w:w="100" w:type="dxa"/>
            <w:vAlign w:val="bottom"/>
          </w:tcPr>
          <w:p>
            <w:pPr>
              <w:spacing w:after="0"/>
              <w:rPr>
                <w:sz w:val="19"/>
                <w:szCs w:val="19"/>
                <w:color w:val="auto"/>
              </w:rPr>
            </w:pPr>
          </w:p>
        </w:tc>
        <w:tc>
          <w:tcPr>
            <w:tcW w:w="3020" w:type="dxa"/>
            <w:vAlign w:val="bottom"/>
          </w:tcPr>
          <w:p>
            <w:pPr>
              <w:ind w:left="40"/>
              <w:spacing w:after="0" w:line="220" w:lineRule="exact"/>
              <w:rPr>
                <w:sz w:val="20"/>
                <w:szCs w:val="20"/>
                <w:color w:val="auto"/>
              </w:rPr>
            </w:pPr>
            <w:r>
              <w:rPr>
                <w:rFonts w:ascii="Arial" w:cs="Arial" w:eastAsia="Arial" w:hAnsi="Arial"/>
                <w:sz w:val="20"/>
                <w:szCs w:val="20"/>
                <w:color w:val="auto"/>
              </w:rPr>
              <w:t>Exchange offer for Vivint 5.750%</w:t>
            </w:r>
          </w:p>
        </w:tc>
        <w:tc>
          <w:tcPr>
            <w:tcW w:w="2000" w:type="dxa"/>
            <w:vAlign w:val="bottom"/>
            <w:tcBorders>
              <w:right w:val="single" w:sz="8" w:color="E6E6E6"/>
            </w:tcBorders>
            <w:vMerge w:val="restart"/>
          </w:tcPr>
          <w:p>
            <w:pPr>
              <w:jc w:val="right"/>
              <w:spacing w:after="0"/>
              <w:rPr>
                <w:sz w:val="20"/>
                <w:szCs w:val="20"/>
                <w:color w:val="auto"/>
              </w:rPr>
            </w:pPr>
            <w:r>
              <w:rPr>
                <w:rFonts w:ascii="Arial" w:cs="Arial" w:eastAsia="Arial" w:hAnsi="Arial"/>
                <w:sz w:val="20"/>
                <w:szCs w:val="20"/>
                <w:color w:val="auto"/>
              </w:rPr>
              <w:t>$798 million</w:t>
            </w:r>
          </w:p>
        </w:tc>
        <w:tc>
          <w:tcPr>
            <w:tcW w:w="0" w:type="dxa"/>
            <w:vAlign w:val="bottom"/>
          </w:tcPr>
          <w:p>
            <w:pPr>
              <w:spacing w:after="0"/>
              <w:rPr>
                <w:sz w:val="1"/>
                <w:szCs w:val="1"/>
                <w:color w:val="auto"/>
              </w:rPr>
            </w:pPr>
          </w:p>
        </w:tc>
      </w:tr>
      <w:tr>
        <w:trPr>
          <w:trHeight w:val="270"/>
        </w:trPr>
        <w:tc>
          <w:tcPr>
            <w:tcW w:w="3080" w:type="dxa"/>
            <w:vAlign w:val="bottom"/>
          </w:tcPr>
          <w:p>
            <w:pPr>
              <w:ind w:left="60"/>
              <w:spacing w:after="0"/>
              <w:rPr>
                <w:sz w:val="20"/>
                <w:szCs w:val="20"/>
                <w:color w:val="auto"/>
              </w:rPr>
            </w:pPr>
            <w:r>
              <w:rPr>
                <w:rFonts w:ascii="Arial" w:cs="Arial" w:eastAsia="Arial" w:hAnsi="Arial"/>
                <w:sz w:val="20"/>
                <w:szCs w:val="20"/>
                <w:color w:val="auto"/>
                <w:w w:val="93"/>
              </w:rPr>
              <w:t xml:space="preserve">5.750% Senior Notes due 2029 </w:t>
            </w:r>
            <w:r>
              <w:rPr>
                <w:rFonts w:ascii="Arial" w:cs="Arial" w:eastAsia="Arial" w:hAnsi="Arial"/>
                <w:sz w:val="20"/>
                <w:szCs w:val="20"/>
                <w:color w:val="B4B4B4"/>
                <w:w w:val="93"/>
              </w:rPr>
              <w:t>. . . .</w:t>
            </w:r>
          </w:p>
        </w:tc>
        <w:tc>
          <w:tcPr>
            <w:tcW w:w="19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3020" w:type="dxa"/>
            <w:vAlign w:val="bottom"/>
          </w:tcPr>
          <w:p>
            <w:pPr>
              <w:ind w:left="40"/>
              <w:spacing w:after="0" w:line="270" w:lineRule="exact"/>
              <w:rPr>
                <w:sz w:val="20"/>
                <w:szCs w:val="20"/>
                <w:color w:val="auto"/>
              </w:rPr>
            </w:pPr>
            <w:r>
              <w:rPr>
                <w:rFonts w:ascii="Arial" w:cs="Arial" w:eastAsia="Arial" w:hAnsi="Arial"/>
                <w:sz w:val="20"/>
                <w:szCs w:val="20"/>
                <w:color w:val="auto"/>
                <w:w w:val="92"/>
              </w:rPr>
              <w:t>Senior Notes due 2029</w:t>
            </w:r>
            <w:r>
              <w:rPr>
                <w:rFonts w:ascii="Arial" w:cs="Arial" w:eastAsia="Arial" w:hAnsi="Arial"/>
                <w:sz w:val="25"/>
                <w:szCs w:val="25"/>
                <w:color w:val="auto"/>
                <w:w w:val="92"/>
                <w:vertAlign w:val="superscript"/>
              </w:rPr>
              <w:t>(b)</w:t>
            </w:r>
            <w:r>
              <w:rPr>
                <w:rFonts w:ascii="Arial" w:cs="Arial" w:eastAsia="Arial" w:hAnsi="Arial"/>
                <w:sz w:val="20"/>
                <w:szCs w:val="20"/>
                <w:color w:val="auto"/>
                <w:w w:val="92"/>
              </w:rPr>
              <w:t xml:space="preserve">  </w:t>
            </w:r>
            <w:r>
              <w:rPr>
                <w:rFonts w:ascii="Arial" w:cs="Arial" w:eastAsia="Arial" w:hAnsi="Arial"/>
                <w:sz w:val="20"/>
                <w:szCs w:val="20"/>
                <w:color w:val="B4B4B4"/>
                <w:w w:val="92"/>
              </w:rPr>
              <w:t>. . . . . . . .</w:t>
            </w:r>
          </w:p>
        </w:tc>
        <w:tc>
          <w:tcPr>
            <w:tcW w:w="2000" w:type="dxa"/>
            <w:vAlign w:val="bottom"/>
            <w:tcBorders>
              <w:right w:val="single" w:sz="8" w:color="E6E6E6"/>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60"/>
              <w:spacing w:after="0" w:line="220" w:lineRule="exact"/>
              <w:rPr>
                <w:sz w:val="20"/>
                <w:szCs w:val="20"/>
                <w:color w:val="auto"/>
              </w:rPr>
            </w:pPr>
            <w:r>
              <w:rPr>
                <w:rFonts w:ascii="Arial" w:cs="Arial" w:eastAsia="Arial" w:hAnsi="Arial"/>
                <w:sz w:val="20"/>
                <w:szCs w:val="20"/>
                <w:color w:val="auto"/>
                <w:w w:val="95"/>
              </w:rPr>
              <w:t>Incremental Term Loan B issued by</w:t>
            </w:r>
          </w:p>
        </w:tc>
        <w:tc>
          <w:tcPr>
            <w:tcW w:w="1980" w:type="dxa"/>
            <w:vAlign w:val="bottom"/>
            <w:vMerge w:val="restart"/>
          </w:tcPr>
          <w:p>
            <w:pPr>
              <w:jc w:val="right"/>
              <w:spacing w:after="0"/>
              <w:rPr>
                <w:sz w:val="20"/>
                <w:szCs w:val="20"/>
                <w:color w:val="auto"/>
              </w:rPr>
            </w:pPr>
            <w:r>
              <w:rPr>
                <w:rFonts w:ascii="Arial" w:cs="Arial" w:eastAsia="Arial" w:hAnsi="Arial"/>
                <w:sz w:val="20"/>
                <w:szCs w:val="20"/>
                <w:color w:val="auto"/>
              </w:rPr>
              <w:t>$450 million</w:t>
            </w:r>
          </w:p>
        </w:tc>
        <w:tc>
          <w:tcPr>
            <w:tcW w:w="100" w:type="dxa"/>
            <w:vAlign w:val="bottom"/>
          </w:tcPr>
          <w:p>
            <w:pPr>
              <w:spacing w:after="0"/>
              <w:rPr>
                <w:sz w:val="19"/>
                <w:szCs w:val="19"/>
                <w:color w:val="auto"/>
              </w:rPr>
            </w:pPr>
          </w:p>
        </w:tc>
        <w:tc>
          <w:tcPr>
            <w:tcW w:w="3020" w:type="dxa"/>
            <w:vAlign w:val="bottom"/>
          </w:tcPr>
          <w:p>
            <w:pPr>
              <w:ind w:left="40"/>
              <w:spacing w:after="0" w:line="220" w:lineRule="exact"/>
              <w:rPr>
                <w:sz w:val="20"/>
                <w:szCs w:val="20"/>
                <w:color w:val="auto"/>
              </w:rPr>
            </w:pPr>
            <w:r>
              <w:rPr>
                <w:rFonts w:ascii="Arial" w:cs="Arial" w:eastAsia="Arial" w:hAnsi="Arial"/>
                <w:sz w:val="20"/>
                <w:szCs w:val="20"/>
                <w:color w:val="auto"/>
                <w:w w:val="95"/>
              </w:rPr>
              <w:t>Repayment of NRG 6.625% Senior</w:t>
            </w: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$375 million</w:t>
            </w:r>
          </w:p>
        </w:tc>
        <w:tc>
          <w:tcPr>
            <w:tcW w:w="0" w:type="dxa"/>
            <w:vAlign w:val="bottom"/>
          </w:tcPr>
          <w:p>
            <w:pPr>
              <w:spacing w:after="0"/>
              <w:rPr>
                <w:sz w:val="1"/>
                <w:szCs w:val="1"/>
                <w:color w:val="auto"/>
              </w:rPr>
            </w:pPr>
          </w:p>
        </w:tc>
      </w:tr>
      <w:tr>
        <w:trPr>
          <w:trHeight w:val="258"/>
        </w:trPr>
        <w:tc>
          <w:tcPr>
            <w:tcW w:w="3080" w:type="dxa"/>
            <w:vAlign w:val="bottom"/>
          </w:tcPr>
          <w:p>
            <w:pPr>
              <w:ind w:left="60"/>
              <w:spacing w:after="0"/>
              <w:rPr>
                <w:sz w:val="20"/>
                <w:szCs w:val="20"/>
                <w:color w:val="auto"/>
              </w:rPr>
            </w:pPr>
            <w:r>
              <w:rPr>
                <w:rFonts w:ascii="Arial" w:cs="Arial" w:eastAsia="Arial" w:hAnsi="Arial"/>
                <w:sz w:val="20"/>
                <w:szCs w:val="20"/>
                <w:color w:val="auto"/>
                <w:w w:val="96"/>
              </w:rPr>
              <w:t xml:space="preserve">NRG </w:t>
            </w:r>
            <w:r>
              <w:rPr>
                <w:rFonts w:ascii="Arial" w:cs="Arial" w:eastAsia="Arial" w:hAnsi="Arial"/>
                <w:sz w:val="20"/>
                <w:szCs w:val="20"/>
                <w:color w:val="B4B4B4"/>
                <w:w w:val="96"/>
              </w:rPr>
              <w:t>. . . . . . . . . . . . . . . . . . . . . . . .</w:t>
            </w:r>
          </w:p>
        </w:tc>
        <w:tc>
          <w:tcPr>
            <w:tcW w:w="19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3020" w:type="dxa"/>
            <w:vAlign w:val="bottom"/>
          </w:tcPr>
          <w:p>
            <w:pPr>
              <w:ind w:left="40"/>
              <w:spacing w:after="0"/>
              <w:rPr>
                <w:sz w:val="20"/>
                <w:szCs w:val="20"/>
                <w:color w:val="auto"/>
              </w:rPr>
            </w:pPr>
            <w:r>
              <w:rPr>
                <w:rFonts w:ascii="Arial" w:cs="Arial" w:eastAsia="Arial" w:hAnsi="Arial"/>
                <w:sz w:val="20"/>
                <w:szCs w:val="20"/>
                <w:color w:val="auto"/>
                <w:w w:val="94"/>
              </w:rPr>
              <w:t xml:space="preserve">Notes due 2027  </w:t>
            </w:r>
            <w:r>
              <w:rPr>
                <w:rFonts w:ascii="Arial" w:cs="Arial" w:eastAsia="Arial" w:hAnsi="Arial"/>
                <w:sz w:val="20"/>
                <w:szCs w:val="20"/>
                <w:color w:val="B4B4B4"/>
                <w:w w:val="94"/>
              </w:rPr>
              <w:t>. . . . . . . . . . . . . . .</w:t>
            </w:r>
          </w:p>
        </w:tc>
        <w:tc>
          <w:tcPr>
            <w:tcW w:w="2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0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tcPr>
          <w:p>
            <w:pPr>
              <w:ind w:left="40"/>
              <w:spacing w:after="0"/>
              <w:rPr>
                <w:sz w:val="20"/>
                <w:szCs w:val="20"/>
                <w:color w:val="auto"/>
              </w:rPr>
            </w:pPr>
            <w:r>
              <w:rPr>
                <w:rFonts w:ascii="Arial" w:cs="Arial" w:eastAsia="Arial" w:hAnsi="Arial"/>
                <w:sz w:val="20"/>
                <w:szCs w:val="20"/>
                <w:color w:val="auto"/>
              </w:rPr>
              <w:t>Transactions fees, expenses and</w:t>
            </w:r>
          </w:p>
        </w:tc>
        <w:tc>
          <w:tcPr>
            <w:tcW w:w="2000" w:type="dxa"/>
            <w:vAlign w:val="bottom"/>
            <w:tcBorders>
              <w:right w:val="single" w:sz="8" w:color="E6E6E6"/>
            </w:tcBorders>
            <w:vMerge w:val="restart"/>
          </w:tcPr>
          <w:p>
            <w:pPr>
              <w:jc w:val="right"/>
              <w:spacing w:after="0"/>
              <w:rPr>
                <w:sz w:val="20"/>
                <w:szCs w:val="20"/>
                <w:color w:val="auto"/>
              </w:rPr>
            </w:pPr>
            <w:r>
              <w:rPr>
                <w:rFonts w:ascii="Arial" w:cs="Arial" w:eastAsia="Arial" w:hAnsi="Arial"/>
                <w:sz w:val="20"/>
                <w:szCs w:val="20"/>
                <w:color w:val="auto"/>
              </w:rPr>
              <w:t>$40 million</w:t>
            </w:r>
          </w:p>
        </w:tc>
        <w:tc>
          <w:tcPr>
            <w:tcW w:w="0" w:type="dxa"/>
            <w:vAlign w:val="bottom"/>
          </w:tcPr>
          <w:p>
            <w:pPr>
              <w:spacing w:after="0"/>
              <w:rPr>
                <w:sz w:val="1"/>
                <w:szCs w:val="1"/>
                <w:color w:val="auto"/>
              </w:rPr>
            </w:pPr>
          </w:p>
        </w:tc>
      </w:tr>
      <w:tr>
        <w:trPr>
          <w:trHeight w:val="260"/>
        </w:trPr>
        <w:tc>
          <w:tcPr>
            <w:tcW w:w="3080" w:type="dxa"/>
            <w:vAlign w:val="bottom"/>
          </w:tcPr>
          <w:p>
            <w:pPr>
              <w:spacing w:after="0"/>
              <w:rPr>
                <w:sz w:val="22"/>
                <w:szCs w:val="22"/>
                <w:color w:val="auto"/>
              </w:rPr>
            </w:pPr>
          </w:p>
        </w:tc>
        <w:tc>
          <w:tcPr>
            <w:tcW w:w="1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20" w:type="dxa"/>
            <w:vAlign w:val="bottom"/>
          </w:tcPr>
          <w:p>
            <w:pPr>
              <w:ind w:left="40"/>
              <w:spacing w:after="0"/>
              <w:rPr>
                <w:sz w:val="20"/>
                <w:szCs w:val="20"/>
                <w:color w:val="auto"/>
              </w:rPr>
            </w:pPr>
            <w:r>
              <w:rPr>
                <w:rFonts w:ascii="Arial" w:cs="Arial" w:eastAsia="Arial" w:hAnsi="Arial"/>
                <w:sz w:val="20"/>
                <w:szCs w:val="20"/>
                <w:color w:val="auto"/>
                <w:w w:val="95"/>
              </w:rPr>
              <w:t xml:space="preserve">premiums </w:t>
            </w:r>
            <w:r>
              <w:rPr>
                <w:rFonts w:ascii="Arial" w:cs="Arial" w:eastAsia="Arial" w:hAnsi="Arial"/>
                <w:sz w:val="20"/>
                <w:szCs w:val="20"/>
                <w:color w:val="B4B4B4"/>
                <w:w w:val="95"/>
              </w:rPr>
              <w:t>. . . . . . . . . . . . . . . . . . . .</w:t>
            </w:r>
          </w:p>
        </w:tc>
        <w:tc>
          <w:tcPr>
            <w:tcW w:w="2000" w:type="dxa"/>
            <w:vAlign w:val="bottom"/>
            <w:tcBorders>
              <w:bottom w:val="single" w:sz="8" w:color="auto"/>
              <w:right w:val="single" w:sz="8" w:color="E6E6E6"/>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80" w:type="dxa"/>
            <w:vAlign w:val="bottom"/>
          </w:tcPr>
          <w:p>
            <w:pPr>
              <w:ind w:left="2460"/>
              <w:spacing w:after="0"/>
              <w:rPr>
                <w:sz w:val="20"/>
                <w:szCs w:val="20"/>
                <w:color w:val="auto"/>
              </w:rPr>
            </w:pPr>
            <w:r>
              <w:rPr>
                <w:rFonts w:ascii="Arial" w:cs="Arial" w:eastAsia="Arial" w:hAnsi="Arial"/>
                <w:sz w:val="20"/>
                <w:szCs w:val="20"/>
                <w:b w:val="1"/>
                <w:bCs w:val="1"/>
                <w:color w:val="auto"/>
              </w:rPr>
              <w:t>Total</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$3.123 billion</w:t>
            </w:r>
          </w:p>
        </w:tc>
        <w:tc>
          <w:tcPr>
            <w:tcW w:w="100" w:type="dxa"/>
            <w:vAlign w:val="bottom"/>
          </w:tcPr>
          <w:p>
            <w:pPr>
              <w:spacing w:after="0"/>
              <w:rPr>
                <w:sz w:val="22"/>
                <w:szCs w:val="22"/>
                <w:color w:val="auto"/>
              </w:rPr>
            </w:pPr>
          </w:p>
        </w:tc>
        <w:tc>
          <w:tcPr>
            <w:tcW w:w="3020" w:type="dxa"/>
            <w:vAlign w:val="bottom"/>
          </w:tcPr>
          <w:p>
            <w:pPr>
              <w:ind w:left="2420"/>
              <w:spacing w:after="0"/>
              <w:rPr>
                <w:sz w:val="20"/>
                <w:szCs w:val="20"/>
                <w:color w:val="auto"/>
              </w:rPr>
            </w:pPr>
            <w:r>
              <w:rPr>
                <w:rFonts w:ascii="Arial" w:cs="Arial" w:eastAsia="Arial" w:hAnsi="Arial"/>
                <w:sz w:val="20"/>
                <w:szCs w:val="20"/>
                <w:b w:val="1"/>
                <w:bCs w:val="1"/>
                <w:color w:val="auto"/>
              </w:rPr>
              <w:t>Total</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$3.123 billion</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-1907540</wp:posOffset>
            </wp:positionV>
            <wp:extent cx="6475095" cy="1914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extLst>
                    </a:blip>
                    <a:srcRect/>
                    <a:stretch>
                      <a:fillRect/>
                    </a:stretch>
                  </pic:blipFill>
                  <pic:spPr bwMode="auto">
                    <a:xfrm>
                      <a:off x="0" y="0"/>
                      <a:ext cx="6475095" cy="1914525"/>
                    </a:xfrm>
                    <a:prstGeom prst="rect">
                      <a:avLst/>
                    </a:prstGeom>
                    <a:noFill/>
                  </pic:spPr>
                </pic:pic>
              </a:graphicData>
            </a:graphic>
          </wp:anchor>
        </w:drawing>
      </w:r>
    </w:p>
    <w:p>
      <w:pPr>
        <w:ind w:left="440" w:hanging="439"/>
        <w:spacing w:after="0" w:line="296" w:lineRule="auto"/>
        <w:tabs>
          <w:tab w:leader="none" w:pos="4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On October 15, 2024, APX Group, Inc. launched the Cash Tender Offer for the Vivint 6.750% Senior Secured Notes due 2027 and on October 30, 2024, delivered a notice of redemption with respect to the $11 million of the Vivint 6.750% Senior Secured Notes due 2027 that remained outstanding</w:t>
      </w:r>
    </w:p>
    <w:p>
      <w:pPr>
        <w:jc w:val="both"/>
        <w:ind w:left="440" w:hanging="439"/>
        <w:spacing w:after="0" w:line="251" w:lineRule="auto"/>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October 15, 2024, APX Group, Inc. launched an Exchange Offer for the Vivint 5.750% Senior Notes due 2029 and on November 4, 2024, delivered a notice of redemption with respect to the $2 million of the Vivint 5.750% Senior Notes due 2029 that remained outstanding following the Exchange Offer</w:t>
      </w:r>
    </w:p>
    <w:p>
      <w:pPr>
        <w:spacing w:after="0" w:line="83"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9"/>
          <w:szCs w:val="19"/>
          <w:color w:val="auto"/>
        </w:rPr>
        <w:t>As part of the above transactions, the Company entered into the Tenth and Eleventh Amendments to the Second Amended and Restated Credit Agreement (the “Tenth and Eleventh Amendments”) to the Credit Agreement to (i) include an incremental term loan B in an aggregate principal amount of $450 million (the “Incremental Term Loan B Facility” and the loans thereunder, the “Incremental Term Loans”), (ii) extend the maturity date of its revolving credit facility to October 30, 2029 and (iii) make certain other amendments to the Credit Agreement.</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880" w:h="15480" w:orient="portrait"/>
          <w:cols w:equalWidth="0" w:num="1">
            <w:col w:w="10160"/>
          </w:cols>
          <w:pgMar w:left="860" w:top="512" w:right="860" w:bottom="0" w:gutter="0" w:footer="0" w:header="0"/>
          <w:type w:val="continuous"/>
        </w:sectPr>
      </w:pPr>
    </w:p>
    <w:bookmarkStart w:id="51" w:name="page52"/>
    <w:bookmarkEnd w:id="51"/>
    <w:p>
      <w:pPr>
        <w:jc w:val="both"/>
        <w:ind w:firstLine="445"/>
        <w:spacing w:after="0" w:line="257" w:lineRule="auto"/>
        <w:rPr>
          <w:sz w:val="20"/>
          <w:szCs w:val="20"/>
          <w:color w:val="auto"/>
        </w:rPr>
      </w:pPr>
      <w:r>
        <w:rPr>
          <w:rFonts w:ascii="Arial" w:cs="Arial" w:eastAsia="Arial" w:hAnsi="Arial"/>
          <w:sz w:val="20"/>
          <w:szCs w:val="20"/>
          <w:color w:val="auto"/>
        </w:rPr>
        <w:t>On November 26, 2024, the Company, as borrower, entered into the Twelfth Amendment to the Second Amended and Restated Credit Agreement (the “Twelfth Amendment”) to the Credit Agreement to (i) reprice both the Existing Term Loan B Facility and the Incremental Term Loan B Facility and (ii) make certain other modifications to the Credit Agreement as set forth therein.</w:t>
      </w:r>
    </w:p>
    <w:p>
      <w:pPr>
        <w:spacing w:after="0" w:line="8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On December 20, 2024, the Company, as borrower, entered into the Thirteenth Amendment to the Second Amended and Restated Credit Agreement (the “Thirteenth Amendment”) to the Credit Agreement to (i) add APX Group, Inc. as an additional borrower of the loans under the Credit Agreement on a joint and several basis with the Company and (ii) make certain other modifications to the Credit Agreement as set forth therein.</w:t>
      </w:r>
    </w:p>
    <w:p>
      <w:pPr>
        <w:spacing w:after="0" w:line="84" w:lineRule="exact"/>
        <w:rPr>
          <w:sz w:val="20"/>
          <w:szCs w:val="20"/>
          <w:color w:val="auto"/>
        </w:rPr>
      </w:pPr>
    </w:p>
    <w:p>
      <w:pPr>
        <w:jc w:val="both"/>
        <w:ind w:firstLine="445"/>
        <w:spacing w:after="0" w:line="305" w:lineRule="auto"/>
        <w:rPr>
          <w:sz w:val="20"/>
          <w:szCs w:val="20"/>
          <w:color w:val="auto"/>
        </w:rPr>
      </w:pPr>
      <w:r>
        <w:rPr>
          <w:rFonts w:ascii="Arial" w:cs="Arial" w:eastAsia="Arial" w:hAnsi="Arial"/>
          <w:sz w:val="18"/>
          <w:szCs w:val="18"/>
          <w:color w:val="auto"/>
        </w:rPr>
        <w:t xml:space="preserve">In connection with the above transactions, a $122 million loss on debt extinguishment was recorded, which included the write-off of discounts and previously deferred financing costs and other fees. For further discussion on these amendments and the debt transactions in the table above, see Item 15 — Note 12, </w:t>
      </w:r>
      <w:r>
        <w:rPr>
          <w:rFonts w:ascii="Arial" w:cs="Arial" w:eastAsia="Arial" w:hAnsi="Arial"/>
          <w:sz w:val="18"/>
          <w:szCs w:val="18"/>
          <w:b w:val="1"/>
          <w:bCs w:val="1"/>
          <w:i w:val="1"/>
          <w:iCs w:val="1"/>
          <w:color w:val="auto"/>
        </w:rPr>
        <w:t>Long-term Debt and Finance Leases.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Operations</w:t>
      </w:r>
    </w:p>
    <w:p>
      <w:pPr>
        <w:spacing w:after="0" w:line="13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In 2024, NRG entered into a definitive partnership agreement with Renew Home, a VPP platform formed by the combination of Google’s Nest Renew and OhmConnect. Leveraging Google Cloud’s AI and cloud platforms, NRG and Renew Home plan to develop a VPP portfolio of up to 1 GW of load management capacity, with instantaneous dispatch value during peak events and tight supply conditions.</w:t>
      </w:r>
    </w:p>
    <w:p>
      <w:pPr>
        <w:spacing w:after="0" w:line="84"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8"/>
          <w:szCs w:val="18"/>
          <w:color w:val="auto"/>
        </w:rPr>
        <w:t>The Company's strategy is to procure mid to long-term renewable generation through power purchase agreements. NRG has entered into Renewable PPAs totaling approximately 1.9 GW with third-party project developers and other counterparties, of which all are operational as of December 31, 2024. The remaining average tenure of these agreements is nine years. The Company expects to continue evaluating and executing similar agreements that support the needs of the business. The total GW entered into through Renewable PPAs may be impacted by contract terminations when they occur.</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Site Development Updates</w:t>
      </w:r>
    </w:p>
    <w:p>
      <w:pPr>
        <w:spacing w:after="0" w:line="13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On February 13, 2025, NRG signed a strategic Project Development Agreement with GE Vernova (“GEV”) and Kiewit’s subsidiary, TIC, to develop and construct up to 5.4 GW of new gas-fired, combined cycle generation projects. The generation facilities will be owned and operated by NRG. Additionally, NRG has entered into a slot reservation agreement with GEV for the procurement of 1.2 GW of 7HA gas turbines. The first projects under this comprehensive development agreement are expected to commence operations by the end of 2029.</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880" w:h="15480" w:orient="portrait"/>
          <w:cols w:equalWidth="0" w:num="1">
            <w:col w:w="10160"/>
          </w:cols>
          <w:pgMar w:left="860" w:top="512" w:right="860" w:bottom="0" w:gutter="0" w:footer="0" w:header="0"/>
          <w:type w:val="continuous"/>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Consolidated Results of Operations for the years ended December 31, 2024 and 2023</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provides selected financial information for the Company:</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8"/>
                <w:szCs w:val="18"/>
                <w:b w:val="1"/>
                <w:bCs w:val="1"/>
                <w:color w:val="auto"/>
                <w:w w:val="95"/>
              </w:rPr>
              <w:t>Year Ended December 31,</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94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1"/>
              <w:spacing w:after="0"/>
              <w:rPr>
                <w:sz w:val="20"/>
                <w:szCs w:val="20"/>
                <w:color w:val="auto"/>
              </w:rPr>
            </w:pPr>
            <w:r>
              <w:rPr>
                <w:rFonts w:ascii="Arial" w:cs="Arial" w:eastAsia="Arial" w:hAnsi="Arial"/>
                <w:sz w:val="18"/>
                <w:szCs w:val="18"/>
                <w:b w:val="1"/>
                <w:bCs w:val="1"/>
                <w:color w:val="auto"/>
                <w:w w:val="93"/>
              </w:rPr>
              <w:t>Change</w:t>
            </w:r>
          </w:p>
        </w:tc>
        <w:tc>
          <w:tcPr>
            <w:tcW w:w="0" w:type="dxa"/>
            <w:vAlign w:val="bottom"/>
          </w:tcPr>
          <w:p>
            <w:pPr>
              <w:spacing w:after="0"/>
              <w:rPr>
                <w:sz w:val="1"/>
                <w:szCs w:val="1"/>
                <w:color w:val="auto"/>
              </w:rPr>
            </w:pPr>
          </w:p>
        </w:tc>
      </w:tr>
      <w:tr>
        <w:trPr>
          <w:trHeight w:val="260"/>
        </w:trPr>
        <w:tc>
          <w:tcPr>
            <w:tcW w:w="5940" w:type="dxa"/>
            <w:vAlign w:val="bottom"/>
          </w:tcPr>
          <w:p>
            <w:pPr>
              <w:spacing w:after="0"/>
              <w:rPr>
                <w:sz w:val="20"/>
                <w:szCs w:val="20"/>
                <w:color w:val="auto"/>
              </w:rPr>
            </w:pPr>
            <w:r>
              <w:rPr>
                <w:rFonts w:ascii="Arial" w:cs="Arial" w:eastAsia="Arial" w:hAnsi="Arial"/>
                <w:sz w:val="20"/>
                <w:szCs w:val="20"/>
                <w:b w:val="1"/>
                <w:bCs w:val="1"/>
                <w:color w:val="auto"/>
              </w:rPr>
              <w:t>Revenue</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940" w:type="dxa"/>
            <w:vAlign w:val="bottom"/>
          </w:tcPr>
          <w:p>
            <w:pPr>
              <w:jc w:val="right"/>
              <w:spacing w:after="0"/>
              <w:rPr>
                <w:sz w:val="20"/>
                <w:szCs w:val="20"/>
                <w:color w:val="auto"/>
              </w:rPr>
            </w:pPr>
            <w:r>
              <w:rPr>
                <w:rFonts w:ascii="Arial" w:cs="Arial" w:eastAsia="Arial" w:hAnsi="Arial"/>
                <w:sz w:val="20"/>
                <w:szCs w:val="20"/>
                <w:color w:val="auto"/>
                <w:w w:val="91"/>
              </w:rPr>
              <w:t xml:space="preserve">Retail revenue </w:t>
            </w:r>
            <w:r>
              <w:rPr>
                <w:rFonts w:ascii="Arial" w:cs="Arial" w:eastAsia="Arial" w:hAnsi="Arial"/>
                <w:sz w:val="20"/>
                <w:szCs w:val="20"/>
                <w:color w:val="B4B4B4"/>
                <w:w w:val="91"/>
              </w:rPr>
              <w:t>. . . . . . . . . . . . . . . . . . . . . . . . . . . . . . . . . . . . . . . . . . . . . .</w:t>
            </w: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27,149</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27,467</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(318)</w:t>
            </w:r>
          </w:p>
        </w:tc>
        <w:tc>
          <w:tcPr>
            <w:tcW w:w="0" w:type="dxa"/>
            <w:vAlign w:val="bottom"/>
          </w:tcPr>
          <w:p>
            <w:pPr>
              <w:spacing w:after="0"/>
              <w:rPr>
                <w:sz w:val="1"/>
                <w:szCs w:val="1"/>
                <w:color w:val="auto"/>
              </w:rPr>
            </w:pPr>
          </w:p>
        </w:tc>
      </w:tr>
      <w:tr>
        <w:trPr>
          <w:trHeight w:val="287"/>
        </w:trPr>
        <w:tc>
          <w:tcPr>
            <w:tcW w:w="5940" w:type="dxa"/>
            <w:vAlign w:val="bottom"/>
          </w:tcPr>
          <w:p>
            <w:pPr>
              <w:jc w:val="right"/>
              <w:spacing w:after="0"/>
              <w:rPr>
                <w:sz w:val="20"/>
                <w:szCs w:val="20"/>
                <w:color w:val="auto"/>
              </w:rPr>
            </w:pPr>
            <w:r>
              <w:rPr>
                <w:rFonts w:ascii="Arial" w:cs="Arial" w:eastAsia="Arial" w:hAnsi="Arial"/>
                <w:sz w:val="20"/>
                <w:szCs w:val="20"/>
                <w:color w:val="auto"/>
                <w:w w:val="90"/>
              </w:rPr>
              <w:t>Energy revenue</w:t>
            </w:r>
            <w:r>
              <w:rPr>
                <w:rFonts w:ascii="Arial" w:cs="Arial" w:eastAsia="Arial" w:hAnsi="Arial"/>
                <w:sz w:val="25"/>
                <w:szCs w:val="25"/>
                <w:color w:val="auto"/>
                <w:w w:val="90"/>
                <w:vertAlign w:val="superscript"/>
              </w:rPr>
              <w:t>(a)</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 . . . . . . . . .</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500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553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301"/>
        </w:trPr>
        <w:tc>
          <w:tcPr>
            <w:tcW w:w="5940" w:type="dxa"/>
            <w:vAlign w:val="bottom"/>
          </w:tcPr>
          <w:p>
            <w:pPr>
              <w:jc w:val="right"/>
              <w:spacing w:after="0"/>
              <w:rPr>
                <w:sz w:val="20"/>
                <w:szCs w:val="20"/>
                <w:color w:val="auto"/>
              </w:rPr>
            </w:pPr>
            <w:r>
              <w:rPr>
                <w:rFonts w:ascii="Arial" w:cs="Arial" w:eastAsia="Arial" w:hAnsi="Arial"/>
                <w:sz w:val="20"/>
                <w:szCs w:val="20"/>
                <w:color w:val="auto"/>
                <w:w w:val="90"/>
              </w:rPr>
              <w:t>Capacity revenue</w:t>
            </w:r>
            <w:r>
              <w:rPr>
                <w:rFonts w:ascii="Arial" w:cs="Arial" w:eastAsia="Arial" w:hAnsi="Arial"/>
                <w:sz w:val="25"/>
                <w:szCs w:val="25"/>
                <w:color w:val="auto"/>
                <w:w w:val="90"/>
                <w:vertAlign w:val="superscript"/>
              </w:rPr>
              <w:t>(a)</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 . . . . . . .</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177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197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58"/>
        </w:trPr>
        <w:tc>
          <w:tcPr>
            <w:tcW w:w="5940" w:type="dxa"/>
            <w:vAlign w:val="bottom"/>
          </w:tcPr>
          <w:p>
            <w:pPr>
              <w:jc w:val="right"/>
              <w:spacing w:after="0"/>
              <w:rPr>
                <w:sz w:val="20"/>
                <w:szCs w:val="20"/>
                <w:color w:val="auto"/>
              </w:rPr>
            </w:pPr>
            <w:r>
              <w:rPr>
                <w:rFonts w:ascii="Arial" w:cs="Arial" w:eastAsia="Arial" w:hAnsi="Arial"/>
                <w:sz w:val="20"/>
                <w:szCs w:val="20"/>
                <w:color w:val="auto"/>
                <w:w w:val="93"/>
              </w:rPr>
              <w:t xml:space="preserve">Mark-to-market for economic hedging activities </w:t>
            </w:r>
            <w:r>
              <w:rPr>
                <w:rFonts w:ascii="Arial" w:cs="Arial" w:eastAsia="Arial" w:hAnsi="Arial"/>
                <w:sz w:val="20"/>
                <w:szCs w:val="20"/>
                <w:color w:val="B4B4B4"/>
                <w:w w:val="93"/>
              </w:rPr>
              <w:t>. . . . . . . . . . . . . . . . . . .</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144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(147)</w:t>
            </w:r>
          </w:p>
        </w:tc>
        <w:tc>
          <w:tcPr>
            <w:tcW w:w="0" w:type="dxa"/>
            <w:vAlign w:val="bottom"/>
          </w:tcPr>
          <w:p>
            <w:pPr>
              <w:spacing w:after="0"/>
              <w:rPr>
                <w:sz w:val="1"/>
                <w:szCs w:val="1"/>
                <w:color w:val="auto"/>
              </w:rPr>
            </w:pPr>
          </w:p>
        </w:tc>
      </w:tr>
      <w:tr>
        <w:trPr>
          <w:trHeight w:val="282"/>
        </w:trPr>
        <w:tc>
          <w:tcPr>
            <w:tcW w:w="5940" w:type="dxa"/>
            <w:vAlign w:val="bottom"/>
          </w:tcPr>
          <w:p>
            <w:pPr>
              <w:jc w:val="right"/>
              <w:spacing w:after="0"/>
              <w:rPr>
                <w:sz w:val="20"/>
                <w:szCs w:val="20"/>
                <w:color w:val="auto"/>
              </w:rPr>
            </w:pPr>
            <w:r>
              <w:rPr>
                <w:rFonts w:ascii="Arial" w:cs="Arial" w:eastAsia="Arial" w:hAnsi="Arial"/>
                <w:sz w:val="20"/>
                <w:szCs w:val="20"/>
                <w:color w:val="auto"/>
                <w:w w:val="92"/>
              </w:rPr>
              <w:t xml:space="preserve">Contract amortization </w:t>
            </w:r>
            <w:r>
              <w:rPr>
                <w:rFonts w:ascii="Arial" w:cs="Arial" w:eastAsia="Arial" w:hAnsi="Arial"/>
                <w:sz w:val="20"/>
                <w:szCs w:val="20"/>
                <w:color w:val="B4B4B4"/>
                <w:w w:val="92"/>
              </w:rPr>
              <w:t>. . . . . . . . . . . . . . . . . . . . . . . . . . . . . . . . . . . . . . . .</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41"/>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84"/>
        </w:trPr>
        <w:tc>
          <w:tcPr>
            <w:tcW w:w="5940" w:type="dxa"/>
            <w:vAlign w:val="bottom"/>
          </w:tcPr>
          <w:p>
            <w:pPr>
              <w:jc w:val="right"/>
              <w:spacing w:after="0" w:line="284" w:lineRule="exact"/>
              <w:rPr>
                <w:sz w:val="20"/>
                <w:szCs w:val="20"/>
                <w:color w:val="auto"/>
              </w:rPr>
            </w:pPr>
            <w:r>
              <w:rPr>
                <w:rFonts w:ascii="Arial" w:cs="Arial" w:eastAsia="Arial" w:hAnsi="Arial"/>
                <w:sz w:val="20"/>
                <w:szCs w:val="20"/>
                <w:color w:val="auto"/>
                <w:w w:val="89"/>
              </w:rPr>
              <w:t>Other revenues</w:t>
            </w:r>
            <w:r>
              <w:rPr>
                <w:rFonts w:ascii="Arial" w:cs="Arial" w:eastAsia="Arial" w:hAnsi="Arial"/>
                <w:sz w:val="25"/>
                <w:szCs w:val="25"/>
                <w:color w:val="auto"/>
                <w:w w:val="89"/>
                <w:vertAlign w:val="superscript"/>
              </w:rPr>
              <w:t>(a)(b)</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 . . . . . . . . . . . . . . . . . . . .</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336</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(158)</w:t>
            </w:r>
          </w:p>
        </w:tc>
        <w:tc>
          <w:tcPr>
            <w:tcW w:w="0" w:type="dxa"/>
            <w:vAlign w:val="bottom"/>
          </w:tcPr>
          <w:p>
            <w:pPr>
              <w:spacing w:after="0"/>
              <w:rPr>
                <w:sz w:val="1"/>
                <w:szCs w:val="1"/>
                <w:color w:val="auto"/>
              </w:rPr>
            </w:pPr>
          </w:p>
        </w:tc>
      </w:tr>
      <w:tr>
        <w:trPr>
          <w:trHeight w:val="262"/>
        </w:trPr>
        <w:tc>
          <w:tcPr>
            <w:tcW w:w="5940" w:type="dxa"/>
            <w:vAlign w:val="bottom"/>
          </w:tcPr>
          <w:p>
            <w:pPr>
              <w:jc w:val="right"/>
              <w:spacing w:after="0"/>
              <w:rPr>
                <w:sz w:val="20"/>
                <w:szCs w:val="20"/>
                <w:color w:val="auto"/>
              </w:rPr>
            </w:pPr>
            <w:r>
              <w:rPr>
                <w:rFonts w:ascii="Arial" w:cs="Arial" w:eastAsia="Arial" w:hAnsi="Arial"/>
                <w:sz w:val="20"/>
                <w:szCs w:val="20"/>
                <w:color w:val="auto"/>
                <w:w w:val="94"/>
              </w:rPr>
              <w:t xml:space="preserve">Total revenue  </w:t>
            </w:r>
            <w:r>
              <w:rPr>
                <w:rFonts w:ascii="Arial" w:cs="Arial" w:eastAsia="Arial" w:hAnsi="Arial"/>
                <w:sz w:val="20"/>
                <w:szCs w:val="20"/>
                <w:color w:val="B4B4B4"/>
                <w:w w:val="94"/>
              </w:rPr>
              <w:t>. . . . . . . . . . . . . . . . . . . . . . . . . . . . . . . . . . . . . . . . . . . .</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28,130</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28,823</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(693)</w:t>
            </w:r>
          </w:p>
        </w:tc>
        <w:tc>
          <w:tcPr>
            <w:tcW w:w="0" w:type="dxa"/>
            <w:vAlign w:val="bottom"/>
          </w:tcPr>
          <w:p>
            <w:pPr>
              <w:spacing w:after="0"/>
              <w:rPr>
                <w:sz w:val="1"/>
                <w:szCs w:val="1"/>
                <w:color w:val="auto"/>
              </w:rPr>
            </w:pPr>
          </w:p>
        </w:tc>
      </w:tr>
      <w:tr>
        <w:trPr>
          <w:trHeight w:val="260"/>
        </w:trPr>
        <w:tc>
          <w:tcPr>
            <w:tcW w:w="5940" w:type="dxa"/>
            <w:vAlign w:val="bottom"/>
          </w:tcPr>
          <w:p>
            <w:pPr>
              <w:spacing w:after="0"/>
              <w:rPr>
                <w:sz w:val="20"/>
                <w:szCs w:val="20"/>
                <w:color w:val="auto"/>
              </w:rPr>
            </w:pPr>
            <w:r>
              <w:rPr>
                <w:rFonts w:ascii="Arial" w:cs="Arial" w:eastAsia="Arial" w:hAnsi="Arial"/>
                <w:sz w:val="20"/>
                <w:szCs w:val="20"/>
                <w:b w:val="1"/>
                <w:bCs w:val="1"/>
                <w:color w:val="auto"/>
              </w:rPr>
              <w:t>Operating Costs and Expenses</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940" w:type="dxa"/>
            <w:vAlign w:val="bottom"/>
          </w:tcPr>
          <w:p>
            <w:pPr>
              <w:jc w:val="right"/>
              <w:spacing w:after="0"/>
              <w:rPr>
                <w:sz w:val="20"/>
                <w:szCs w:val="20"/>
                <w:color w:val="auto"/>
              </w:rPr>
            </w:pPr>
            <w:r>
              <w:rPr>
                <w:rFonts w:ascii="Arial" w:cs="Arial" w:eastAsia="Arial" w:hAnsi="Arial"/>
                <w:sz w:val="20"/>
                <w:szCs w:val="20"/>
                <w:color w:val="auto"/>
                <w:w w:val="92"/>
              </w:rPr>
              <w:t xml:space="preserve">Cost of fuel </w:t>
            </w:r>
            <w:r>
              <w:rPr>
                <w:rFonts w:ascii="Arial" w:cs="Arial" w:eastAsia="Arial" w:hAnsi="Arial"/>
                <w:sz w:val="20"/>
                <w:szCs w:val="20"/>
                <w:color w:val="B4B4B4"/>
                <w:w w:val="92"/>
              </w:rPr>
              <w:t>. . . . . . . . . . . . . . . . . . . . . . . . . . . . . . . . . . . . . . . . . . . . . . . .</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890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992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41"/>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306"/>
        </w:trPr>
        <w:tc>
          <w:tcPr>
            <w:tcW w:w="5940" w:type="dxa"/>
            <w:vAlign w:val="bottom"/>
          </w:tcPr>
          <w:p>
            <w:pPr>
              <w:jc w:val="right"/>
              <w:spacing w:after="0"/>
              <w:rPr>
                <w:sz w:val="20"/>
                <w:szCs w:val="20"/>
                <w:color w:val="auto"/>
              </w:rPr>
            </w:pPr>
            <w:r>
              <w:rPr>
                <w:rFonts w:ascii="Arial" w:cs="Arial" w:eastAsia="Arial" w:hAnsi="Arial"/>
                <w:sz w:val="20"/>
                <w:szCs w:val="20"/>
                <w:color w:val="auto"/>
                <w:w w:val="89"/>
              </w:rPr>
              <w:t>Purchased energy and other cost of sales</w:t>
            </w:r>
            <w:r>
              <w:rPr>
                <w:rFonts w:ascii="Arial" w:cs="Arial" w:eastAsia="Arial" w:hAnsi="Arial"/>
                <w:sz w:val="25"/>
                <w:szCs w:val="25"/>
                <w:color w:val="auto"/>
                <w:w w:val="89"/>
                <w:vertAlign w:val="superscript"/>
              </w:rPr>
              <w:t>(c)</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 .</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19,371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20,610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41"/>
              <w:spacing w:after="0"/>
              <w:rPr>
                <w:sz w:val="20"/>
                <w:szCs w:val="20"/>
                <w:color w:val="auto"/>
              </w:rPr>
            </w:pPr>
            <w:r>
              <w:rPr>
                <w:rFonts w:ascii="Arial" w:cs="Arial" w:eastAsia="Arial" w:hAnsi="Arial"/>
                <w:sz w:val="20"/>
                <w:szCs w:val="20"/>
                <w:color w:val="auto"/>
              </w:rPr>
              <w:t>1,239</w:t>
            </w:r>
          </w:p>
        </w:tc>
        <w:tc>
          <w:tcPr>
            <w:tcW w:w="0" w:type="dxa"/>
            <w:vAlign w:val="bottom"/>
          </w:tcPr>
          <w:p>
            <w:pPr>
              <w:spacing w:after="0"/>
              <w:rPr>
                <w:sz w:val="1"/>
                <w:szCs w:val="1"/>
                <w:color w:val="auto"/>
              </w:rPr>
            </w:pPr>
          </w:p>
        </w:tc>
      </w:tr>
      <w:tr>
        <w:trPr>
          <w:trHeight w:val="258"/>
        </w:trPr>
        <w:tc>
          <w:tcPr>
            <w:tcW w:w="5940" w:type="dxa"/>
            <w:vAlign w:val="bottom"/>
          </w:tcPr>
          <w:p>
            <w:pPr>
              <w:jc w:val="right"/>
              <w:spacing w:after="0"/>
              <w:rPr>
                <w:sz w:val="20"/>
                <w:szCs w:val="20"/>
                <w:color w:val="auto"/>
              </w:rPr>
            </w:pPr>
            <w:r>
              <w:rPr>
                <w:rFonts w:ascii="Arial" w:cs="Arial" w:eastAsia="Arial" w:hAnsi="Arial"/>
                <w:sz w:val="20"/>
                <w:szCs w:val="20"/>
                <w:color w:val="auto"/>
                <w:w w:val="93"/>
              </w:rPr>
              <w:t xml:space="preserve">Mark-to-market for economic hedging activities </w:t>
            </w:r>
            <w:r>
              <w:rPr>
                <w:rFonts w:ascii="Arial" w:cs="Arial" w:eastAsia="Arial" w:hAnsi="Arial"/>
                <w:sz w:val="20"/>
                <w:szCs w:val="20"/>
                <w:color w:val="B4B4B4"/>
                <w:w w:val="93"/>
              </w:rPr>
              <w:t>. . . . . . . . . . . . . . . . . . .</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(209)</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3,007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141"/>
              <w:spacing w:after="0"/>
              <w:rPr>
                <w:sz w:val="20"/>
                <w:szCs w:val="20"/>
                <w:color w:val="auto"/>
              </w:rPr>
            </w:pPr>
            <w:r>
              <w:rPr>
                <w:rFonts w:ascii="Arial" w:cs="Arial" w:eastAsia="Arial" w:hAnsi="Arial"/>
                <w:sz w:val="20"/>
                <w:szCs w:val="20"/>
                <w:color w:val="auto"/>
              </w:rPr>
              <w:t>3,216</w:t>
            </w:r>
          </w:p>
        </w:tc>
        <w:tc>
          <w:tcPr>
            <w:tcW w:w="0" w:type="dxa"/>
            <w:vAlign w:val="bottom"/>
          </w:tcPr>
          <w:p>
            <w:pPr>
              <w:spacing w:after="0"/>
              <w:rPr>
                <w:sz w:val="1"/>
                <w:szCs w:val="1"/>
                <w:color w:val="auto"/>
              </w:rPr>
            </w:pPr>
          </w:p>
        </w:tc>
      </w:tr>
      <w:tr>
        <w:trPr>
          <w:trHeight w:val="306"/>
        </w:trPr>
        <w:tc>
          <w:tcPr>
            <w:tcW w:w="5940" w:type="dxa"/>
            <w:vAlign w:val="bottom"/>
          </w:tcPr>
          <w:p>
            <w:pPr>
              <w:jc w:val="right"/>
              <w:spacing w:after="0"/>
              <w:rPr>
                <w:sz w:val="20"/>
                <w:szCs w:val="20"/>
                <w:color w:val="auto"/>
              </w:rPr>
            </w:pPr>
            <w:r>
              <w:rPr>
                <w:rFonts w:ascii="Arial" w:cs="Arial" w:eastAsia="Arial" w:hAnsi="Arial"/>
                <w:sz w:val="20"/>
                <w:szCs w:val="20"/>
                <w:color w:val="auto"/>
                <w:w w:val="90"/>
              </w:rPr>
              <w:t>Contract and emissions credit amortization</w:t>
            </w:r>
            <w:r>
              <w:rPr>
                <w:rFonts w:ascii="Arial" w:cs="Arial" w:eastAsia="Arial" w:hAnsi="Arial"/>
                <w:sz w:val="25"/>
                <w:szCs w:val="25"/>
                <w:color w:val="auto"/>
                <w:w w:val="90"/>
                <w:vertAlign w:val="superscript"/>
              </w:rPr>
              <w:t>(c)</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93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41"/>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58"/>
        </w:trPr>
        <w:tc>
          <w:tcPr>
            <w:tcW w:w="5940" w:type="dxa"/>
            <w:vAlign w:val="bottom"/>
          </w:tcPr>
          <w:p>
            <w:pPr>
              <w:jc w:val="right"/>
              <w:spacing w:after="0"/>
              <w:rPr>
                <w:sz w:val="20"/>
                <w:szCs w:val="20"/>
                <w:color w:val="auto"/>
              </w:rPr>
            </w:pPr>
            <w:r>
              <w:rPr>
                <w:rFonts w:ascii="Arial" w:cs="Arial" w:eastAsia="Arial" w:hAnsi="Arial"/>
                <w:sz w:val="20"/>
                <w:szCs w:val="20"/>
                <w:color w:val="auto"/>
                <w:w w:val="90"/>
              </w:rPr>
              <w:t xml:space="preserve">Operations and maintenance </w:t>
            </w:r>
            <w:r>
              <w:rPr>
                <w:rFonts w:ascii="Arial" w:cs="Arial" w:eastAsia="Arial" w:hAnsi="Arial"/>
                <w:sz w:val="20"/>
                <w:szCs w:val="20"/>
                <w:color w:val="B4B4B4"/>
                <w:w w:val="90"/>
              </w:rPr>
              <w:t>. . . . . . . . . . . . . . . . . . . . . . . . . . . . . . . . . . .</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1,607</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1,391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(216)</w:t>
            </w:r>
          </w:p>
        </w:tc>
        <w:tc>
          <w:tcPr>
            <w:tcW w:w="0" w:type="dxa"/>
            <w:vAlign w:val="bottom"/>
          </w:tcPr>
          <w:p>
            <w:pPr>
              <w:spacing w:after="0"/>
              <w:rPr>
                <w:sz w:val="1"/>
                <w:szCs w:val="1"/>
                <w:color w:val="auto"/>
              </w:rPr>
            </w:pPr>
          </w:p>
        </w:tc>
      </w:tr>
      <w:tr>
        <w:trPr>
          <w:trHeight w:val="284"/>
        </w:trPr>
        <w:tc>
          <w:tcPr>
            <w:tcW w:w="5940" w:type="dxa"/>
            <w:vAlign w:val="bottom"/>
          </w:tcPr>
          <w:p>
            <w:pPr>
              <w:jc w:val="right"/>
              <w:spacing w:after="0"/>
              <w:rPr>
                <w:sz w:val="20"/>
                <w:szCs w:val="20"/>
                <w:color w:val="auto"/>
              </w:rPr>
            </w:pPr>
            <w:r>
              <w:rPr>
                <w:rFonts w:ascii="Arial" w:cs="Arial" w:eastAsia="Arial" w:hAnsi="Arial"/>
                <w:sz w:val="20"/>
                <w:szCs w:val="20"/>
                <w:color w:val="auto"/>
                <w:w w:val="91"/>
              </w:rPr>
              <w:t xml:space="preserve">Other cost of operations  </w:t>
            </w:r>
            <w:r>
              <w:rPr>
                <w:rFonts w:ascii="Arial" w:cs="Arial" w:eastAsia="Arial" w:hAnsi="Arial"/>
                <w:sz w:val="20"/>
                <w:szCs w:val="20"/>
                <w:color w:val="B4B4B4"/>
                <w:w w:val="91"/>
              </w:rPr>
              <w:t>. . . . . . . . . . . . . . . . . . . . . . . . . . . . . . . . . . . . . .</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392</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390</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10"/>
        </w:trPr>
        <w:tc>
          <w:tcPr>
            <w:tcW w:w="5940" w:type="dxa"/>
            <w:vAlign w:val="bottom"/>
          </w:tcPr>
          <w:p>
            <w:pPr>
              <w:jc w:val="right"/>
              <w:ind w:right="162"/>
              <w:spacing w:after="0" w:line="209" w:lineRule="exact"/>
              <w:rPr>
                <w:sz w:val="20"/>
                <w:szCs w:val="20"/>
                <w:color w:val="auto"/>
              </w:rPr>
            </w:pPr>
            <w:r>
              <w:rPr>
                <w:rFonts w:ascii="Arial" w:cs="Arial" w:eastAsia="Arial" w:hAnsi="Arial"/>
                <w:sz w:val="20"/>
                <w:szCs w:val="20"/>
                <w:color w:val="auto"/>
                <w:w w:val="95"/>
              </w:rPr>
              <w:t>Cost of operations (excluding depreciation and amortization shown</w:t>
            </w:r>
          </w:p>
        </w:tc>
        <w:tc>
          <w:tcPr>
            <w:tcW w:w="30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22,100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26,483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restart"/>
          </w:tcPr>
          <w:p>
            <w:pPr>
              <w:jc w:val="right"/>
              <w:ind w:right="141"/>
              <w:spacing w:after="0"/>
              <w:rPr>
                <w:sz w:val="20"/>
                <w:szCs w:val="20"/>
                <w:color w:val="auto"/>
              </w:rPr>
            </w:pPr>
            <w:r>
              <w:rPr>
                <w:rFonts w:ascii="Arial" w:cs="Arial" w:eastAsia="Arial" w:hAnsi="Arial"/>
                <w:sz w:val="20"/>
                <w:szCs w:val="20"/>
                <w:color w:val="auto"/>
              </w:rPr>
              <w:t>4,383</w:t>
            </w:r>
          </w:p>
        </w:tc>
        <w:tc>
          <w:tcPr>
            <w:tcW w:w="0" w:type="dxa"/>
            <w:vAlign w:val="bottom"/>
          </w:tcPr>
          <w:p>
            <w:pPr>
              <w:spacing w:after="0"/>
              <w:rPr>
                <w:sz w:val="1"/>
                <w:szCs w:val="1"/>
                <w:color w:val="auto"/>
              </w:rPr>
            </w:pPr>
          </w:p>
        </w:tc>
      </w:tr>
      <w:tr>
        <w:trPr>
          <w:trHeight w:val="260"/>
        </w:trPr>
        <w:tc>
          <w:tcPr>
            <w:tcW w:w="5940" w:type="dxa"/>
            <w:vAlign w:val="bottom"/>
          </w:tcPr>
          <w:p>
            <w:pPr>
              <w:jc w:val="right"/>
              <w:spacing w:after="0"/>
              <w:rPr>
                <w:sz w:val="20"/>
                <w:szCs w:val="20"/>
                <w:color w:val="auto"/>
              </w:rPr>
            </w:pPr>
            <w:r>
              <w:rPr>
                <w:rFonts w:ascii="Arial" w:cs="Arial" w:eastAsia="Arial" w:hAnsi="Arial"/>
                <w:sz w:val="20"/>
                <w:szCs w:val="20"/>
                <w:color w:val="auto"/>
                <w:w w:val="95"/>
              </w:rPr>
              <w:t xml:space="preserve">below) </w:t>
            </w:r>
            <w:r>
              <w:rPr>
                <w:rFonts w:ascii="Arial" w:cs="Arial" w:eastAsia="Arial" w:hAnsi="Arial"/>
                <w:sz w:val="20"/>
                <w:szCs w:val="20"/>
                <w:color w:val="B4B4B4"/>
                <w:w w:val="95"/>
              </w:rPr>
              <w:t>. . . . . . . . . . . . . . . . . . . . . . . . . . . . . . . . . . . . . . . . . . . . . . . . . .</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940" w:type="dxa"/>
            <w:vAlign w:val="bottom"/>
          </w:tcPr>
          <w:p>
            <w:pPr>
              <w:jc w:val="right"/>
              <w:spacing w:after="0"/>
              <w:rPr>
                <w:sz w:val="20"/>
                <w:szCs w:val="20"/>
                <w:color w:val="auto"/>
              </w:rPr>
            </w:pPr>
            <w:r>
              <w:rPr>
                <w:rFonts w:ascii="Arial" w:cs="Arial" w:eastAsia="Arial" w:hAnsi="Arial"/>
                <w:sz w:val="20"/>
                <w:szCs w:val="20"/>
                <w:color w:val="auto"/>
                <w:w w:val="91"/>
              </w:rPr>
              <w:t xml:space="preserve">Depreciation and amortization  </w:t>
            </w:r>
            <w:r>
              <w:rPr>
                <w:rFonts w:ascii="Arial" w:cs="Arial" w:eastAsia="Arial" w:hAnsi="Arial"/>
                <w:sz w:val="20"/>
                <w:szCs w:val="20"/>
                <w:color w:val="B4B4B4"/>
                <w:w w:val="91"/>
              </w:rPr>
              <w:t>. . . . . . . . . . . . . . . . . . . . . . . . . . . . . . . . .</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1,403</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1,295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(108)</w:t>
            </w:r>
          </w:p>
        </w:tc>
        <w:tc>
          <w:tcPr>
            <w:tcW w:w="0" w:type="dxa"/>
            <w:vAlign w:val="bottom"/>
          </w:tcPr>
          <w:p>
            <w:pPr>
              <w:spacing w:after="0"/>
              <w:rPr>
                <w:sz w:val="1"/>
                <w:szCs w:val="1"/>
                <w:color w:val="auto"/>
              </w:rPr>
            </w:pPr>
          </w:p>
        </w:tc>
      </w:tr>
      <w:tr>
        <w:trPr>
          <w:trHeight w:val="282"/>
        </w:trPr>
        <w:tc>
          <w:tcPr>
            <w:tcW w:w="5940" w:type="dxa"/>
            <w:vAlign w:val="bottom"/>
          </w:tcPr>
          <w:p>
            <w:pPr>
              <w:jc w:val="right"/>
              <w:spacing w:after="0"/>
              <w:rPr>
                <w:sz w:val="20"/>
                <w:szCs w:val="20"/>
                <w:color w:val="auto"/>
              </w:rPr>
            </w:pPr>
            <w:r>
              <w:rPr>
                <w:rFonts w:ascii="Arial" w:cs="Arial" w:eastAsia="Arial" w:hAnsi="Arial"/>
                <w:sz w:val="20"/>
                <w:szCs w:val="20"/>
                <w:color w:val="auto"/>
                <w:w w:val="91"/>
              </w:rPr>
              <w:t xml:space="preserve">Impairment losses </w:t>
            </w:r>
            <w:r>
              <w:rPr>
                <w:rFonts w:ascii="Arial" w:cs="Arial" w:eastAsia="Arial" w:hAnsi="Arial"/>
                <w:sz w:val="20"/>
                <w:szCs w:val="20"/>
                <w:color w:val="B4B4B4"/>
                <w:w w:val="91"/>
              </w:rPr>
              <w:t>. . . . . . . . . . . . . . . . . . . . . . . . . . . . . . . . . . . . . . . . . . .</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42"/>
        </w:trPr>
        <w:tc>
          <w:tcPr>
            <w:tcW w:w="5940" w:type="dxa"/>
            <w:vAlign w:val="bottom"/>
          </w:tcPr>
          <w:p>
            <w:pPr>
              <w:ind w:left="120"/>
              <w:spacing w:after="0"/>
              <w:rPr>
                <w:sz w:val="20"/>
                <w:szCs w:val="20"/>
                <w:color w:val="auto"/>
              </w:rPr>
            </w:pPr>
            <w:r>
              <w:rPr>
                <w:rFonts w:ascii="Arial" w:cs="Arial" w:eastAsia="Arial" w:hAnsi="Arial"/>
                <w:sz w:val="20"/>
                <w:szCs w:val="20"/>
                <w:color w:val="auto"/>
                <w:w w:val="98"/>
              </w:rPr>
              <w:t>Selling, general and administrative costs (excluding amortization of</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940" w:type="dxa"/>
            <w:vAlign w:val="bottom"/>
          </w:tcPr>
          <w:p>
            <w:pPr>
              <w:ind w:left="120"/>
              <w:spacing w:after="0" w:line="198" w:lineRule="exact"/>
              <w:rPr>
                <w:sz w:val="20"/>
                <w:szCs w:val="20"/>
                <w:color w:val="auto"/>
              </w:rPr>
            </w:pPr>
            <w:r>
              <w:rPr>
                <w:rFonts w:ascii="Arial" w:cs="Arial" w:eastAsia="Arial" w:hAnsi="Arial"/>
                <w:sz w:val="20"/>
                <w:szCs w:val="20"/>
                <w:color w:val="auto"/>
                <w:w w:val="94"/>
              </w:rPr>
              <w:t>customer acquisition costs of $204, and $125, respectively, which are</w:t>
            </w:r>
          </w:p>
        </w:tc>
        <w:tc>
          <w:tcPr>
            <w:tcW w:w="3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2,031</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1,843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restart"/>
          </w:tcPr>
          <w:p>
            <w:pPr>
              <w:jc w:val="right"/>
              <w:ind w:right="81"/>
              <w:spacing w:after="0"/>
              <w:rPr>
                <w:sz w:val="20"/>
                <w:szCs w:val="20"/>
                <w:color w:val="auto"/>
              </w:rPr>
            </w:pPr>
            <w:r>
              <w:rPr>
                <w:rFonts w:ascii="Arial" w:cs="Arial" w:eastAsia="Arial" w:hAnsi="Arial"/>
                <w:sz w:val="20"/>
                <w:szCs w:val="20"/>
                <w:color w:val="auto"/>
              </w:rPr>
              <w:t>(188)</w:t>
            </w:r>
          </w:p>
        </w:tc>
        <w:tc>
          <w:tcPr>
            <w:tcW w:w="0" w:type="dxa"/>
            <w:vAlign w:val="bottom"/>
          </w:tcPr>
          <w:p>
            <w:pPr>
              <w:spacing w:after="0"/>
              <w:rPr>
                <w:sz w:val="1"/>
                <w:szCs w:val="1"/>
                <w:color w:val="auto"/>
              </w:rPr>
            </w:pPr>
          </w:p>
        </w:tc>
      </w:tr>
      <w:tr>
        <w:trPr>
          <w:trHeight w:val="258"/>
        </w:trPr>
        <w:tc>
          <w:tcPr>
            <w:tcW w:w="5940" w:type="dxa"/>
            <w:vAlign w:val="bottom"/>
          </w:tcPr>
          <w:p>
            <w:pPr>
              <w:jc w:val="right"/>
              <w:spacing w:after="0"/>
              <w:rPr>
                <w:sz w:val="20"/>
                <w:szCs w:val="20"/>
                <w:color w:val="auto"/>
              </w:rPr>
            </w:pPr>
            <w:r>
              <w:rPr>
                <w:rFonts w:ascii="Arial" w:cs="Arial" w:eastAsia="Arial" w:hAnsi="Arial"/>
                <w:sz w:val="20"/>
                <w:szCs w:val="20"/>
                <w:color w:val="auto"/>
                <w:w w:val="92"/>
              </w:rPr>
              <w:t xml:space="preserve">included in depreciation and amortization shown separately above) </w:t>
            </w:r>
            <w:r>
              <w:rPr>
                <w:rFonts w:ascii="Arial" w:cs="Arial" w:eastAsia="Arial" w:hAnsi="Arial"/>
                <w:sz w:val="20"/>
                <w:szCs w:val="20"/>
                <w:color w:val="B4B4B4"/>
                <w:w w:val="92"/>
              </w:rPr>
              <w:t>. . . .</w:t>
            </w:r>
          </w:p>
        </w:tc>
        <w:tc>
          <w:tcPr>
            <w:tcW w:w="30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940" w:type="dxa"/>
            <w:vAlign w:val="bottom"/>
          </w:tcPr>
          <w:p>
            <w:pPr>
              <w:jc w:val="right"/>
              <w:spacing w:after="0"/>
              <w:rPr>
                <w:sz w:val="20"/>
                <w:szCs w:val="20"/>
                <w:color w:val="auto"/>
              </w:rPr>
            </w:pPr>
            <w:r>
              <w:rPr>
                <w:rFonts w:ascii="Arial" w:cs="Arial" w:eastAsia="Arial" w:hAnsi="Arial"/>
                <w:sz w:val="20"/>
                <w:szCs w:val="20"/>
                <w:color w:val="auto"/>
                <w:w w:val="91"/>
              </w:rPr>
              <w:t xml:space="preserve">Provision for credit losses </w:t>
            </w:r>
            <w:r>
              <w:rPr>
                <w:rFonts w:ascii="Arial" w:cs="Arial" w:eastAsia="Arial" w:hAnsi="Arial"/>
                <w:sz w:val="20"/>
                <w:szCs w:val="20"/>
                <w:color w:val="B4B4B4"/>
                <w:w w:val="91"/>
              </w:rPr>
              <w:t>. . . . . . . . . . . . . . . . . . . . . . . . . . . . . . . . . . . . .</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314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251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84"/>
        </w:trPr>
        <w:tc>
          <w:tcPr>
            <w:tcW w:w="5940" w:type="dxa"/>
            <w:vAlign w:val="bottom"/>
          </w:tcPr>
          <w:p>
            <w:pPr>
              <w:jc w:val="right"/>
              <w:spacing w:after="0"/>
              <w:rPr>
                <w:sz w:val="20"/>
                <w:szCs w:val="20"/>
                <w:color w:val="auto"/>
              </w:rPr>
            </w:pPr>
            <w:r>
              <w:rPr>
                <w:rFonts w:ascii="Arial" w:cs="Arial" w:eastAsia="Arial" w:hAnsi="Arial"/>
                <w:sz w:val="20"/>
                <w:szCs w:val="20"/>
                <w:color w:val="auto"/>
                <w:w w:val="92"/>
              </w:rPr>
              <w:t xml:space="preserve">Acquisition-related transaction and integration costs </w:t>
            </w:r>
            <w:r>
              <w:rPr>
                <w:rFonts w:ascii="Arial" w:cs="Arial" w:eastAsia="Arial" w:hAnsi="Arial"/>
                <w:sz w:val="20"/>
                <w:szCs w:val="20"/>
                <w:color w:val="B4B4B4"/>
                <w:w w:val="92"/>
              </w:rPr>
              <w:t>. . . . . . . . . . . . . . . .</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260"/>
        </w:trPr>
        <w:tc>
          <w:tcPr>
            <w:tcW w:w="5940" w:type="dxa"/>
            <w:vAlign w:val="bottom"/>
          </w:tcPr>
          <w:p>
            <w:pPr>
              <w:jc w:val="right"/>
              <w:spacing w:after="0"/>
              <w:rPr>
                <w:sz w:val="20"/>
                <w:szCs w:val="20"/>
                <w:color w:val="auto"/>
              </w:rPr>
            </w:pPr>
            <w:r>
              <w:rPr>
                <w:rFonts w:ascii="Arial" w:cs="Arial" w:eastAsia="Arial" w:hAnsi="Arial"/>
                <w:sz w:val="20"/>
                <w:szCs w:val="20"/>
                <w:color w:val="auto"/>
                <w:w w:val="93"/>
              </w:rPr>
              <w:t xml:space="preserve">Total operating costs and expenses </w:t>
            </w:r>
            <w:r>
              <w:rPr>
                <w:rFonts w:ascii="Arial" w:cs="Arial" w:eastAsia="Arial" w:hAnsi="Arial"/>
                <w:sz w:val="20"/>
                <w:szCs w:val="20"/>
                <w:color w:val="B4B4B4"/>
                <w:w w:val="93"/>
              </w:rPr>
              <w:t>. . . . . . . . . . . . . . . . . . . . . . . . . . . .</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25,914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30,017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141"/>
              <w:spacing w:after="0"/>
              <w:rPr>
                <w:sz w:val="20"/>
                <w:szCs w:val="20"/>
                <w:color w:val="auto"/>
              </w:rPr>
            </w:pPr>
            <w:r>
              <w:rPr>
                <w:rFonts w:ascii="Arial" w:cs="Arial" w:eastAsia="Arial" w:hAnsi="Arial"/>
                <w:sz w:val="20"/>
                <w:szCs w:val="20"/>
                <w:color w:val="auto"/>
              </w:rPr>
              <w:t>4,103</w:t>
            </w:r>
          </w:p>
        </w:tc>
        <w:tc>
          <w:tcPr>
            <w:tcW w:w="0" w:type="dxa"/>
            <w:vAlign w:val="bottom"/>
          </w:tcPr>
          <w:p>
            <w:pPr>
              <w:spacing w:after="0"/>
              <w:rPr>
                <w:sz w:val="1"/>
                <w:szCs w:val="1"/>
                <w:color w:val="auto"/>
              </w:rPr>
            </w:pPr>
          </w:p>
        </w:tc>
      </w:tr>
      <w:tr>
        <w:trPr>
          <w:trHeight w:val="284"/>
        </w:trPr>
        <w:tc>
          <w:tcPr>
            <w:tcW w:w="5940" w:type="dxa"/>
            <w:vAlign w:val="bottom"/>
          </w:tcPr>
          <w:p>
            <w:pPr>
              <w:jc w:val="right"/>
              <w:spacing w:after="0"/>
              <w:rPr>
                <w:sz w:val="20"/>
                <w:szCs w:val="20"/>
                <w:color w:val="auto"/>
              </w:rPr>
            </w:pPr>
            <w:r>
              <w:rPr>
                <w:rFonts w:ascii="Arial" w:cs="Arial" w:eastAsia="Arial" w:hAnsi="Arial"/>
                <w:sz w:val="20"/>
                <w:szCs w:val="20"/>
                <w:color w:val="auto"/>
                <w:w w:val="94"/>
              </w:rPr>
              <w:t xml:space="preserve">Gain on sale of assets </w:t>
            </w:r>
            <w:r>
              <w:rPr>
                <w:rFonts w:ascii="Arial" w:cs="Arial" w:eastAsia="Arial" w:hAnsi="Arial"/>
                <w:sz w:val="20"/>
                <w:szCs w:val="20"/>
                <w:color w:val="B4B4B4"/>
                <w:w w:val="94"/>
              </w:rPr>
              <w:t>. . . . . . . . . . . . . . . . . . . . . . . . . . . . . . . . . . . . . .</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1,578</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(1,370)</w:t>
            </w:r>
          </w:p>
        </w:tc>
        <w:tc>
          <w:tcPr>
            <w:tcW w:w="0" w:type="dxa"/>
            <w:vAlign w:val="bottom"/>
          </w:tcPr>
          <w:p>
            <w:pPr>
              <w:spacing w:after="0"/>
              <w:rPr>
                <w:sz w:val="1"/>
                <w:szCs w:val="1"/>
                <w:color w:val="auto"/>
              </w:rPr>
            </w:pPr>
          </w:p>
        </w:tc>
      </w:tr>
      <w:tr>
        <w:trPr>
          <w:trHeight w:val="262"/>
        </w:trPr>
        <w:tc>
          <w:tcPr>
            <w:tcW w:w="5940" w:type="dxa"/>
            <w:vAlign w:val="bottom"/>
          </w:tcPr>
          <w:p>
            <w:pPr>
              <w:jc w:val="right"/>
              <w:spacing w:after="0"/>
              <w:rPr>
                <w:sz w:val="20"/>
                <w:szCs w:val="20"/>
                <w:color w:val="auto"/>
              </w:rPr>
            </w:pPr>
            <w:r>
              <w:rPr>
                <w:rFonts w:ascii="Arial" w:cs="Arial" w:eastAsia="Arial" w:hAnsi="Arial"/>
                <w:sz w:val="20"/>
                <w:szCs w:val="20"/>
                <w:b w:val="1"/>
                <w:bCs w:val="1"/>
                <w:color w:val="B4B4B4"/>
                <w:w w:val="91"/>
              </w:rPr>
              <w:t>. . . . . . . . . . . . . . . . . . . . . . . . . . . . . . . . . . . . . . . . . . .</w:t>
            </w:r>
            <w:r>
              <w:rPr>
                <w:rFonts w:ascii="Arial" w:cs="Arial" w:eastAsia="Arial" w:hAnsi="Arial"/>
                <w:sz w:val="20"/>
                <w:szCs w:val="20"/>
                <w:b w:val="1"/>
                <w:bCs w:val="1"/>
                <w:color w:val="000000"/>
                <w:w w:val="91"/>
              </w:rPr>
              <w:t>OperatingIncome</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2,424</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384</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2,040</w:t>
            </w:r>
          </w:p>
        </w:tc>
        <w:tc>
          <w:tcPr>
            <w:tcW w:w="0" w:type="dxa"/>
            <w:vAlign w:val="bottom"/>
          </w:tcPr>
          <w:p>
            <w:pPr>
              <w:spacing w:after="0"/>
              <w:rPr>
                <w:sz w:val="1"/>
                <w:szCs w:val="1"/>
                <w:color w:val="auto"/>
              </w:rPr>
            </w:pPr>
          </w:p>
        </w:tc>
      </w:tr>
      <w:tr>
        <w:trPr>
          <w:trHeight w:val="260"/>
        </w:trPr>
        <w:tc>
          <w:tcPr>
            <w:tcW w:w="5940" w:type="dxa"/>
            <w:vAlign w:val="bottom"/>
          </w:tcPr>
          <w:p>
            <w:pPr>
              <w:spacing w:after="0"/>
              <w:rPr>
                <w:sz w:val="20"/>
                <w:szCs w:val="20"/>
                <w:color w:val="auto"/>
              </w:rPr>
            </w:pPr>
            <w:r>
              <w:rPr>
                <w:rFonts w:ascii="Arial" w:cs="Arial" w:eastAsia="Arial" w:hAnsi="Arial"/>
                <w:sz w:val="20"/>
                <w:szCs w:val="20"/>
                <w:b w:val="1"/>
                <w:bCs w:val="1"/>
                <w:color w:val="auto"/>
              </w:rPr>
              <w:t>Other Income/(Expense)</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940" w:type="dxa"/>
            <w:vAlign w:val="bottom"/>
          </w:tcPr>
          <w:p>
            <w:pPr>
              <w:jc w:val="right"/>
              <w:spacing w:after="0"/>
              <w:rPr>
                <w:sz w:val="20"/>
                <w:szCs w:val="20"/>
                <w:color w:val="auto"/>
              </w:rPr>
            </w:pPr>
            <w:r>
              <w:rPr>
                <w:rFonts w:ascii="Arial" w:cs="Arial" w:eastAsia="Arial" w:hAnsi="Arial"/>
                <w:sz w:val="20"/>
                <w:szCs w:val="20"/>
                <w:color w:val="auto"/>
                <w:w w:val="92"/>
              </w:rPr>
              <w:t xml:space="preserve">Equity in earnings of unconsolidated affiliates </w:t>
            </w:r>
            <w:r>
              <w:rPr>
                <w:rFonts w:ascii="Arial" w:cs="Arial" w:eastAsia="Arial" w:hAnsi="Arial"/>
                <w:sz w:val="20"/>
                <w:szCs w:val="20"/>
                <w:color w:val="B4B4B4"/>
                <w:w w:val="92"/>
              </w:rPr>
              <w:t>. . . . . . . . . . . . . . . . . . . . .</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41"/>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82"/>
        </w:trPr>
        <w:tc>
          <w:tcPr>
            <w:tcW w:w="5940" w:type="dxa"/>
            <w:vAlign w:val="bottom"/>
          </w:tcPr>
          <w:p>
            <w:pPr>
              <w:jc w:val="right"/>
              <w:spacing w:after="0"/>
              <w:rPr>
                <w:sz w:val="20"/>
                <w:szCs w:val="20"/>
                <w:color w:val="auto"/>
              </w:rPr>
            </w:pPr>
            <w:r>
              <w:rPr>
                <w:rFonts w:ascii="Arial" w:cs="Arial" w:eastAsia="Arial" w:hAnsi="Arial"/>
                <w:sz w:val="20"/>
                <w:szCs w:val="20"/>
                <w:color w:val="auto"/>
                <w:w w:val="90"/>
              </w:rPr>
              <w:t xml:space="preserve">Impairment losses on investments </w:t>
            </w:r>
            <w:r>
              <w:rPr>
                <w:rFonts w:ascii="Arial" w:cs="Arial" w:eastAsia="Arial" w:hAnsi="Arial"/>
                <w:sz w:val="20"/>
                <w:szCs w:val="20"/>
                <w:color w:val="B4B4B4"/>
                <w:w w:val="90"/>
              </w:rPr>
              <w:t>. . . . . . . . . . . . . . . . . . . . . . . . . . . . . . .</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(102)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41"/>
              <w:spacing w:after="0"/>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282"/>
        </w:trPr>
        <w:tc>
          <w:tcPr>
            <w:tcW w:w="5940" w:type="dxa"/>
            <w:vAlign w:val="bottom"/>
          </w:tcPr>
          <w:p>
            <w:pPr>
              <w:jc w:val="right"/>
              <w:spacing w:after="0"/>
              <w:rPr>
                <w:sz w:val="20"/>
                <w:szCs w:val="20"/>
                <w:color w:val="auto"/>
              </w:rPr>
            </w:pPr>
            <w:r>
              <w:rPr>
                <w:rFonts w:ascii="Arial" w:cs="Arial" w:eastAsia="Arial" w:hAnsi="Arial"/>
                <w:sz w:val="20"/>
                <w:szCs w:val="20"/>
                <w:color w:val="auto"/>
                <w:w w:val="91"/>
              </w:rPr>
              <w:t xml:space="preserve">Other income, net </w:t>
            </w:r>
            <w:r>
              <w:rPr>
                <w:rFonts w:ascii="Arial" w:cs="Arial" w:eastAsia="Arial" w:hAnsi="Arial"/>
                <w:sz w:val="20"/>
                <w:szCs w:val="20"/>
                <w:color w:val="B4B4B4"/>
                <w:w w:val="91"/>
              </w:rPr>
              <w:t>. . . . . . . . . . . . . . . . . . . . . . . . . . . . . . . . . . . . . . . . . . .</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82"/>
        </w:trPr>
        <w:tc>
          <w:tcPr>
            <w:tcW w:w="5940" w:type="dxa"/>
            <w:vAlign w:val="bottom"/>
          </w:tcPr>
          <w:p>
            <w:pPr>
              <w:jc w:val="right"/>
              <w:spacing w:after="0"/>
              <w:rPr>
                <w:sz w:val="20"/>
                <w:szCs w:val="20"/>
                <w:color w:val="auto"/>
              </w:rPr>
            </w:pPr>
            <w:r>
              <w:rPr>
                <w:rFonts w:ascii="Arial" w:cs="Arial" w:eastAsia="Arial" w:hAnsi="Arial"/>
                <w:sz w:val="20"/>
                <w:szCs w:val="20"/>
                <w:color w:val="auto"/>
                <w:w w:val="91"/>
              </w:rPr>
              <w:t xml:space="preserve">(Loss)/Gain on debt extinguishment </w:t>
            </w:r>
            <w:r>
              <w:rPr>
                <w:rFonts w:ascii="Arial" w:cs="Arial" w:eastAsia="Arial" w:hAnsi="Arial"/>
                <w:sz w:val="20"/>
                <w:szCs w:val="20"/>
                <w:color w:val="B4B4B4"/>
                <w:w w:val="91"/>
              </w:rPr>
              <w:t>. . . . . . . . . . . . . . . . . . . . . . . . . . . . .</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(382)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109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(491)</w:t>
            </w:r>
          </w:p>
        </w:tc>
        <w:tc>
          <w:tcPr>
            <w:tcW w:w="0" w:type="dxa"/>
            <w:vAlign w:val="bottom"/>
          </w:tcPr>
          <w:p>
            <w:pPr>
              <w:spacing w:after="0"/>
              <w:rPr>
                <w:sz w:val="1"/>
                <w:szCs w:val="1"/>
                <w:color w:val="auto"/>
              </w:rPr>
            </w:pPr>
          </w:p>
        </w:tc>
      </w:tr>
      <w:tr>
        <w:trPr>
          <w:trHeight w:val="284"/>
        </w:trPr>
        <w:tc>
          <w:tcPr>
            <w:tcW w:w="5940" w:type="dxa"/>
            <w:vAlign w:val="bottom"/>
          </w:tcPr>
          <w:p>
            <w:pPr>
              <w:jc w:val="right"/>
              <w:spacing w:after="0"/>
              <w:rPr>
                <w:sz w:val="20"/>
                <w:szCs w:val="20"/>
                <w:color w:val="auto"/>
              </w:rPr>
            </w:pPr>
            <w:r>
              <w:rPr>
                <w:rFonts w:ascii="Arial" w:cs="Arial" w:eastAsia="Arial" w:hAnsi="Arial"/>
                <w:sz w:val="20"/>
                <w:szCs w:val="20"/>
                <w:color w:val="auto"/>
                <w:w w:val="90"/>
              </w:rPr>
              <w:t xml:space="preserve">Interest expense </w:t>
            </w:r>
            <w:r>
              <w:rPr>
                <w:rFonts w:ascii="Arial" w:cs="Arial" w:eastAsia="Arial" w:hAnsi="Arial"/>
                <w:sz w:val="20"/>
                <w:szCs w:val="20"/>
                <w:color w:val="B4B4B4"/>
                <w:w w:val="90"/>
              </w:rPr>
              <w:t>. . . . . . . . . . . . . . . . . . . . . . . . . . . . . . . . . . . . . . . . . . . . .</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(667)</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62"/>
        </w:trPr>
        <w:tc>
          <w:tcPr>
            <w:tcW w:w="5940" w:type="dxa"/>
            <w:vAlign w:val="bottom"/>
          </w:tcPr>
          <w:p>
            <w:pPr>
              <w:jc w:val="right"/>
              <w:spacing w:after="0"/>
              <w:rPr>
                <w:sz w:val="20"/>
                <w:szCs w:val="20"/>
                <w:color w:val="auto"/>
              </w:rPr>
            </w:pPr>
            <w:r>
              <w:rPr>
                <w:rFonts w:ascii="Arial" w:cs="Arial" w:eastAsia="Arial" w:hAnsi="Arial"/>
                <w:sz w:val="20"/>
                <w:szCs w:val="20"/>
                <w:color w:val="auto"/>
                <w:w w:val="94"/>
              </w:rPr>
              <w:t xml:space="preserve">Total other expenses </w:t>
            </w:r>
            <w:r>
              <w:rPr>
                <w:rFonts w:ascii="Arial" w:cs="Arial" w:eastAsia="Arial" w:hAnsi="Arial"/>
                <w:sz w:val="20"/>
                <w:szCs w:val="20"/>
                <w:color w:val="B4B4B4"/>
                <w:w w:val="94"/>
              </w:rPr>
              <w:t>. . . . . . . . . . . . . . . . . . . . . . . . . . . . . . . . . . . . . . .</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(976)</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(597)</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(379)</w:t>
            </w:r>
          </w:p>
        </w:tc>
        <w:tc>
          <w:tcPr>
            <w:tcW w:w="0" w:type="dxa"/>
            <w:vAlign w:val="bottom"/>
          </w:tcPr>
          <w:p>
            <w:pPr>
              <w:spacing w:after="0"/>
              <w:rPr>
                <w:sz w:val="1"/>
                <w:szCs w:val="1"/>
                <w:color w:val="auto"/>
              </w:rPr>
            </w:pPr>
          </w:p>
        </w:tc>
      </w:tr>
      <w:tr>
        <w:trPr>
          <w:trHeight w:val="275"/>
        </w:trPr>
        <w:tc>
          <w:tcPr>
            <w:tcW w:w="594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Income/(Loss) Before Income Taxes </w:t>
            </w:r>
            <w:r>
              <w:rPr>
                <w:rFonts w:ascii="Arial" w:cs="Arial" w:eastAsia="Arial" w:hAnsi="Arial"/>
                <w:sz w:val="20"/>
                <w:szCs w:val="20"/>
                <w:b w:val="1"/>
                <w:bCs w:val="1"/>
                <w:color w:val="B4B4B4"/>
                <w:w w:val="89"/>
              </w:rPr>
              <w:t>. . . . . . . . . . . . . . . . . . . . . . . . . . . .</w:t>
            </w: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1,448</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(213)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141"/>
              <w:spacing w:after="0"/>
              <w:rPr>
                <w:sz w:val="20"/>
                <w:szCs w:val="20"/>
                <w:color w:val="auto"/>
              </w:rPr>
            </w:pPr>
            <w:r>
              <w:rPr>
                <w:rFonts w:ascii="Arial" w:cs="Arial" w:eastAsia="Arial" w:hAnsi="Arial"/>
                <w:sz w:val="20"/>
                <w:szCs w:val="20"/>
                <w:color w:val="auto"/>
              </w:rPr>
              <w:t>1,661</w:t>
            </w:r>
          </w:p>
        </w:tc>
        <w:tc>
          <w:tcPr>
            <w:tcW w:w="0" w:type="dxa"/>
            <w:vAlign w:val="bottom"/>
          </w:tcPr>
          <w:p>
            <w:pPr>
              <w:spacing w:after="0"/>
              <w:rPr>
                <w:sz w:val="1"/>
                <w:szCs w:val="1"/>
                <w:color w:val="auto"/>
              </w:rPr>
            </w:pPr>
          </w:p>
        </w:tc>
      </w:tr>
      <w:tr>
        <w:trPr>
          <w:trHeight w:val="284"/>
        </w:trPr>
        <w:tc>
          <w:tcPr>
            <w:tcW w:w="5940" w:type="dxa"/>
            <w:vAlign w:val="bottom"/>
          </w:tcPr>
          <w:p>
            <w:pPr>
              <w:jc w:val="right"/>
              <w:spacing w:after="0"/>
              <w:rPr>
                <w:sz w:val="20"/>
                <w:szCs w:val="20"/>
                <w:color w:val="auto"/>
              </w:rPr>
            </w:pPr>
            <w:r>
              <w:rPr>
                <w:rFonts w:ascii="Arial" w:cs="Arial" w:eastAsia="Arial" w:hAnsi="Arial"/>
                <w:sz w:val="20"/>
                <w:szCs w:val="20"/>
                <w:color w:val="auto"/>
                <w:w w:val="91"/>
              </w:rPr>
              <w:t xml:space="preserve">Income tax expense/(benefit)  </w:t>
            </w:r>
            <w:r>
              <w:rPr>
                <w:rFonts w:ascii="Arial" w:cs="Arial" w:eastAsia="Arial" w:hAnsi="Arial"/>
                <w:sz w:val="20"/>
                <w:szCs w:val="20"/>
                <w:color w:val="B4B4B4"/>
                <w:w w:val="91"/>
              </w:rPr>
              <w:t>. . . . . . . . . . . . . . . . . . . . . . . . . . . . . . . . . .</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323</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334</w:t>
            </w:r>
          </w:p>
        </w:tc>
        <w:tc>
          <w:tcPr>
            <w:tcW w:w="0" w:type="dxa"/>
            <w:vAlign w:val="bottom"/>
          </w:tcPr>
          <w:p>
            <w:pPr>
              <w:spacing w:after="0"/>
              <w:rPr>
                <w:sz w:val="1"/>
                <w:szCs w:val="1"/>
                <w:color w:val="auto"/>
              </w:rPr>
            </w:pPr>
          </w:p>
        </w:tc>
      </w:tr>
      <w:tr>
        <w:trPr>
          <w:trHeight w:val="257"/>
        </w:trPr>
        <w:tc>
          <w:tcPr>
            <w:tcW w:w="594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Net Income/(Loss) </w:t>
            </w:r>
            <w:r>
              <w:rPr>
                <w:rFonts w:ascii="Arial" w:cs="Arial" w:eastAsia="Arial" w:hAnsi="Arial"/>
                <w:sz w:val="20"/>
                <w:szCs w:val="20"/>
                <w:b w:val="1"/>
                <w:bCs w:val="1"/>
                <w:color w:val="B4B4B4"/>
                <w:w w:val="89"/>
              </w:rPr>
              <w:t>. . . . . . . . . . . . . . . . . . . . . . . . . . . . . . . . . . . . . . . . . . .</w:t>
            </w: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1,125</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(202)</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141"/>
              <w:spacing w:after="0"/>
              <w:rPr>
                <w:sz w:val="20"/>
                <w:szCs w:val="20"/>
                <w:color w:val="auto"/>
              </w:rPr>
            </w:pPr>
            <w:r>
              <w:rPr>
                <w:rFonts w:ascii="Arial" w:cs="Arial" w:eastAsia="Arial" w:hAnsi="Arial"/>
                <w:sz w:val="20"/>
                <w:szCs w:val="20"/>
                <w:color w:val="auto"/>
              </w:rPr>
              <w:t>1,327</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-6537325</wp:posOffset>
            </wp:positionV>
            <wp:extent cx="6466205" cy="65443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extLst>
                    </a:blip>
                    <a:srcRect/>
                    <a:stretch>
                      <a:fillRect/>
                    </a:stretch>
                  </pic:blipFill>
                  <pic:spPr bwMode="auto">
                    <a:xfrm>
                      <a:off x="0" y="0"/>
                      <a:ext cx="6466205" cy="6544310"/>
                    </a:xfrm>
                    <a:prstGeom prst="rect">
                      <a:avLst/>
                    </a:prstGeom>
                    <a:noFill/>
                  </pic:spPr>
                </pic:pic>
              </a:graphicData>
            </a:graphic>
          </wp:anchor>
        </w:drawing>
      </w:r>
    </w:p>
    <w:p>
      <w:pPr>
        <w:ind w:left="440" w:hanging="439"/>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realized gains and losses from financially settled transactions</w:t>
      </w:r>
    </w:p>
    <w:p>
      <w:pPr>
        <w:spacing w:after="0" w:line="23" w:lineRule="exact"/>
        <w:rPr>
          <w:rFonts w:ascii="Arial" w:cs="Arial" w:eastAsia="Arial" w:hAnsi="Arial"/>
          <w:sz w:val="16"/>
          <w:szCs w:val="16"/>
          <w:color w:val="auto"/>
        </w:rPr>
      </w:pPr>
    </w:p>
    <w:p>
      <w:pPr>
        <w:ind w:left="440" w:hanging="439"/>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trading gains and losses and ancillary revenues</w:t>
      </w:r>
    </w:p>
    <w:p>
      <w:pPr>
        <w:spacing w:after="0" w:line="6" w:lineRule="exact"/>
        <w:rPr>
          <w:rFonts w:ascii="Arial" w:cs="Arial" w:eastAsia="Arial" w:hAnsi="Arial"/>
          <w:sz w:val="16"/>
          <w:szCs w:val="16"/>
          <w:color w:val="auto"/>
        </w:rPr>
      </w:pPr>
    </w:p>
    <w:p>
      <w:pPr>
        <w:ind w:left="440" w:hanging="439"/>
        <w:spacing w:after="0" w:line="206" w:lineRule="auto"/>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amortization of SO</w:t>
      </w:r>
      <w:r>
        <w:rPr>
          <w:rFonts w:ascii="Arial" w:cs="Arial" w:eastAsia="Arial" w:hAnsi="Arial"/>
          <w:sz w:val="20"/>
          <w:szCs w:val="20"/>
          <w:color w:val="auto"/>
          <w:vertAlign w:val="subscript"/>
        </w:rPr>
        <w:t>2</w:t>
      </w:r>
      <w:r>
        <w:rPr>
          <w:rFonts w:ascii="Arial" w:cs="Arial" w:eastAsia="Arial" w:hAnsi="Arial"/>
          <w:sz w:val="16"/>
          <w:szCs w:val="16"/>
          <w:color w:val="auto"/>
        </w:rPr>
        <w:t xml:space="preserve"> and NO</w:t>
      </w:r>
      <w:r>
        <w:rPr>
          <w:rFonts w:ascii="Arial" w:cs="Arial" w:eastAsia="Arial" w:hAnsi="Arial"/>
          <w:sz w:val="20"/>
          <w:szCs w:val="20"/>
          <w:color w:val="auto"/>
          <w:vertAlign w:val="subscript"/>
        </w:rPr>
        <w:t>x</w:t>
      </w:r>
      <w:r>
        <w:rPr>
          <w:rFonts w:ascii="Arial" w:cs="Arial" w:eastAsia="Arial" w:hAnsi="Arial"/>
          <w:sz w:val="16"/>
          <w:szCs w:val="16"/>
          <w:color w:val="auto"/>
        </w:rPr>
        <w:t xml:space="preserve"> credits and excludes amortization of RGGI credits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Gross Margin</w:t>
      </w:r>
    </w:p>
    <w:p>
      <w:pPr>
        <w:spacing w:after="0" w:line="13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Company calculates gross margin in order to evaluate operating performance as revenues less cost of fuel, purchased energy and other costs of sales, mark-to-market for economic hedging activities, contract and emission credit amortization and depreciation and amortization.</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880" w:h="15480" w:orient="portrait"/>
          <w:cols w:equalWidth="0" w:num="1">
            <w:col w:w="10160"/>
          </w:cols>
          <w:pgMar w:left="860" w:top="505" w:right="860" w:bottom="0" w:gutter="0" w:footer="0" w:header="0"/>
          <w:type w:val="continuous"/>
        </w:sectPr>
      </w:pPr>
    </w:p>
    <w:bookmarkStart w:id="53" w:name="page54"/>
    <w:bookmarkEnd w:id="53"/>
    <w:p>
      <w:pPr>
        <w:ind w:left="440"/>
        <w:spacing w:after="0"/>
        <w:rPr>
          <w:sz w:val="20"/>
          <w:szCs w:val="20"/>
          <w:color w:val="auto"/>
        </w:rPr>
      </w:pPr>
      <w:r>
        <w:rPr>
          <w:rFonts w:ascii="Arial" w:cs="Arial" w:eastAsia="Arial" w:hAnsi="Arial"/>
          <w:sz w:val="20"/>
          <w:szCs w:val="20"/>
          <w:b w:val="1"/>
          <w:bCs w:val="1"/>
          <w:i w:val="1"/>
          <w:iCs w:val="1"/>
          <w:color w:val="auto"/>
        </w:rPr>
        <w:t>Economic Gross Margin</w:t>
      </w:r>
    </w:p>
    <w:p>
      <w:pPr>
        <w:spacing w:after="0" w:line="134"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9"/>
          <w:szCs w:val="19"/>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management. Economic gross margin is defined as the sum of retail revenue, energy revenue, capacity revenue and other revenue, less cost of fuels, purchased energy and other cost of sales. Economic gross margin does not include mark-to-market gains or losses on economic hedging activities, contract amortization, emission credit amortization, depreciation and amortization, operations and maintenance, or other costs of operations.</w:t>
      </w:r>
    </w:p>
    <w:p>
      <w:pPr>
        <w:spacing w:after="0" w:line="8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The following tables present the composition and reconciliation of gross margin and economic gross margin for the years ended December 31, 2024 and 2023:</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3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9"/>
          </w:tcPr>
          <w:p>
            <w:pPr>
              <w:jc w:val="right"/>
              <w:ind w:right="281"/>
              <w:spacing w:after="0"/>
              <w:rPr>
                <w:sz w:val="20"/>
                <w:szCs w:val="20"/>
                <w:color w:val="auto"/>
              </w:rPr>
            </w:pPr>
            <w:r>
              <w:rPr>
                <w:rFonts w:ascii="Arial" w:cs="Arial" w:eastAsia="Arial" w:hAnsi="Arial"/>
                <w:sz w:val="18"/>
                <w:szCs w:val="18"/>
                <w:b w:val="1"/>
                <w:bCs w:val="1"/>
                <w:color w:val="auto"/>
              </w:rPr>
              <w:t>Year Ended December 31, 2024</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center"/>
              <w:ind w:right="84"/>
              <w:spacing w:after="0"/>
              <w:rPr>
                <w:sz w:val="20"/>
                <w:szCs w:val="20"/>
                <w:color w:val="auto"/>
              </w:rPr>
            </w:pPr>
            <w:r>
              <w:rPr>
                <w:rFonts w:ascii="Arial" w:cs="Arial" w:eastAsia="Arial" w:hAnsi="Arial"/>
                <w:sz w:val="16"/>
                <w:szCs w:val="16"/>
                <w:b w:val="1"/>
                <w:bCs w:val="1"/>
                <w:color w:val="auto"/>
                <w:w w:val="88"/>
              </w:rPr>
              <w:t>West/</w:t>
            </w:r>
          </w:p>
        </w:tc>
        <w:tc>
          <w:tcPr>
            <w:tcW w:w="80" w:type="dxa"/>
            <w:vAlign w:val="bottom"/>
          </w:tcPr>
          <w:p>
            <w:pPr>
              <w:spacing w:after="0"/>
              <w:rPr>
                <w:sz w:val="16"/>
                <w:szCs w:val="16"/>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Vivint Smart</w:t>
            </w:r>
          </w:p>
        </w:tc>
        <w:tc>
          <w:tcPr>
            <w:tcW w:w="60" w:type="dxa"/>
            <w:vAlign w:val="bottom"/>
          </w:tcPr>
          <w:p>
            <w:pPr>
              <w:spacing w:after="0"/>
              <w:rPr>
                <w:sz w:val="16"/>
                <w:szCs w:val="16"/>
                <w:color w:val="auto"/>
              </w:rPr>
            </w:pPr>
          </w:p>
        </w:tc>
        <w:tc>
          <w:tcPr>
            <w:tcW w:w="1020" w:type="dxa"/>
            <w:vAlign w:val="bottom"/>
            <w:gridSpan w:val="2"/>
            <w:vMerge w:val="restart"/>
          </w:tcPr>
          <w:p>
            <w:pPr>
              <w:jc w:val="right"/>
              <w:ind w:right="41"/>
              <w:spacing w:after="0"/>
              <w:rPr>
                <w:sz w:val="20"/>
                <w:szCs w:val="20"/>
                <w:color w:val="auto"/>
              </w:rPr>
            </w:pPr>
            <w:r>
              <w:rPr>
                <w:rFonts w:ascii="Arial" w:cs="Arial" w:eastAsia="Arial" w:hAnsi="Arial"/>
                <w:sz w:val="16"/>
                <w:szCs w:val="16"/>
                <w:b w:val="1"/>
                <w:bCs w:val="1"/>
                <w:color w:val="auto"/>
              </w:rPr>
              <w:t>Corporate/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600" w:type="dxa"/>
            <w:vAlign w:val="bottom"/>
            <w:vMerge w:val="restart"/>
          </w:tcPr>
          <w:p>
            <w:pPr>
              <w:spacing w:after="0"/>
              <w:rPr>
                <w:sz w:val="20"/>
                <w:szCs w:val="20"/>
                <w:color w:val="auto"/>
              </w:rPr>
            </w:pPr>
            <w:r>
              <w:rPr>
                <w:rFonts w:ascii="Arial" w:cs="Arial" w:eastAsia="Arial" w:hAnsi="Arial"/>
                <w:sz w:val="16"/>
                <w:szCs w:val="16"/>
                <w:b w:val="1"/>
                <w:bCs w:val="1"/>
                <w:color w:val="auto"/>
              </w:rPr>
              <w:t>($ in millions, except otherwise noted)</w:t>
            </w:r>
          </w:p>
        </w:tc>
        <w:tc>
          <w:tcPr>
            <w:tcW w:w="220" w:type="dxa"/>
            <w:vAlign w:val="bottom"/>
          </w:tcPr>
          <w:p>
            <w:pPr>
              <w:spacing w:after="0"/>
              <w:rPr>
                <w:sz w:val="13"/>
                <w:szCs w:val="13"/>
                <w:color w:val="auto"/>
              </w:rPr>
            </w:pPr>
          </w:p>
        </w:tc>
        <w:tc>
          <w:tcPr>
            <w:tcW w:w="80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Texas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263"/>
              <w:spacing w:after="0"/>
              <w:rPr>
                <w:sz w:val="20"/>
                <w:szCs w:val="20"/>
                <w:color w:val="auto"/>
              </w:rPr>
            </w:pPr>
            <w:r>
              <w:rPr>
                <w:rFonts w:ascii="Arial" w:cs="Arial" w:eastAsia="Arial" w:hAnsi="Arial"/>
                <w:sz w:val="16"/>
                <w:szCs w:val="16"/>
                <w:b w:val="1"/>
                <w:bCs w:val="1"/>
                <w:color w:val="auto"/>
              </w:rPr>
              <w:t>East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ind w:right="104"/>
              <w:spacing w:after="0" w:line="158" w:lineRule="exact"/>
              <w:rPr>
                <w:sz w:val="20"/>
                <w:szCs w:val="20"/>
                <w:color w:val="auto"/>
              </w:rPr>
            </w:pPr>
            <w:r>
              <w:rPr>
                <w:rFonts w:ascii="Arial" w:cs="Arial" w:eastAsia="Arial" w:hAnsi="Arial"/>
                <w:sz w:val="16"/>
                <w:szCs w:val="16"/>
                <w:b w:val="1"/>
                <w:bCs w:val="1"/>
                <w:color w:val="auto"/>
                <w:w w:val="85"/>
              </w:rPr>
              <w:t>Services/</w:t>
            </w: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4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6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04"/>
              <w:spacing w:after="0"/>
              <w:rPr>
                <w:sz w:val="20"/>
                <w:szCs w:val="20"/>
                <w:color w:val="auto"/>
              </w:rPr>
            </w:pPr>
            <w:r>
              <w:rPr>
                <w:rFonts w:ascii="Arial" w:cs="Arial" w:eastAsia="Arial" w:hAnsi="Arial"/>
                <w:sz w:val="16"/>
                <w:szCs w:val="16"/>
                <w:b w:val="1"/>
                <w:bCs w:val="1"/>
                <w:color w:val="auto"/>
                <w:w w:val="93"/>
              </w:rPr>
              <w:t>Other</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Home</w:t>
            </w:r>
          </w:p>
        </w:tc>
        <w:tc>
          <w:tcPr>
            <w:tcW w:w="60" w:type="dxa"/>
            <w:vAlign w:val="bottom"/>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6"/>
              </w:rPr>
              <w:t>Eliminations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600" w:type="dxa"/>
            <w:vAlign w:val="bottom"/>
          </w:tcPr>
          <w:p>
            <w:pPr>
              <w:ind w:left="120"/>
              <w:spacing w:after="0"/>
              <w:rPr>
                <w:sz w:val="20"/>
                <w:szCs w:val="20"/>
                <w:color w:val="auto"/>
              </w:rPr>
            </w:pPr>
            <w:r>
              <w:rPr>
                <w:rFonts w:ascii="Arial" w:cs="Arial" w:eastAsia="Arial" w:hAnsi="Arial"/>
                <w:sz w:val="20"/>
                <w:szCs w:val="20"/>
                <w:color w:val="auto"/>
                <w:w w:val="91"/>
              </w:rPr>
              <w:t xml:space="preserve">Retail revenue  </w:t>
            </w:r>
            <w:r>
              <w:rPr>
                <w:rFonts w:ascii="Arial" w:cs="Arial" w:eastAsia="Arial" w:hAnsi="Arial"/>
                <w:sz w:val="20"/>
                <w:szCs w:val="20"/>
                <w:color w:val="B4B4B4"/>
                <w:w w:val="91"/>
              </w:rPr>
              <w:t>. . . . . . . . . . . . . . . . .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10,400</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11,247</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3,595</w:t>
            </w:r>
          </w:p>
        </w:tc>
        <w:tc>
          <w:tcPr>
            <w:tcW w:w="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1,932</w:t>
            </w:r>
          </w:p>
        </w:tc>
        <w:tc>
          <w:tcPr>
            <w:tcW w:w="480" w:type="dxa"/>
            <w:vAlign w:val="bottom"/>
            <w:gridSpan w:val="2"/>
          </w:tcPr>
          <w:p>
            <w:pPr>
              <w:jc w:val="right"/>
              <w:ind w:right="201"/>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(25)</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27,149</w:t>
            </w:r>
          </w:p>
        </w:tc>
        <w:tc>
          <w:tcPr>
            <w:tcW w:w="0" w:type="dxa"/>
            <w:vAlign w:val="bottom"/>
          </w:tcPr>
          <w:p>
            <w:pPr>
              <w:spacing w:after="0"/>
              <w:rPr>
                <w:sz w:val="1"/>
                <w:szCs w:val="1"/>
                <w:color w:val="auto"/>
              </w:rPr>
            </w:pPr>
          </w:p>
        </w:tc>
      </w:tr>
      <w:tr>
        <w:trPr>
          <w:trHeight w:val="297"/>
        </w:trPr>
        <w:tc>
          <w:tcPr>
            <w:tcW w:w="3600" w:type="dxa"/>
            <w:vAlign w:val="bottom"/>
          </w:tcPr>
          <w:p>
            <w:pPr>
              <w:ind w:left="120"/>
              <w:spacing w:after="0"/>
              <w:rPr>
                <w:sz w:val="20"/>
                <w:szCs w:val="20"/>
                <w:color w:val="auto"/>
              </w:rPr>
            </w:pPr>
            <w:r>
              <w:rPr>
                <w:rFonts w:ascii="Arial" w:cs="Arial" w:eastAsia="Arial" w:hAnsi="Arial"/>
                <w:sz w:val="20"/>
                <w:szCs w:val="20"/>
                <w:color w:val="auto"/>
                <w:w w:val="90"/>
              </w:rPr>
              <w:t xml:space="preserve">Energy revenue  </w:t>
            </w:r>
            <w:r>
              <w:rPr>
                <w:rFonts w:ascii="Arial" w:cs="Arial" w:eastAsia="Arial" w:hAnsi="Arial"/>
                <w:sz w:val="20"/>
                <w:szCs w:val="20"/>
                <w:color w:val="B4B4B4"/>
                <w:w w:val="90"/>
              </w:rPr>
              <w:t>. . . . . . . . . . . . . . . . . . . . .</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242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229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500</w:t>
            </w:r>
          </w:p>
        </w:tc>
        <w:tc>
          <w:tcPr>
            <w:tcW w:w="0" w:type="dxa"/>
            <w:vAlign w:val="bottom"/>
          </w:tcPr>
          <w:p>
            <w:pPr>
              <w:spacing w:after="0"/>
              <w:rPr>
                <w:sz w:val="1"/>
                <w:szCs w:val="1"/>
                <w:color w:val="auto"/>
              </w:rPr>
            </w:pPr>
          </w:p>
        </w:tc>
      </w:tr>
      <w:tr>
        <w:trPr>
          <w:trHeight w:val="297"/>
        </w:trPr>
        <w:tc>
          <w:tcPr>
            <w:tcW w:w="3600" w:type="dxa"/>
            <w:vAlign w:val="bottom"/>
          </w:tcPr>
          <w:p>
            <w:pPr>
              <w:ind w:left="120"/>
              <w:spacing w:after="0"/>
              <w:rPr>
                <w:sz w:val="20"/>
                <w:szCs w:val="20"/>
                <w:color w:val="auto"/>
              </w:rPr>
            </w:pPr>
            <w:r>
              <w:rPr>
                <w:rFonts w:ascii="Arial" w:cs="Arial" w:eastAsia="Arial" w:hAnsi="Arial"/>
                <w:sz w:val="20"/>
                <w:szCs w:val="20"/>
                <w:color w:val="auto"/>
                <w:w w:val="91"/>
              </w:rPr>
              <w:t xml:space="preserve">Capacity revenue </w:t>
            </w:r>
            <w:r>
              <w:rPr>
                <w:rFonts w:ascii="Arial" w:cs="Arial" w:eastAsia="Arial" w:hAnsi="Arial"/>
                <w:sz w:val="20"/>
                <w:szCs w:val="20"/>
                <w:color w:val="B4B4B4"/>
                <w:w w:val="91"/>
              </w:rPr>
              <w:t>. . . . . . . . . . . . . . . . . . . .</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156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177</w:t>
            </w:r>
          </w:p>
        </w:tc>
        <w:tc>
          <w:tcPr>
            <w:tcW w:w="0" w:type="dxa"/>
            <w:vAlign w:val="bottom"/>
          </w:tcPr>
          <w:p>
            <w:pPr>
              <w:spacing w:after="0"/>
              <w:rPr>
                <w:sz w:val="1"/>
                <w:szCs w:val="1"/>
                <w:color w:val="auto"/>
              </w:rPr>
            </w:pPr>
          </w:p>
        </w:tc>
      </w:tr>
      <w:tr>
        <w:trPr>
          <w:trHeight w:val="232"/>
        </w:trPr>
        <w:tc>
          <w:tcPr>
            <w:tcW w:w="3600" w:type="dxa"/>
            <w:vAlign w:val="bottom"/>
          </w:tcPr>
          <w:p>
            <w:pPr>
              <w:ind w:left="120"/>
              <w:spacing w:after="0"/>
              <w:rPr>
                <w:sz w:val="20"/>
                <w:szCs w:val="20"/>
                <w:color w:val="auto"/>
              </w:rPr>
            </w:pPr>
            <w:r>
              <w:rPr>
                <w:rFonts w:ascii="Arial" w:cs="Arial" w:eastAsia="Arial" w:hAnsi="Arial"/>
                <w:sz w:val="20"/>
                <w:szCs w:val="20"/>
                <w:color w:val="auto"/>
              </w:rPr>
              <w:t>Mark-to-market for economic hedging</w:t>
            </w: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58"/>
        </w:trPr>
        <w:tc>
          <w:tcPr>
            <w:tcW w:w="3600" w:type="dxa"/>
            <w:vAlign w:val="bottom"/>
          </w:tcPr>
          <w:p>
            <w:pPr>
              <w:ind w:left="120"/>
              <w:spacing w:after="0"/>
              <w:rPr>
                <w:sz w:val="20"/>
                <w:szCs w:val="20"/>
                <w:color w:val="auto"/>
              </w:rPr>
            </w:pPr>
            <w:r>
              <w:rPr>
                <w:rFonts w:ascii="Arial" w:cs="Arial" w:eastAsia="Arial" w:hAnsi="Arial"/>
                <w:sz w:val="20"/>
                <w:szCs w:val="20"/>
                <w:color w:val="auto"/>
                <w:w w:val="91"/>
              </w:rPr>
              <w:t xml:space="preserve">activities </w:t>
            </w:r>
            <w:r>
              <w:rPr>
                <w:rFonts w:ascii="Arial" w:cs="Arial" w:eastAsia="Arial" w:hAnsi="Arial"/>
                <w:sz w:val="20"/>
                <w:szCs w:val="20"/>
                <w:color w:val="B4B4B4"/>
                <w:w w:val="91"/>
              </w:rPr>
              <w:t>. . . . . . . . . . . . . . . . . . . . . . . . . . .</w:t>
            </w:r>
          </w:p>
        </w:tc>
        <w:tc>
          <w:tcPr>
            <w:tcW w:w="2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600" w:type="dxa"/>
            <w:vAlign w:val="bottom"/>
          </w:tcPr>
          <w:p>
            <w:pPr>
              <w:ind w:left="120"/>
              <w:spacing w:after="0"/>
              <w:rPr>
                <w:sz w:val="20"/>
                <w:szCs w:val="20"/>
                <w:color w:val="auto"/>
              </w:rPr>
            </w:pPr>
            <w:r>
              <w:rPr>
                <w:rFonts w:ascii="Arial" w:cs="Arial" w:eastAsia="Arial" w:hAnsi="Arial"/>
                <w:sz w:val="20"/>
                <w:szCs w:val="20"/>
                <w:color w:val="auto"/>
                <w:w w:val="91"/>
              </w:rPr>
              <w:t xml:space="preserve">Contract amortization </w:t>
            </w:r>
            <w:r>
              <w:rPr>
                <w:rFonts w:ascii="Arial" w:cs="Arial" w:eastAsia="Arial" w:hAnsi="Arial"/>
                <w:sz w:val="20"/>
                <w:szCs w:val="20"/>
                <w:color w:val="B4B4B4"/>
                <w:w w:val="91"/>
              </w:rPr>
              <w:t>. . . . . . . . . . . . . . . . .</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99"/>
        </w:trPr>
        <w:tc>
          <w:tcPr>
            <w:tcW w:w="3600" w:type="dxa"/>
            <w:vAlign w:val="bottom"/>
          </w:tcPr>
          <w:p>
            <w:pPr>
              <w:ind w:left="120"/>
              <w:spacing w:after="0"/>
              <w:rPr>
                <w:sz w:val="20"/>
                <w:szCs w:val="20"/>
                <w:color w:val="auto"/>
              </w:rPr>
            </w:pPr>
            <w:r>
              <w:rPr>
                <w:rFonts w:ascii="Arial" w:cs="Arial" w:eastAsia="Arial" w:hAnsi="Arial"/>
                <w:sz w:val="20"/>
                <w:szCs w:val="20"/>
                <w:color w:val="auto"/>
                <w:w w:val="89"/>
              </w:rPr>
              <w:t>Other revenue</w:t>
            </w:r>
            <w:r>
              <w:rPr>
                <w:rFonts w:ascii="Arial" w:cs="Arial" w:eastAsia="Arial" w:hAnsi="Arial"/>
                <w:sz w:val="25"/>
                <w:szCs w:val="25"/>
                <w:color w:val="auto"/>
                <w:w w:val="89"/>
                <w:vertAlign w:val="superscript"/>
              </w:rPr>
              <w:t>(a)</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212</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336</w:t>
            </w:r>
          </w:p>
        </w:tc>
        <w:tc>
          <w:tcPr>
            <w:tcW w:w="0" w:type="dxa"/>
            <w:vAlign w:val="bottom"/>
          </w:tcPr>
          <w:p>
            <w:pPr>
              <w:spacing w:after="0"/>
              <w:rPr>
                <w:sz w:val="1"/>
                <w:szCs w:val="1"/>
                <w:color w:val="auto"/>
              </w:rPr>
            </w:pPr>
          </w:p>
        </w:tc>
      </w:tr>
      <w:tr>
        <w:trPr>
          <w:trHeight w:val="275"/>
        </w:trPr>
        <w:tc>
          <w:tcPr>
            <w:tcW w:w="3600" w:type="dxa"/>
            <w:vAlign w:val="bottom"/>
          </w:tcPr>
          <w:p>
            <w:pPr>
              <w:ind w:left="220"/>
              <w:spacing w:after="0"/>
              <w:rPr>
                <w:sz w:val="20"/>
                <w:szCs w:val="20"/>
                <w:color w:val="auto"/>
              </w:rPr>
            </w:pPr>
            <w:r>
              <w:rPr>
                <w:rFonts w:ascii="Arial" w:cs="Arial" w:eastAsia="Arial" w:hAnsi="Arial"/>
                <w:sz w:val="20"/>
                <w:szCs w:val="20"/>
                <w:color w:val="auto"/>
                <w:w w:val="91"/>
              </w:rPr>
              <w:t xml:space="preserve">Total revenue </w:t>
            </w:r>
            <w:r>
              <w:rPr>
                <w:rFonts w:ascii="Arial" w:cs="Arial" w:eastAsia="Arial" w:hAnsi="Arial"/>
                <w:sz w:val="20"/>
                <w:szCs w:val="20"/>
                <w:color w:val="B4B4B4"/>
                <w:w w:val="91"/>
              </w:rPr>
              <w:t>. . . . . . . . . . . . . . . . . . . . . .</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10,653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11,707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3,886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1,932</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(48)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28,130</w:t>
            </w:r>
          </w:p>
        </w:tc>
        <w:tc>
          <w:tcPr>
            <w:tcW w:w="0" w:type="dxa"/>
            <w:vAlign w:val="bottom"/>
          </w:tcPr>
          <w:p>
            <w:pPr>
              <w:spacing w:after="0"/>
              <w:rPr>
                <w:sz w:val="1"/>
                <w:szCs w:val="1"/>
                <w:color w:val="auto"/>
              </w:rPr>
            </w:pPr>
          </w:p>
        </w:tc>
      </w:tr>
      <w:tr>
        <w:trPr>
          <w:trHeight w:val="297"/>
        </w:trPr>
        <w:tc>
          <w:tcPr>
            <w:tcW w:w="3600" w:type="dxa"/>
            <w:vAlign w:val="bottom"/>
          </w:tcPr>
          <w:p>
            <w:pPr>
              <w:ind w:left="120"/>
              <w:spacing w:after="0"/>
              <w:rPr>
                <w:sz w:val="20"/>
                <w:szCs w:val="20"/>
                <w:color w:val="auto"/>
              </w:rPr>
            </w:pPr>
            <w:r>
              <w:rPr>
                <w:rFonts w:ascii="Arial" w:cs="Arial" w:eastAsia="Arial" w:hAnsi="Arial"/>
                <w:sz w:val="20"/>
                <w:szCs w:val="20"/>
                <w:color w:val="auto"/>
                <w:w w:val="92"/>
              </w:rPr>
              <w:t xml:space="preserve">Cost of fuel  </w:t>
            </w:r>
            <w:r>
              <w:rPr>
                <w:rFonts w:ascii="Arial" w:cs="Arial" w:eastAsia="Arial" w:hAnsi="Arial"/>
                <w:sz w:val="20"/>
                <w:szCs w:val="20"/>
                <w:color w:val="B4B4B4"/>
                <w:w w:val="92"/>
              </w:rPr>
              <w:t>. . . . . . . . . . . . . . . . . . . . . . . .</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(647)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(135)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(108)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(890)</w:t>
            </w:r>
          </w:p>
        </w:tc>
        <w:tc>
          <w:tcPr>
            <w:tcW w:w="0" w:type="dxa"/>
            <w:vAlign w:val="bottom"/>
          </w:tcPr>
          <w:p>
            <w:pPr>
              <w:spacing w:after="0"/>
              <w:rPr>
                <w:sz w:val="1"/>
                <w:szCs w:val="1"/>
                <w:color w:val="auto"/>
              </w:rPr>
            </w:pPr>
          </w:p>
        </w:tc>
      </w:tr>
      <w:tr>
        <w:trPr>
          <w:trHeight w:val="232"/>
        </w:trPr>
        <w:tc>
          <w:tcPr>
            <w:tcW w:w="3600" w:type="dxa"/>
            <w:vAlign w:val="bottom"/>
          </w:tcPr>
          <w:p>
            <w:pPr>
              <w:ind w:left="120"/>
              <w:spacing w:after="0"/>
              <w:rPr>
                <w:sz w:val="20"/>
                <w:szCs w:val="20"/>
                <w:color w:val="auto"/>
              </w:rPr>
            </w:pPr>
            <w:r>
              <w:rPr>
                <w:rFonts w:ascii="Arial" w:cs="Arial" w:eastAsia="Arial" w:hAnsi="Arial"/>
                <w:sz w:val="20"/>
                <w:szCs w:val="20"/>
                <w:color w:val="auto"/>
              </w:rPr>
              <w:t>Purchased energy and other costs of</w:t>
            </w: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(6,585)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(9,577)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(3,090)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(144)</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w w:val="99"/>
              </w:rPr>
              <w:t>(19,371)</w:t>
            </w:r>
          </w:p>
        </w:tc>
        <w:tc>
          <w:tcPr>
            <w:tcW w:w="0" w:type="dxa"/>
            <w:vAlign w:val="bottom"/>
          </w:tcPr>
          <w:p>
            <w:pPr>
              <w:spacing w:after="0"/>
              <w:rPr>
                <w:sz w:val="1"/>
                <w:szCs w:val="1"/>
                <w:color w:val="auto"/>
              </w:rPr>
            </w:pPr>
          </w:p>
        </w:tc>
      </w:tr>
      <w:tr>
        <w:trPr>
          <w:trHeight w:val="292"/>
        </w:trPr>
        <w:tc>
          <w:tcPr>
            <w:tcW w:w="3600" w:type="dxa"/>
            <w:vAlign w:val="bottom"/>
          </w:tcPr>
          <w:p>
            <w:pPr>
              <w:ind w:left="120"/>
              <w:spacing w:after="0"/>
              <w:rPr>
                <w:sz w:val="20"/>
                <w:szCs w:val="20"/>
                <w:color w:val="auto"/>
              </w:rPr>
            </w:pPr>
            <w:r>
              <w:rPr>
                <w:rFonts w:ascii="Arial" w:cs="Arial" w:eastAsia="Arial" w:hAnsi="Arial"/>
                <w:sz w:val="20"/>
                <w:szCs w:val="20"/>
                <w:color w:val="auto"/>
                <w:w w:val="87"/>
              </w:rPr>
              <w:t>sales</w:t>
            </w:r>
            <w:r>
              <w:rPr>
                <w:rFonts w:ascii="Arial" w:cs="Arial" w:eastAsia="Arial" w:hAnsi="Arial"/>
                <w:sz w:val="25"/>
                <w:szCs w:val="25"/>
                <w:color w:val="auto"/>
                <w:w w:val="87"/>
                <w:vertAlign w:val="superscript"/>
              </w:rPr>
              <w:t>(b)(c)(d)</w:t>
            </w:r>
            <w:r>
              <w:rPr>
                <w:rFonts w:ascii="Arial" w:cs="Arial" w:eastAsia="Arial" w:hAnsi="Arial"/>
                <w:sz w:val="20"/>
                <w:szCs w:val="20"/>
                <w:color w:val="auto"/>
                <w:w w:val="87"/>
              </w:rPr>
              <w:t xml:space="preserve"> </w:t>
            </w:r>
            <w:r>
              <w:rPr>
                <w:rFonts w:ascii="Arial" w:cs="Arial" w:eastAsia="Arial" w:hAnsi="Arial"/>
                <w:sz w:val="20"/>
                <w:szCs w:val="20"/>
                <w:color w:val="B4B4B4"/>
                <w:w w:val="87"/>
              </w:rPr>
              <w:t>. . . . . . . . . . . . . . . . . . . . . . . . . .</w:t>
            </w:r>
          </w:p>
        </w:tc>
        <w:tc>
          <w:tcPr>
            <w:tcW w:w="22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600" w:type="dxa"/>
            <w:vAlign w:val="bottom"/>
          </w:tcPr>
          <w:p>
            <w:pPr>
              <w:ind w:left="120"/>
              <w:spacing w:after="0" w:line="199" w:lineRule="exact"/>
              <w:rPr>
                <w:sz w:val="20"/>
                <w:szCs w:val="20"/>
                <w:color w:val="auto"/>
              </w:rPr>
            </w:pPr>
            <w:r>
              <w:rPr>
                <w:rFonts w:ascii="Arial" w:cs="Arial" w:eastAsia="Arial" w:hAnsi="Arial"/>
                <w:sz w:val="20"/>
                <w:szCs w:val="20"/>
                <w:color w:val="auto"/>
              </w:rPr>
              <w:t>Mark-to-market for economic hedging</w:t>
            </w: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(684)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1,083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(186)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209</w:t>
            </w:r>
          </w:p>
        </w:tc>
        <w:tc>
          <w:tcPr>
            <w:tcW w:w="0" w:type="dxa"/>
            <w:vAlign w:val="bottom"/>
          </w:tcPr>
          <w:p>
            <w:pPr>
              <w:spacing w:after="0"/>
              <w:rPr>
                <w:sz w:val="1"/>
                <w:szCs w:val="1"/>
                <w:color w:val="auto"/>
              </w:rPr>
            </w:pPr>
          </w:p>
        </w:tc>
      </w:tr>
      <w:tr>
        <w:trPr>
          <w:trHeight w:val="258"/>
        </w:trPr>
        <w:tc>
          <w:tcPr>
            <w:tcW w:w="3600" w:type="dxa"/>
            <w:vAlign w:val="bottom"/>
          </w:tcPr>
          <w:p>
            <w:pPr>
              <w:ind w:left="120"/>
              <w:spacing w:after="0"/>
              <w:rPr>
                <w:sz w:val="20"/>
                <w:szCs w:val="20"/>
                <w:color w:val="auto"/>
              </w:rPr>
            </w:pPr>
            <w:r>
              <w:rPr>
                <w:rFonts w:ascii="Arial" w:cs="Arial" w:eastAsia="Arial" w:hAnsi="Arial"/>
                <w:sz w:val="20"/>
                <w:szCs w:val="20"/>
                <w:color w:val="auto"/>
                <w:w w:val="91"/>
              </w:rPr>
              <w:t xml:space="preserve">activities </w:t>
            </w:r>
            <w:r>
              <w:rPr>
                <w:rFonts w:ascii="Arial" w:cs="Arial" w:eastAsia="Arial" w:hAnsi="Arial"/>
                <w:sz w:val="20"/>
                <w:szCs w:val="20"/>
                <w:color w:val="B4B4B4"/>
                <w:w w:val="91"/>
              </w:rPr>
              <w:t>. . . . . . . . . . . . . . . . . . . . . . . . . . .</w:t>
            </w:r>
          </w:p>
        </w:tc>
        <w:tc>
          <w:tcPr>
            <w:tcW w:w="2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600" w:type="dxa"/>
            <w:vAlign w:val="bottom"/>
          </w:tcPr>
          <w:p>
            <w:pPr>
              <w:ind w:left="120"/>
              <w:spacing w:after="0"/>
              <w:rPr>
                <w:sz w:val="20"/>
                <w:szCs w:val="20"/>
                <w:color w:val="auto"/>
              </w:rPr>
            </w:pPr>
            <w:r>
              <w:rPr>
                <w:rFonts w:ascii="Arial" w:cs="Arial" w:eastAsia="Arial" w:hAnsi="Arial"/>
                <w:sz w:val="20"/>
                <w:szCs w:val="20"/>
                <w:color w:val="auto"/>
                <w:w w:val="91"/>
              </w:rPr>
              <w:t>Contract and emissions credit amortization</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99"/>
        </w:trPr>
        <w:tc>
          <w:tcPr>
            <w:tcW w:w="3600" w:type="dxa"/>
            <w:vAlign w:val="bottom"/>
          </w:tcPr>
          <w:p>
            <w:pPr>
              <w:ind w:left="120"/>
              <w:spacing w:after="0"/>
              <w:rPr>
                <w:sz w:val="20"/>
                <w:szCs w:val="20"/>
                <w:color w:val="auto"/>
              </w:rPr>
            </w:pPr>
            <w:r>
              <w:rPr>
                <w:rFonts w:ascii="Arial" w:cs="Arial" w:eastAsia="Arial" w:hAnsi="Arial"/>
                <w:sz w:val="20"/>
                <w:szCs w:val="20"/>
                <w:color w:val="auto"/>
                <w:w w:val="91"/>
              </w:rPr>
              <w:t xml:space="preserve">Depreciation and amortization </w:t>
            </w:r>
            <w:r>
              <w:rPr>
                <w:rFonts w:ascii="Arial" w:cs="Arial" w:eastAsia="Arial" w:hAnsi="Arial"/>
                <w:sz w:val="20"/>
                <w:szCs w:val="20"/>
                <w:color w:val="B4B4B4"/>
                <w:w w:val="91"/>
              </w:rPr>
              <w:t>. . . . . . . . . .</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(323)</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(767)</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(1,403)</w:t>
            </w:r>
          </w:p>
        </w:tc>
        <w:tc>
          <w:tcPr>
            <w:tcW w:w="0" w:type="dxa"/>
            <w:vAlign w:val="bottom"/>
          </w:tcPr>
          <w:p>
            <w:pPr>
              <w:spacing w:after="0"/>
              <w:rPr>
                <w:sz w:val="1"/>
                <w:szCs w:val="1"/>
                <w:color w:val="auto"/>
              </w:rPr>
            </w:pPr>
          </w:p>
        </w:tc>
      </w:tr>
      <w:tr>
        <w:trPr>
          <w:trHeight w:val="275"/>
        </w:trPr>
        <w:tc>
          <w:tcPr>
            <w:tcW w:w="3600" w:type="dxa"/>
            <w:vAlign w:val="bottom"/>
          </w:tcPr>
          <w:p>
            <w:pPr>
              <w:ind w:left="220"/>
              <w:spacing w:after="0"/>
              <w:rPr>
                <w:sz w:val="20"/>
                <w:szCs w:val="20"/>
                <w:color w:val="auto"/>
              </w:rPr>
            </w:pPr>
            <w:r>
              <w:rPr>
                <w:rFonts w:ascii="Arial" w:cs="Arial" w:eastAsia="Arial" w:hAnsi="Arial"/>
                <w:sz w:val="20"/>
                <w:szCs w:val="20"/>
                <w:b w:val="1"/>
                <w:bCs w:val="1"/>
                <w:color w:val="auto"/>
                <w:w w:val="92"/>
              </w:rPr>
              <w:t xml:space="preserve">Gross margin </w:t>
            </w:r>
            <w:r>
              <w:rPr>
                <w:rFonts w:ascii="Arial" w:cs="Arial" w:eastAsia="Arial" w:hAnsi="Arial"/>
                <w:sz w:val="20"/>
                <w:szCs w:val="20"/>
                <w:b w:val="1"/>
                <w:bCs w:val="1"/>
                <w:color w:val="B4B4B4"/>
                <w:w w:val="92"/>
              </w:rPr>
              <w:t>. . . . . . . . . . . . . . . .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2,405</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2,889</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379</w:t>
            </w:r>
          </w:p>
        </w:tc>
        <w:tc>
          <w:tcPr>
            <w:tcW w:w="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1,021</w:t>
            </w:r>
          </w:p>
        </w:tc>
        <w:tc>
          <w:tcPr>
            <w:tcW w:w="480" w:type="dxa"/>
            <w:vAlign w:val="bottom"/>
            <w:gridSpan w:val="2"/>
          </w:tcPr>
          <w:p>
            <w:pPr>
              <w:jc w:val="right"/>
              <w:ind w:right="201"/>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(68)</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6,626</w:t>
            </w:r>
          </w:p>
        </w:tc>
        <w:tc>
          <w:tcPr>
            <w:tcW w:w="0" w:type="dxa"/>
            <w:vAlign w:val="bottom"/>
          </w:tcPr>
          <w:p>
            <w:pPr>
              <w:spacing w:after="0"/>
              <w:rPr>
                <w:sz w:val="1"/>
                <w:szCs w:val="1"/>
                <w:color w:val="auto"/>
              </w:rPr>
            </w:pPr>
          </w:p>
        </w:tc>
      </w:tr>
      <w:tr>
        <w:trPr>
          <w:trHeight w:val="232"/>
        </w:trPr>
        <w:tc>
          <w:tcPr>
            <w:tcW w:w="3600" w:type="dxa"/>
            <w:vAlign w:val="bottom"/>
          </w:tcPr>
          <w:p>
            <w:pPr>
              <w:ind w:left="120"/>
              <w:spacing w:after="0"/>
              <w:rPr>
                <w:sz w:val="20"/>
                <w:szCs w:val="20"/>
                <w:color w:val="auto"/>
              </w:rPr>
            </w:pPr>
            <w:r>
              <w:rPr>
                <w:rFonts w:ascii="Arial" w:cs="Arial" w:eastAsia="Arial" w:hAnsi="Arial"/>
                <w:sz w:val="20"/>
                <w:szCs w:val="20"/>
                <w:color w:val="auto"/>
              </w:rPr>
              <w:t>Less: Mark-to-market for economic</w:t>
            </w: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(684)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1,060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(170)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206</w:t>
            </w:r>
          </w:p>
        </w:tc>
        <w:tc>
          <w:tcPr>
            <w:tcW w:w="0" w:type="dxa"/>
            <w:vAlign w:val="bottom"/>
          </w:tcPr>
          <w:p>
            <w:pPr>
              <w:spacing w:after="0"/>
              <w:rPr>
                <w:sz w:val="1"/>
                <w:szCs w:val="1"/>
                <w:color w:val="auto"/>
              </w:rPr>
            </w:pPr>
          </w:p>
        </w:tc>
      </w:tr>
      <w:tr>
        <w:trPr>
          <w:trHeight w:val="258"/>
        </w:trPr>
        <w:tc>
          <w:tcPr>
            <w:tcW w:w="3600" w:type="dxa"/>
            <w:vAlign w:val="bottom"/>
          </w:tcPr>
          <w:p>
            <w:pPr>
              <w:ind w:left="120"/>
              <w:spacing w:after="0"/>
              <w:rPr>
                <w:sz w:val="20"/>
                <w:szCs w:val="20"/>
                <w:color w:val="auto"/>
              </w:rPr>
            </w:pPr>
            <w:r>
              <w:rPr>
                <w:rFonts w:ascii="Arial" w:cs="Arial" w:eastAsia="Arial" w:hAnsi="Arial"/>
                <w:sz w:val="20"/>
                <w:szCs w:val="20"/>
                <w:color w:val="auto"/>
                <w:w w:val="92"/>
              </w:rPr>
              <w:t xml:space="preserve">hedging activities, net  </w:t>
            </w:r>
            <w:r>
              <w:rPr>
                <w:rFonts w:ascii="Arial" w:cs="Arial" w:eastAsia="Arial" w:hAnsi="Arial"/>
                <w:sz w:val="20"/>
                <w:szCs w:val="20"/>
                <w:color w:val="B4B4B4"/>
                <w:w w:val="92"/>
              </w:rPr>
              <w:t>. . . . . . . . . . . . . . . .</w:t>
            </w:r>
          </w:p>
        </w:tc>
        <w:tc>
          <w:tcPr>
            <w:tcW w:w="2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600" w:type="dxa"/>
            <w:vAlign w:val="bottom"/>
          </w:tcPr>
          <w:p>
            <w:pPr>
              <w:ind w:left="120"/>
              <w:spacing w:after="0"/>
              <w:rPr>
                <w:sz w:val="20"/>
                <w:szCs w:val="20"/>
                <w:color w:val="auto"/>
              </w:rPr>
            </w:pPr>
            <w:r>
              <w:rPr>
                <w:rFonts w:ascii="Arial" w:cs="Arial" w:eastAsia="Arial" w:hAnsi="Arial"/>
                <w:sz w:val="20"/>
                <w:szCs w:val="20"/>
                <w:color w:val="auto"/>
              </w:rPr>
              <w:t>Less: Contract and emissions credit</w:t>
            </w: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(58)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258"/>
        </w:trPr>
        <w:tc>
          <w:tcPr>
            <w:tcW w:w="3600" w:type="dxa"/>
            <w:vAlign w:val="bottom"/>
          </w:tcPr>
          <w:p>
            <w:pPr>
              <w:ind w:left="120"/>
              <w:spacing w:after="0"/>
              <w:rPr>
                <w:sz w:val="20"/>
                <w:szCs w:val="20"/>
                <w:color w:val="auto"/>
              </w:rPr>
            </w:pPr>
            <w:r>
              <w:rPr>
                <w:rFonts w:ascii="Arial" w:cs="Arial" w:eastAsia="Arial" w:hAnsi="Arial"/>
                <w:sz w:val="20"/>
                <w:szCs w:val="20"/>
                <w:color w:val="auto"/>
                <w:w w:val="92"/>
              </w:rPr>
              <w:t xml:space="preserve">amortization, net  </w:t>
            </w:r>
            <w:r>
              <w:rPr>
                <w:rFonts w:ascii="Arial" w:cs="Arial" w:eastAsia="Arial" w:hAnsi="Arial"/>
                <w:sz w:val="20"/>
                <w:szCs w:val="20"/>
                <w:color w:val="B4B4B4"/>
                <w:w w:val="92"/>
              </w:rPr>
              <w:t>. . . . . . . . . . . . . . . . . . . .</w:t>
            </w:r>
          </w:p>
        </w:tc>
        <w:tc>
          <w:tcPr>
            <w:tcW w:w="2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3600" w:type="dxa"/>
            <w:vAlign w:val="bottom"/>
          </w:tcPr>
          <w:p>
            <w:pPr>
              <w:ind w:left="120"/>
              <w:spacing w:after="0"/>
              <w:rPr>
                <w:sz w:val="20"/>
                <w:szCs w:val="20"/>
                <w:color w:val="auto"/>
              </w:rPr>
            </w:pPr>
            <w:r>
              <w:rPr>
                <w:rFonts w:ascii="Arial" w:cs="Arial" w:eastAsia="Arial" w:hAnsi="Arial"/>
                <w:sz w:val="20"/>
                <w:szCs w:val="20"/>
                <w:color w:val="auto"/>
                <w:w w:val="92"/>
              </w:rPr>
              <w:t xml:space="preserve">Less: Depreciation and amortization </w:t>
            </w:r>
            <w:r>
              <w:rPr>
                <w:rFonts w:ascii="Arial" w:cs="Arial" w:eastAsia="Arial" w:hAnsi="Arial"/>
                <w:sz w:val="20"/>
                <w:szCs w:val="20"/>
                <w:color w:val="B4B4B4"/>
                <w:w w:val="92"/>
              </w:rPr>
              <w:t>. . . . .</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(323)</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(767)</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(1,403)</w:t>
            </w:r>
          </w:p>
        </w:tc>
        <w:tc>
          <w:tcPr>
            <w:tcW w:w="0" w:type="dxa"/>
            <w:vAlign w:val="bottom"/>
          </w:tcPr>
          <w:p>
            <w:pPr>
              <w:spacing w:after="0"/>
              <w:rPr>
                <w:sz w:val="1"/>
                <w:szCs w:val="1"/>
                <w:color w:val="auto"/>
              </w:rPr>
            </w:pPr>
          </w:p>
        </w:tc>
      </w:tr>
      <w:tr>
        <w:trPr>
          <w:trHeight w:val="275"/>
        </w:trPr>
        <w:tc>
          <w:tcPr>
            <w:tcW w:w="3600" w:type="dxa"/>
            <w:vAlign w:val="bottom"/>
          </w:tcPr>
          <w:p>
            <w:pPr>
              <w:ind w:left="220"/>
              <w:spacing w:after="0"/>
              <w:rPr>
                <w:sz w:val="20"/>
                <w:szCs w:val="20"/>
                <w:color w:val="auto"/>
              </w:rPr>
            </w:pPr>
            <w:r>
              <w:rPr>
                <w:rFonts w:ascii="Arial" w:cs="Arial" w:eastAsia="Arial" w:hAnsi="Arial"/>
                <w:sz w:val="20"/>
                <w:szCs w:val="20"/>
                <w:b w:val="1"/>
                <w:bCs w:val="1"/>
                <w:color w:val="auto"/>
                <w:w w:val="90"/>
              </w:rPr>
              <w:t xml:space="preserve">Economic gross margin </w:t>
            </w:r>
            <w:r>
              <w:rPr>
                <w:rFonts w:ascii="Arial" w:cs="Arial" w:eastAsia="Arial" w:hAnsi="Arial"/>
                <w:sz w:val="20"/>
                <w:szCs w:val="20"/>
                <w:b w:val="1"/>
                <w:bCs w:val="1"/>
                <w:color w:val="B4B4B4"/>
                <w:w w:val="90"/>
              </w:rPr>
              <w:t>. . . . . . . .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3,421</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2,045</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674</w:t>
            </w:r>
          </w:p>
        </w:tc>
        <w:tc>
          <w:tcPr>
            <w:tcW w:w="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1,788</w:t>
            </w:r>
          </w:p>
        </w:tc>
        <w:tc>
          <w:tcPr>
            <w:tcW w:w="480" w:type="dxa"/>
            <w:vAlign w:val="bottom"/>
            <w:gridSpan w:val="2"/>
          </w:tcPr>
          <w:p>
            <w:pPr>
              <w:jc w:val="right"/>
              <w:ind w:right="201"/>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(27)</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7,901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-3823335</wp:posOffset>
            </wp:positionV>
            <wp:extent cx="6475095" cy="384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extLst>
                    </a:blip>
                    <a:srcRect/>
                    <a:stretch>
                      <a:fillRect/>
                    </a:stretch>
                  </pic:blipFill>
                  <pic:spPr bwMode="auto">
                    <a:xfrm>
                      <a:off x="0" y="0"/>
                      <a:ext cx="6475095" cy="3844290"/>
                    </a:xfrm>
                    <a:prstGeom prst="rect">
                      <a:avLst/>
                    </a:prstGeom>
                    <a:noFill/>
                  </pic:spPr>
                </pic:pic>
              </a:graphicData>
            </a:graphic>
          </wp:anchor>
        </w:drawing>
      </w:r>
    </w:p>
    <w:p>
      <w:pPr>
        <w:spacing w:after="0" w:line="35" w:lineRule="exact"/>
        <w:rPr>
          <w:sz w:val="20"/>
          <w:szCs w:val="20"/>
          <w:color w:val="auto"/>
        </w:rPr>
      </w:pPr>
    </w:p>
    <w:p>
      <w:pPr>
        <w:ind w:left="760" w:hanging="350"/>
        <w:spacing w:after="0"/>
        <w:tabs>
          <w:tab w:leader="none" w:pos="7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Includes trading gains and losses and ancillary revenues</w:t>
      </w:r>
    </w:p>
    <w:p>
      <w:pPr>
        <w:spacing w:after="0" w:line="79" w:lineRule="exact"/>
        <w:rPr>
          <w:rFonts w:ascii="Arial" w:cs="Arial" w:eastAsia="Arial" w:hAnsi="Arial"/>
          <w:sz w:val="15"/>
          <w:szCs w:val="15"/>
          <w:color w:val="auto"/>
        </w:rPr>
      </w:pPr>
    </w:p>
    <w:p>
      <w:pPr>
        <w:ind w:left="760" w:hanging="350"/>
        <w:spacing w:after="0"/>
        <w:tabs>
          <w:tab w:leader="none" w:pos="7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Includes capacity and emissions credits</w:t>
      </w:r>
    </w:p>
    <w:p>
      <w:pPr>
        <w:spacing w:after="0" w:line="79" w:lineRule="exact"/>
        <w:rPr>
          <w:rFonts w:ascii="Arial" w:cs="Arial" w:eastAsia="Arial" w:hAnsi="Arial"/>
          <w:sz w:val="15"/>
          <w:szCs w:val="15"/>
          <w:color w:val="auto"/>
        </w:rPr>
      </w:pPr>
    </w:p>
    <w:p>
      <w:pPr>
        <w:ind w:left="760" w:hanging="350"/>
        <w:spacing w:after="0"/>
        <w:tabs>
          <w:tab w:leader="none" w:pos="7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Includes $3.3 billion, $278 million and $1.2 billion of TDSP expense in Texas, East, and West/Services/Other, respectively</w:t>
      </w:r>
    </w:p>
    <w:p>
      <w:pPr>
        <w:spacing w:after="0" w:line="79" w:lineRule="exact"/>
        <w:rPr>
          <w:rFonts w:ascii="Arial" w:cs="Arial" w:eastAsia="Arial" w:hAnsi="Arial"/>
          <w:sz w:val="15"/>
          <w:szCs w:val="15"/>
          <w:color w:val="auto"/>
        </w:rPr>
      </w:pPr>
    </w:p>
    <w:p>
      <w:pPr>
        <w:ind w:left="760" w:hanging="350"/>
        <w:spacing w:after="0"/>
        <w:tabs>
          <w:tab w:leader="none" w:pos="7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Excludes depreciation and amortization shown separately</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880" w:h="15480" w:orient="portrait"/>
          <w:cols w:equalWidth="0" w:num="1">
            <w:col w:w="10160"/>
          </w:cols>
          <w:pgMar w:left="860" w:top="505" w:right="860" w:bottom="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41"/>
        </w:trPr>
        <w:tc>
          <w:tcPr>
            <w:tcW w:w="36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Year Ended December 31, 2024</w:t>
            </w: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8"/>
              </w:rPr>
              <w:t>West/</w:t>
            </w:r>
          </w:p>
        </w:tc>
        <w:tc>
          <w:tcPr>
            <w:tcW w:w="80" w:type="dxa"/>
            <w:vAlign w:val="bottom"/>
          </w:tcPr>
          <w:p>
            <w:pPr>
              <w:spacing w:after="0"/>
              <w:rPr>
                <w:sz w:val="16"/>
                <w:szCs w:val="16"/>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Vivint Smart</w:t>
            </w:r>
          </w:p>
        </w:tc>
        <w:tc>
          <w:tcPr>
            <w:tcW w:w="94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w w:val="96"/>
              </w:rPr>
              <w:t>Corporate/</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600" w:type="dxa"/>
            <w:vAlign w:val="bottom"/>
            <w:vMerge w:val="restart"/>
          </w:tcPr>
          <w:p>
            <w:pPr>
              <w:spacing w:after="0"/>
              <w:rPr>
                <w:sz w:val="20"/>
                <w:szCs w:val="20"/>
                <w:color w:val="auto"/>
              </w:rPr>
            </w:pPr>
            <w:r>
              <w:rPr>
                <w:rFonts w:ascii="Arial" w:cs="Arial" w:eastAsia="Arial" w:hAnsi="Arial"/>
                <w:sz w:val="16"/>
                <w:szCs w:val="16"/>
                <w:b w:val="1"/>
                <w:bCs w:val="1"/>
                <w:color w:val="auto"/>
              </w:rPr>
              <w:t>Business Metrics</w:t>
            </w:r>
          </w:p>
        </w:tc>
        <w:tc>
          <w:tcPr>
            <w:tcW w:w="1020" w:type="dxa"/>
            <w:vAlign w:val="bottom"/>
            <w:vMerge w:val="restart"/>
          </w:tcPr>
          <w:p>
            <w:pPr>
              <w:jc w:val="right"/>
              <w:ind w:right="223"/>
              <w:spacing w:after="0"/>
              <w:rPr>
                <w:sz w:val="20"/>
                <w:szCs w:val="20"/>
                <w:color w:val="auto"/>
              </w:rPr>
            </w:pPr>
            <w:r>
              <w:rPr>
                <w:rFonts w:ascii="Arial" w:cs="Arial" w:eastAsia="Arial" w:hAnsi="Arial"/>
                <w:sz w:val="16"/>
                <w:szCs w:val="16"/>
                <w:b w:val="1"/>
                <w:bCs w:val="1"/>
                <w:color w:val="auto"/>
              </w:rPr>
              <w:t>Texas</w:t>
            </w:r>
          </w:p>
        </w:tc>
        <w:tc>
          <w:tcPr>
            <w:tcW w:w="80" w:type="dxa"/>
            <w:vAlign w:val="bottom"/>
          </w:tcPr>
          <w:p>
            <w:pPr>
              <w:spacing w:after="0"/>
              <w:rPr>
                <w:sz w:val="13"/>
                <w:szCs w:val="13"/>
                <w:color w:val="auto"/>
              </w:rPr>
            </w:pPr>
          </w:p>
        </w:tc>
        <w:tc>
          <w:tcPr>
            <w:tcW w:w="940" w:type="dxa"/>
            <w:vAlign w:val="bottom"/>
            <w:vMerge w:val="restart"/>
          </w:tcPr>
          <w:p>
            <w:pPr>
              <w:jc w:val="right"/>
              <w:ind w:right="188"/>
              <w:spacing w:after="0"/>
              <w:rPr>
                <w:sz w:val="20"/>
                <w:szCs w:val="20"/>
                <w:color w:val="auto"/>
              </w:rPr>
            </w:pPr>
            <w:r>
              <w:rPr>
                <w:rFonts w:ascii="Arial" w:cs="Arial" w:eastAsia="Arial" w:hAnsi="Arial"/>
                <w:sz w:val="16"/>
                <w:szCs w:val="16"/>
                <w:b w:val="1"/>
                <w:bCs w:val="1"/>
                <w:color w:val="auto"/>
              </w:rPr>
              <w:t>East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5"/>
              </w:rPr>
              <w:t>Services/</w:t>
            </w:r>
          </w:p>
        </w:tc>
        <w:tc>
          <w:tcPr>
            <w:tcW w:w="8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restart"/>
          </w:tcPr>
          <w:p>
            <w:pPr>
              <w:jc w:val="right"/>
              <w:ind w:right="26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600" w:type="dxa"/>
            <w:vAlign w:val="bottom"/>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Other</w:t>
            </w: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ind w:right="225"/>
              <w:spacing w:after="0"/>
              <w:rPr>
                <w:sz w:val="20"/>
                <w:szCs w:val="20"/>
                <w:color w:val="auto"/>
              </w:rPr>
            </w:pPr>
            <w:r>
              <w:rPr>
                <w:rFonts w:ascii="Arial" w:cs="Arial" w:eastAsia="Arial" w:hAnsi="Arial"/>
                <w:sz w:val="16"/>
                <w:szCs w:val="16"/>
                <w:b w:val="1"/>
                <w:bCs w:val="1"/>
                <w:color w:val="auto"/>
              </w:rPr>
              <w:t>Home</w:t>
            </w: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Eliminations</w:t>
            </w:r>
          </w:p>
        </w:tc>
        <w:tc>
          <w:tcPr>
            <w:tcW w:w="8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600" w:type="dxa"/>
            <w:vAlign w:val="bottom"/>
          </w:tcPr>
          <w:p>
            <w:pPr>
              <w:ind w:left="120"/>
              <w:spacing w:after="0"/>
              <w:rPr>
                <w:sz w:val="20"/>
                <w:szCs w:val="20"/>
                <w:color w:val="auto"/>
              </w:rPr>
            </w:pPr>
            <w:r>
              <w:rPr>
                <w:rFonts w:ascii="Arial" w:cs="Arial" w:eastAsia="Arial" w:hAnsi="Arial"/>
                <w:sz w:val="20"/>
                <w:szCs w:val="20"/>
                <w:color w:val="auto"/>
                <w:w w:val="92"/>
              </w:rPr>
              <w:t xml:space="preserve">Home electricity sales volume (GWh) </w:t>
            </w:r>
            <w:r>
              <w:rPr>
                <w:rFonts w:ascii="Arial" w:cs="Arial" w:eastAsia="Arial" w:hAnsi="Arial"/>
                <w:sz w:val="20"/>
                <w:szCs w:val="20"/>
                <w:color w:val="B4B4B4"/>
                <w:w w:val="92"/>
              </w:rPr>
              <w:t>. . . .</w:t>
            </w:r>
          </w:p>
        </w:tc>
        <w:tc>
          <w:tcPr>
            <w:tcW w:w="1020" w:type="dxa"/>
            <w:vAlign w:val="bottom"/>
          </w:tcPr>
          <w:p>
            <w:pPr>
              <w:jc w:val="right"/>
              <w:spacing w:after="0"/>
              <w:rPr>
                <w:sz w:val="20"/>
                <w:szCs w:val="20"/>
                <w:color w:val="auto"/>
              </w:rPr>
            </w:pPr>
            <w:r>
              <w:rPr>
                <w:rFonts w:ascii="Arial" w:cs="Arial" w:eastAsia="Arial" w:hAnsi="Arial"/>
                <w:sz w:val="20"/>
                <w:szCs w:val="20"/>
                <w:color w:val="auto"/>
              </w:rPr>
              <w:t>39,353</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15,229</w:t>
            </w: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2,355</w:t>
            </w:r>
          </w:p>
        </w:tc>
        <w:tc>
          <w:tcPr>
            <w:tcW w:w="80" w:type="dxa"/>
            <w:vAlign w:val="bottom"/>
          </w:tcPr>
          <w:p>
            <w:pPr>
              <w:spacing w:after="0"/>
              <w:rPr>
                <w:sz w:val="23"/>
                <w:szCs w:val="23"/>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20"/>
                <w:szCs w:val="20"/>
                <w:color w:val="auto"/>
              </w:rPr>
              <w:t>56,937</w:t>
            </w:r>
          </w:p>
        </w:tc>
        <w:tc>
          <w:tcPr>
            <w:tcW w:w="0" w:type="dxa"/>
            <w:vAlign w:val="bottom"/>
          </w:tcPr>
          <w:p>
            <w:pPr>
              <w:spacing w:after="0"/>
              <w:rPr>
                <w:sz w:val="1"/>
                <w:szCs w:val="1"/>
                <w:color w:val="auto"/>
              </w:rPr>
            </w:pPr>
          </w:p>
        </w:tc>
      </w:tr>
      <w:tr>
        <w:trPr>
          <w:trHeight w:val="297"/>
        </w:trPr>
        <w:tc>
          <w:tcPr>
            <w:tcW w:w="3600" w:type="dxa"/>
            <w:vAlign w:val="bottom"/>
          </w:tcPr>
          <w:p>
            <w:pPr>
              <w:ind w:left="120"/>
              <w:spacing w:after="0"/>
              <w:rPr>
                <w:sz w:val="20"/>
                <w:szCs w:val="20"/>
                <w:color w:val="auto"/>
              </w:rPr>
            </w:pPr>
            <w:r>
              <w:rPr>
                <w:rFonts w:ascii="Arial" w:cs="Arial" w:eastAsia="Arial" w:hAnsi="Arial"/>
                <w:sz w:val="20"/>
                <w:szCs w:val="20"/>
                <w:color w:val="auto"/>
                <w:w w:val="92"/>
              </w:rPr>
              <w:t xml:space="preserve">Business electricity sales volume (GWh)  </w:t>
            </w:r>
            <w:r>
              <w:rPr>
                <w:rFonts w:ascii="Arial" w:cs="Arial" w:eastAsia="Arial" w:hAnsi="Arial"/>
                <w:sz w:val="20"/>
                <w:szCs w:val="20"/>
                <w:color w:val="B4B4B4"/>
                <w:w w:val="92"/>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40,274</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46,724</w:t>
            </w: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10,513</w:t>
            </w:r>
          </w:p>
        </w:tc>
        <w:tc>
          <w:tcPr>
            <w:tcW w:w="80" w:type="dxa"/>
            <w:vAlign w:val="bottom"/>
          </w:tcPr>
          <w:p>
            <w:pPr>
              <w:spacing w:after="0"/>
              <w:rPr>
                <w:sz w:val="24"/>
                <w:szCs w:val="2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20"/>
                <w:szCs w:val="20"/>
                <w:color w:val="auto"/>
              </w:rPr>
              <w:t>97,511</w:t>
            </w:r>
          </w:p>
        </w:tc>
        <w:tc>
          <w:tcPr>
            <w:tcW w:w="0" w:type="dxa"/>
            <w:vAlign w:val="bottom"/>
          </w:tcPr>
          <w:p>
            <w:pPr>
              <w:spacing w:after="0"/>
              <w:rPr>
                <w:sz w:val="1"/>
                <w:szCs w:val="1"/>
                <w:color w:val="auto"/>
              </w:rPr>
            </w:pPr>
          </w:p>
        </w:tc>
      </w:tr>
      <w:tr>
        <w:trPr>
          <w:trHeight w:val="232"/>
        </w:trPr>
        <w:tc>
          <w:tcPr>
            <w:tcW w:w="3600" w:type="dxa"/>
            <w:vAlign w:val="bottom"/>
          </w:tcPr>
          <w:p>
            <w:pPr>
              <w:ind w:left="120"/>
              <w:spacing w:after="0"/>
              <w:rPr>
                <w:sz w:val="20"/>
                <w:szCs w:val="20"/>
                <w:color w:val="auto"/>
              </w:rPr>
            </w:pPr>
            <w:r>
              <w:rPr>
                <w:rFonts w:ascii="Arial" w:cs="Arial" w:eastAsia="Arial" w:hAnsi="Arial"/>
                <w:sz w:val="20"/>
                <w:szCs w:val="20"/>
                <w:color w:val="auto"/>
              </w:rPr>
              <w:t>Home natural gas retail sales volumes</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020" w:type="dxa"/>
            <w:vAlign w:val="bottom"/>
            <w:gridSpan w:val="2"/>
            <w:vMerge w:val="restart"/>
          </w:tcPr>
          <w:p>
            <w:pPr>
              <w:jc w:val="right"/>
              <w:spacing w:after="0"/>
              <w:rPr>
                <w:sz w:val="20"/>
                <w:szCs w:val="20"/>
                <w:color w:val="auto"/>
              </w:rPr>
            </w:pPr>
            <w:r>
              <w:rPr>
                <w:rFonts w:ascii="Arial" w:cs="Arial" w:eastAsia="Arial" w:hAnsi="Arial"/>
                <w:sz w:val="20"/>
                <w:szCs w:val="20"/>
                <w:color w:val="auto"/>
              </w:rPr>
              <w:t>49,927</w:t>
            </w:r>
          </w:p>
        </w:tc>
        <w:tc>
          <w:tcPr>
            <w:tcW w:w="1180" w:type="dxa"/>
            <w:vAlign w:val="bottom"/>
            <w:gridSpan w:val="3"/>
            <w:vMerge w:val="restart"/>
          </w:tcPr>
          <w:p>
            <w:pPr>
              <w:jc w:val="right"/>
              <w:spacing w:after="0"/>
              <w:rPr>
                <w:sz w:val="20"/>
                <w:szCs w:val="20"/>
                <w:color w:val="auto"/>
              </w:rPr>
            </w:pPr>
            <w:r>
              <w:rPr>
                <w:rFonts w:ascii="Arial" w:cs="Arial" w:eastAsia="Arial" w:hAnsi="Arial"/>
                <w:sz w:val="20"/>
                <w:szCs w:val="20"/>
                <w:color w:val="auto"/>
              </w:rPr>
              <w:t>75,898</w:t>
            </w:r>
          </w:p>
        </w:tc>
        <w:tc>
          <w:tcPr>
            <w:tcW w:w="80" w:type="dxa"/>
            <w:vAlign w:val="bottom"/>
          </w:tcPr>
          <w:p>
            <w:pPr>
              <w:spacing w:after="0"/>
              <w:rPr>
                <w:sz w:val="20"/>
                <w:szCs w:val="20"/>
                <w:color w:val="auto"/>
              </w:rPr>
            </w:pPr>
          </w:p>
        </w:tc>
        <w:tc>
          <w:tcPr>
            <w:tcW w:w="1160" w:type="dxa"/>
            <w:vAlign w:val="bottom"/>
            <w:gridSpan w:val="3"/>
            <w:vMerge w:val="restart"/>
          </w:tcPr>
          <w:p>
            <w:pPr>
              <w:jc w:val="right"/>
              <w:ind w:right="220"/>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125,825</w:t>
            </w:r>
          </w:p>
        </w:tc>
        <w:tc>
          <w:tcPr>
            <w:tcW w:w="0" w:type="dxa"/>
            <w:vAlign w:val="bottom"/>
          </w:tcPr>
          <w:p>
            <w:pPr>
              <w:spacing w:after="0"/>
              <w:rPr>
                <w:sz w:val="1"/>
                <w:szCs w:val="1"/>
                <w:color w:val="auto"/>
              </w:rPr>
            </w:pPr>
          </w:p>
        </w:tc>
      </w:tr>
      <w:tr>
        <w:trPr>
          <w:trHeight w:val="258"/>
        </w:trPr>
        <w:tc>
          <w:tcPr>
            <w:tcW w:w="3600" w:type="dxa"/>
            <w:vAlign w:val="bottom"/>
          </w:tcPr>
          <w:p>
            <w:pPr>
              <w:ind w:left="120"/>
              <w:spacing w:after="0"/>
              <w:rPr>
                <w:sz w:val="20"/>
                <w:szCs w:val="20"/>
                <w:color w:val="auto"/>
              </w:rPr>
            </w:pPr>
            <w:r>
              <w:rPr>
                <w:rFonts w:ascii="Arial" w:cs="Arial" w:eastAsia="Arial" w:hAnsi="Arial"/>
                <w:sz w:val="20"/>
                <w:szCs w:val="20"/>
                <w:color w:val="auto"/>
                <w:w w:val="92"/>
              </w:rPr>
              <w:t xml:space="preserve">(MDth) </w:t>
            </w:r>
            <w:r>
              <w:rPr>
                <w:rFonts w:ascii="Arial" w:cs="Arial" w:eastAsia="Arial" w:hAnsi="Arial"/>
                <w:sz w:val="20"/>
                <w:szCs w:val="20"/>
                <w:color w:val="B4B4B4"/>
                <w:w w:val="92"/>
              </w:rPr>
              <w:t>. . . . . . . . . . . . . . . . . . . . . . . . . . . .</w:t>
            </w:r>
          </w:p>
        </w:tc>
        <w:tc>
          <w:tcPr>
            <w:tcW w:w="1020" w:type="dxa"/>
            <w:vAlign w:val="bottom"/>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1180" w:type="dxa"/>
            <w:vAlign w:val="bottom"/>
            <w:gridSpan w:val="3"/>
            <w:vMerge w:val="continue"/>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3"/>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600" w:type="dxa"/>
            <w:vAlign w:val="bottom"/>
          </w:tcPr>
          <w:p>
            <w:pPr>
              <w:ind w:left="120"/>
              <w:spacing w:after="0"/>
              <w:rPr>
                <w:sz w:val="20"/>
                <w:szCs w:val="20"/>
                <w:color w:val="auto"/>
              </w:rPr>
            </w:pPr>
            <w:r>
              <w:rPr>
                <w:rFonts w:ascii="Arial" w:cs="Arial" w:eastAsia="Arial" w:hAnsi="Arial"/>
                <w:sz w:val="20"/>
                <w:szCs w:val="20"/>
                <w:color w:val="auto"/>
                <w:w w:val="94"/>
              </w:rPr>
              <w:t>Business natural gas retail sales volumes</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020" w:type="dxa"/>
            <w:vAlign w:val="bottom"/>
            <w:gridSpan w:val="2"/>
            <w:vMerge w:val="restart"/>
          </w:tcPr>
          <w:p>
            <w:pPr>
              <w:jc w:val="right"/>
              <w:spacing w:after="0"/>
              <w:rPr>
                <w:sz w:val="20"/>
                <w:szCs w:val="20"/>
                <w:color w:val="auto"/>
              </w:rPr>
            </w:pPr>
            <w:r>
              <w:rPr>
                <w:rFonts w:ascii="Arial" w:cs="Arial" w:eastAsia="Arial" w:hAnsi="Arial"/>
                <w:sz w:val="20"/>
                <w:szCs w:val="20"/>
                <w:color w:val="auto"/>
              </w:rPr>
              <w:t>1,525,094</w:t>
            </w:r>
          </w:p>
        </w:tc>
        <w:tc>
          <w:tcPr>
            <w:tcW w:w="1180" w:type="dxa"/>
            <w:vAlign w:val="bottom"/>
            <w:gridSpan w:val="3"/>
            <w:vMerge w:val="restart"/>
          </w:tcPr>
          <w:p>
            <w:pPr>
              <w:jc w:val="right"/>
              <w:spacing w:after="0"/>
              <w:rPr>
                <w:sz w:val="20"/>
                <w:szCs w:val="20"/>
                <w:color w:val="auto"/>
              </w:rPr>
            </w:pPr>
            <w:r>
              <w:rPr>
                <w:rFonts w:ascii="Arial" w:cs="Arial" w:eastAsia="Arial" w:hAnsi="Arial"/>
                <w:sz w:val="20"/>
                <w:szCs w:val="20"/>
                <w:color w:val="auto"/>
              </w:rPr>
              <w:t>181,972</w:t>
            </w:r>
          </w:p>
        </w:tc>
        <w:tc>
          <w:tcPr>
            <w:tcW w:w="80" w:type="dxa"/>
            <w:vAlign w:val="bottom"/>
          </w:tcPr>
          <w:p>
            <w:pPr>
              <w:spacing w:after="0"/>
              <w:rPr>
                <w:sz w:val="20"/>
                <w:szCs w:val="20"/>
                <w:color w:val="auto"/>
              </w:rPr>
            </w:pPr>
          </w:p>
        </w:tc>
        <w:tc>
          <w:tcPr>
            <w:tcW w:w="1160" w:type="dxa"/>
            <w:vAlign w:val="bottom"/>
            <w:gridSpan w:val="3"/>
            <w:vMerge w:val="restart"/>
          </w:tcPr>
          <w:p>
            <w:pPr>
              <w:jc w:val="right"/>
              <w:ind w:right="220"/>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1,707,066</w:t>
            </w:r>
          </w:p>
        </w:tc>
        <w:tc>
          <w:tcPr>
            <w:tcW w:w="0" w:type="dxa"/>
            <w:vAlign w:val="bottom"/>
          </w:tcPr>
          <w:p>
            <w:pPr>
              <w:spacing w:after="0"/>
              <w:rPr>
                <w:sz w:val="1"/>
                <w:szCs w:val="1"/>
                <w:color w:val="auto"/>
              </w:rPr>
            </w:pPr>
          </w:p>
        </w:tc>
      </w:tr>
      <w:tr>
        <w:trPr>
          <w:trHeight w:val="258"/>
        </w:trPr>
        <w:tc>
          <w:tcPr>
            <w:tcW w:w="3600" w:type="dxa"/>
            <w:vAlign w:val="bottom"/>
          </w:tcPr>
          <w:p>
            <w:pPr>
              <w:ind w:left="120"/>
              <w:spacing w:after="0"/>
              <w:rPr>
                <w:sz w:val="20"/>
                <w:szCs w:val="20"/>
                <w:color w:val="auto"/>
              </w:rPr>
            </w:pPr>
            <w:r>
              <w:rPr>
                <w:rFonts w:ascii="Arial" w:cs="Arial" w:eastAsia="Arial" w:hAnsi="Arial"/>
                <w:sz w:val="20"/>
                <w:szCs w:val="20"/>
                <w:color w:val="auto"/>
                <w:w w:val="92"/>
              </w:rPr>
              <w:t xml:space="preserve">(MDth) </w:t>
            </w:r>
            <w:r>
              <w:rPr>
                <w:rFonts w:ascii="Arial" w:cs="Arial" w:eastAsia="Arial" w:hAnsi="Arial"/>
                <w:sz w:val="20"/>
                <w:szCs w:val="20"/>
                <w:color w:val="B4B4B4"/>
                <w:w w:val="92"/>
              </w:rPr>
              <w:t>. . . . . . . . . . . . . . . . . . . . . . . . . . . .</w:t>
            </w:r>
          </w:p>
        </w:tc>
        <w:tc>
          <w:tcPr>
            <w:tcW w:w="1020" w:type="dxa"/>
            <w:vAlign w:val="bottom"/>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1180" w:type="dxa"/>
            <w:vAlign w:val="bottom"/>
            <w:gridSpan w:val="3"/>
            <w:vMerge w:val="continue"/>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3"/>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600" w:type="dxa"/>
            <w:vAlign w:val="bottom"/>
          </w:tcPr>
          <w:p>
            <w:pPr>
              <w:ind w:left="120"/>
              <w:spacing w:after="0"/>
              <w:rPr>
                <w:sz w:val="20"/>
                <w:szCs w:val="20"/>
                <w:color w:val="auto"/>
              </w:rPr>
            </w:pPr>
            <w:r>
              <w:rPr>
                <w:rFonts w:ascii="Arial" w:cs="Arial" w:eastAsia="Arial" w:hAnsi="Arial"/>
                <w:sz w:val="20"/>
                <w:szCs w:val="20"/>
                <w:color w:val="auto"/>
                <w:w w:val="98"/>
              </w:rPr>
              <w:t>Average retail Home customer count (in</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2,940</w:t>
            </w:r>
          </w:p>
        </w:tc>
        <w:tc>
          <w:tcPr>
            <w:tcW w:w="1020" w:type="dxa"/>
            <w:vAlign w:val="bottom"/>
            <w:gridSpan w:val="2"/>
            <w:vMerge w:val="restart"/>
          </w:tcPr>
          <w:p>
            <w:pPr>
              <w:jc w:val="right"/>
              <w:spacing w:after="0"/>
              <w:rPr>
                <w:sz w:val="20"/>
                <w:szCs w:val="20"/>
                <w:color w:val="auto"/>
              </w:rPr>
            </w:pPr>
            <w:r>
              <w:rPr>
                <w:rFonts w:ascii="Arial" w:cs="Arial" w:eastAsia="Arial" w:hAnsi="Arial"/>
                <w:sz w:val="20"/>
                <w:szCs w:val="20"/>
                <w:color w:val="auto"/>
              </w:rPr>
              <w:t>2,165</w:t>
            </w:r>
          </w:p>
        </w:tc>
        <w:tc>
          <w:tcPr>
            <w:tcW w:w="1180" w:type="dxa"/>
            <w:vAlign w:val="bottom"/>
            <w:gridSpan w:val="3"/>
            <w:vMerge w:val="restart"/>
          </w:tcPr>
          <w:p>
            <w:pPr>
              <w:jc w:val="right"/>
              <w:spacing w:after="0"/>
              <w:rPr>
                <w:sz w:val="20"/>
                <w:szCs w:val="20"/>
                <w:color w:val="auto"/>
              </w:rPr>
            </w:pPr>
            <w:r>
              <w:rPr>
                <w:rFonts w:ascii="Arial" w:cs="Arial" w:eastAsia="Arial" w:hAnsi="Arial"/>
                <w:sz w:val="20"/>
                <w:szCs w:val="20"/>
                <w:color w:val="auto"/>
              </w:rPr>
              <w:t>748</w:t>
            </w:r>
          </w:p>
        </w:tc>
        <w:tc>
          <w:tcPr>
            <w:tcW w:w="80" w:type="dxa"/>
            <w:vAlign w:val="bottom"/>
          </w:tcPr>
          <w:p>
            <w:pPr>
              <w:spacing w:after="0"/>
              <w:rPr>
                <w:sz w:val="20"/>
                <w:szCs w:val="20"/>
                <w:color w:val="auto"/>
              </w:rPr>
            </w:pPr>
          </w:p>
        </w:tc>
        <w:tc>
          <w:tcPr>
            <w:tcW w:w="1160" w:type="dxa"/>
            <w:vAlign w:val="bottom"/>
            <w:gridSpan w:val="3"/>
            <w:vMerge w:val="restart"/>
          </w:tcPr>
          <w:p>
            <w:pPr>
              <w:jc w:val="right"/>
              <w:ind w:right="220"/>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5,853</w:t>
            </w:r>
          </w:p>
        </w:tc>
        <w:tc>
          <w:tcPr>
            <w:tcW w:w="0" w:type="dxa"/>
            <w:vAlign w:val="bottom"/>
          </w:tcPr>
          <w:p>
            <w:pPr>
              <w:spacing w:after="0"/>
              <w:rPr>
                <w:sz w:val="1"/>
                <w:szCs w:val="1"/>
                <w:color w:val="auto"/>
              </w:rPr>
            </w:pPr>
          </w:p>
        </w:tc>
      </w:tr>
      <w:tr>
        <w:trPr>
          <w:trHeight w:val="292"/>
        </w:trPr>
        <w:tc>
          <w:tcPr>
            <w:tcW w:w="3600" w:type="dxa"/>
            <w:vAlign w:val="bottom"/>
          </w:tcPr>
          <w:p>
            <w:pPr>
              <w:ind w:left="120"/>
              <w:spacing w:after="0"/>
              <w:rPr>
                <w:sz w:val="20"/>
                <w:szCs w:val="20"/>
                <w:color w:val="auto"/>
              </w:rPr>
            </w:pPr>
            <w:r>
              <w:rPr>
                <w:rFonts w:ascii="Arial" w:cs="Arial" w:eastAsia="Arial" w:hAnsi="Arial"/>
                <w:sz w:val="20"/>
                <w:szCs w:val="20"/>
                <w:color w:val="auto"/>
                <w:w w:val="88"/>
              </w:rPr>
              <w:t>thousands)</w:t>
            </w:r>
            <w:r>
              <w:rPr>
                <w:rFonts w:ascii="Arial" w:cs="Arial" w:eastAsia="Arial" w:hAnsi="Arial"/>
                <w:sz w:val="25"/>
                <w:szCs w:val="25"/>
                <w:color w:val="auto"/>
                <w:w w:val="88"/>
                <w:vertAlign w:val="superscript"/>
              </w:rPr>
              <w:t>(a)</w:t>
            </w:r>
            <w:r>
              <w:rPr>
                <w:rFonts w:ascii="Arial" w:cs="Arial" w:eastAsia="Arial" w:hAnsi="Arial"/>
                <w:sz w:val="20"/>
                <w:szCs w:val="20"/>
                <w:color w:val="auto"/>
                <w:w w:val="88"/>
              </w:rPr>
              <w:t xml:space="preserve">  </w:t>
            </w:r>
            <w:r>
              <w:rPr>
                <w:rFonts w:ascii="Arial" w:cs="Arial" w:eastAsia="Arial" w:hAnsi="Arial"/>
                <w:sz w:val="20"/>
                <w:szCs w:val="20"/>
                <w:color w:val="B4B4B4"/>
                <w:w w:val="88"/>
              </w:rPr>
              <w:t>. . . . . . . . . . . . . . . . . . . . . . . .</w:t>
            </w:r>
          </w:p>
        </w:tc>
        <w:tc>
          <w:tcPr>
            <w:tcW w:w="1020" w:type="dxa"/>
            <w:vAlign w:val="bottom"/>
            <w:vMerge w:val="continue"/>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11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600" w:type="dxa"/>
            <w:vAlign w:val="bottom"/>
          </w:tcPr>
          <w:p>
            <w:pPr>
              <w:ind w:left="120"/>
              <w:spacing w:after="0" w:line="199" w:lineRule="exact"/>
              <w:rPr>
                <w:sz w:val="20"/>
                <w:szCs w:val="20"/>
                <w:color w:val="auto"/>
              </w:rPr>
            </w:pPr>
            <w:r>
              <w:rPr>
                <w:rFonts w:ascii="Arial" w:cs="Arial" w:eastAsia="Arial" w:hAnsi="Arial"/>
                <w:sz w:val="20"/>
                <w:szCs w:val="20"/>
                <w:color w:val="auto"/>
              </w:rPr>
              <w:t>Ending retail Home customer count (in</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2,909</w:t>
            </w:r>
          </w:p>
        </w:tc>
        <w:tc>
          <w:tcPr>
            <w:tcW w:w="1020" w:type="dxa"/>
            <w:vAlign w:val="bottom"/>
            <w:gridSpan w:val="2"/>
            <w:vMerge w:val="restart"/>
          </w:tcPr>
          <w:p>
            <w:pPr>
              <w:jc w:val="right"/>
              <w:spacing w:after="0"/>
              <w:rPr>
                <w:sz w:val="20"/>
                <w:szCs w:val="20"/>
                <w:color w:val="auto"/>
              </w:rPr>
            </w:pPr>
            <w:r>
              <w:rPr>
                <w:rFonts w:ascii="Arial" w:cs="Arial" w:eastAsia="Arial" w:hAnsi="Arial"/>
                <w:sz w:val="20"/>
                <w:szCs w:val="20"/>
                <w:color w:val="auto"/>
              </w:rPr>
              <w:t>2,191</w:t>
            </w:r>
          </w:p>
        </w:tc>
        <w:tc>
          <w:tcPr>
            <w:tcW w:w="1180" w:type="dxa"/>
            <w:vAlign w:val="bottom"/>
            <w:gridSpan w:val="3"/>
            <w:vMerge w:val="restart"/>
          </w:tcPr>
          <w:p>
            <w:pPr>
              <w:jc w:val="right"/>
              <w:spacing w:after="0"/>
              <w:rPr>
                <w:sz w:val="20"/>
                <w:szCs w:val="20"/>
                <w:color w:val="auto"/>
              </w:rPr>
            </w:pPr>
            <w:r>
              <w:rPr>
                <w:rFonts w:ascii="Arial" w:cs="Arial" w:eastAsia="Arial" w:hAnsi="Arial"/>
                <w:sz w:val="20"/>
                <w:szCs w:val="20"/>
                <w:color w:val="auto"/>
              </w:rPr>
              <w:t>720</w:t>
            </w:r>
          </w:p>
        </w:tc>
        <w:tc>
          <w:tcPr>
            <w:tcW w:w="80" w:type="dxa"/>
            <w:vAlign w:val="bottom"/>
          </w:tcPr>
          <w:p>
            <w:pPr>
              <w:spacing w:after="0"/>
              <w:rPr>
                <w:sz w:val="17"/>
                <w:szCs w:val="17"/>
                <w:color w:val="auto"/>
              </w:rPr>
            </w:pPr>
          </w:p>
        </w:tc>
        <w:tc>
          <w:tcPr>
            <w:tcW w:w="1160" w:type="dxa"/>
            <w:vAlign w:val="bottom"/>
            <w:gridSpan w:val="3"/>
            <w:vMerge w:val="restart"/>
          </w:tcPr>
          <w:p>
            <w:pPr>
              <w:jc w:val="right"/>
              <w:ind w:right="220"/>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5,820</w:t>
            </w:r>
          </w:p>
        </w:tc>
        <w:tc>
          <w:tcPr>
            <w:tcW w:w="0" w:type="dxa"/>
            <w:vAlign w:val="bottom"/>
          </w:tcPr>
          <w:p>
            <w:pPr>
              <w:spacing w:after="0"/>
              <w:rPr>
                <w:sz w:val="1"/>
                <w:szCs w:val="1"/>
                <w:color w:val="auto"/>
              </w:rPr>
            </w:pPr>
          </w:p>
        </w:tc>
      </w:tr>
      <w:tr>
        <w:trPr>
          <w:trHeight w:val="292"/>
        </w:trPr>
        <w:tc>
          <w:tcPr>
            <w:tcW w:w="3600" w:type="dxa"/>
            <w:vAlign w:val="bottom"/>
          </w:tcPr>
          <w:p>
            <w:pPr>
              <w:ind w:left="120"/>
              <w:spacing w:after="0"/>
              <w:rPr>
                <w:sz w:val="20"/>
                <w:szCs w:val="20"/>
                <w:color w:val="auto"/>
              </w:rPr>
            </w:pPr>
            <w:r>
              <w:rPr>
                <w:rFonts w:ascii="Arial" w:cs="Arial" w:eastAsia="Arial" w:hAnsi="Arial"/>
                <w:sz w:val="20"/>
                <w:szCs w:val="20"/>
                <w:color w:val="auto"/>
                <w:w w:val="88"/>
              </w:rPr>
              <w:t>thousands)</w:t>
            </w:r>
            <w:r>
              <w:rPr>
                <w:rFonts w:ascii="Arial" w:cs="Arial" w:eastAsia="Arial" w:hAnsi="Arial"/>
                <w:sz w:val="25"/>
                <w:szCs w:val="25"/>
                <w:color w:val="auto"/>
                <w:w w:val="88"/>
                <w:vertAlign w:val="superscript"/>
              </w:rPr>
              <w:t>(a)</w:t>
            </w:r>
            <w:r>
              <w:rPr>
                <w:rFonts w:ascii="Arial" w:cs="Arial" w:eastAsia="Arial" w:hAnsi="Arial"/>
                <w:sz w:val="20"/>
                <w:szCs w:val="20"/>
                <w:color w:val="auto"/>
                <w:w w:val="88"/>
              </w:rPr>
              <w:t xml:space="preserve">  </w:t>
            </w:r>
            <w:r>
              <w:rPr>
                <w:rFonts w:ascii="Arial" w:cs="Arial" w:eastAsia="Arial" w:hAnsi="Arial"/>
                <w:sz w:val="20"/>
                <w:szCs w:val="20"/>
                <w:color w:val="B4B4B4"/>
                <w:w w:val="88"/>
              </w:rPr>
              <w:t>. . . . . . . . . . . . . . . . . . . . . . . .</w:t>
            </w:r>
          </w:p>
        </w:tc>
        <w:tc>
          <w:tcPr>
            <w:tcW w:w="1020" w:type="dxa"/>
            <w:vAlign w:val="bottom"/>
            <w:vMerge w:val="continue"/>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11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600" w:type="dxa"/>
            <w:vAlign w:val="bottom"/>
          </w:tcPr>
          <w:p>
            <w:pPr>
              <w:ind w:left="120"/>
              <w:spacing w:after="0" w:line="199" w:lineRule="exact"/>
              <w:rPr>
                <w:sz w:val="20"/>
                <w:szCs w:val="20"/>
                <w:color w:val="auto"/>
              </w:rPr>
            </w:pPr>
            <w:r>
              <w:rPr>
                <w:rFonts w:ascii="Arial" w:cs="Arial" w:eastAsia="Arial" w:hAnsi="Arial"/>
                <w:sz w:val="20"/>
                <w:szCs w:val="20"/>
                <w:color w:val="auto"/>
              </w:rPr>
              <w:t>Average Vivint Smart Home subscriber</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2,100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2,100</w:t>
            </w:r>
          </w:p>
        </w:tc>
        <w:tc>
          <w:tcPr>
            <w:tcW w:w="0" w:type="dxa"/>
            <w:vAlign w:val="bottom"/>
          </w:tcPr>
          <w:p>
            <w:pPr>
              <w:spacing w:after="0"/>
              <w:rPr>
                <w:sz w:val="1"/>
                <w:szCs w:val="1"/>
                <w:color w:val="auto"/>
              </w:rPr>
            </w:pPr>
          </w:p>
        </w:tc>
      </w:tr>
      <w:tr>
        <w:trPr>
          <w:trHeight w:val="292"/>
        </w:trPr>
        <w:tc>
          <w:tcPr>
            <w:tcW w:w="3600" w:type="dxa"/>
            <w:vAlign w:val="bottom"/>
          </w:tcPr>
          <w:p>
            <w:pPr>
              <w:ind w:left="120"/>
              <w:spacing w:after="0"/>
              <w:rPr>
                <w:sz w:val="20"/>
                <w:szCs w:val="20"/>
                <w:color w:val="auto"/>
              </w:rPr>
            </w:pPr>
            <w:r>
              <w:rPr>
                <w:rFonts w:ascii="Arial" w:cs="Arial" w:eastAsia="Arial" w:hAnsi="Arial"/>
                <w:sz w:val="20"/>
                <w:szCs w:val="20"/>
                <w:color w:val="auto"/>
                <w:w w:val="89"/>
              </w:rPr>
              <w:t>count (in thousands)</w:t>
            </w:r>
            <w:r>
              <w:rPr>
                <w:rFonts w:ascii="Arial" w:cs="Arial" w:eastAsia="Arial" w:hAnsi="Arial"/>
                <w:sz w:val="25"/>
                <w:szCs w:val="25"/>
                <w:color w:val="auto"/>
                <w:w w:val="89"/>
                <w:vertAlign w:val="superscript"/>
              </w:rPr>
              <w:t>(b)</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w:t>
            </w:r>
          </w:p>
        </w:tc>
        <w:tc>
          <w:tcPr>
            <w:tcW w:w="1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600" w:type="dxa"/>
            <w:vAlign w:val="bottom"/>
          </w:tcPr>
          <w:p>
            <w:pPr>
              <w:ind w:left="120"/>
              <w:spacing w:after="0" w:line="199" w:lineRule="exact"/>
              <w:rPr>
                <w:sz w:val="20"/>
                <w:szCs w:val="20"/>
                <w:color w:val="auto"/>
              </w:rPr>
            </w:pPr>
            <w:r>
              <w:rPr>
                <w:rFonts w:ascii="Arial" w:cs="Arial" w:eastAsia="Arial" w:hAnsi="Arial"/>
                <w:sz w:val="20"/>
                <w:szCs w:val="20"/>
                <w:color w:val="auto"/>
              </w:rPr>
              <w:t>Ending Vivint Smart Home subscriber</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2,154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2,154</w:t>
            </w:r>
          </w:p>
        </w:tc>
        <w:tc>
          <w:tcPr>
            <w:tcW w:w="0" w:type="dxa"/>
            <w:vAlign w:val="bottom"/>
          </w:tcPr>
          <w:p>
            <w:pPr>
              <w:spacing w:after="0"/>
              <w:rPr>
                <w:sz w:val="1"/>
                <w:szCs w:val="1"/>
                <w:color w:val="auto"/>
              </w:rPr>
            </w:pPr>
          </w:p>
        </w:tc>
      </w:tr>
      <w:tr>
        <w:trPr>
          <w:trHeight w:val="297"/>
        </w:trPr>
        <w:tc>
          <w:tcPr>
            <w:tcW w:w="3600" w:type="dxa"/>
            <w:vAlign w:val="bottom"/>
          </w:tcPr>
          <w:p>
            <w:pPr>
              <w:ind w:left="120"/>
              <w:spacing w:after="0"/>
              <w:rPr>
                <w:sz w:val="20"/>
                <w:szCs w:val="20"/>
                <w:color w:val="auto"/>
              </w:rPr>
            </w:pPr>
            <w:r>
              <w:rPr>
                <w:rFonts w:ascii="Arial" w:cs="Arial" w:eastAsia="Arial" w:hAnsi="Arial"/>
                <w:sz w:val="20"/>
                <w:szCs w:val="20"/>
                <w:color w:val="auto"/>
                <w:w w:val="89"/>
              </w:rPr>
              <w:t>count (in thousands)</w:t>
            </w:r>
            <w:r>
              <w:rPr>
                <w:rFonts w:ascii="Arial" w:cs="Arial" w:eastAsia="Arial" w:hAnsi="Arial"/>
                <w:sz w:val="25"/>
                <w:szCs w:val="25"/>
                <w:color w:val="auto"/>
                <w:w w:val="89"/>
                <w:vertAlign w:val="superscript"/>
              </w:rPr>
              <w:t>(b)</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w:t>
            </w:r>
          </w:p>
        </w:tc>
        <w:tc>
          <w:tcPr>
            <w:tcW w:w="1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120"/>
              <w:spacing w:after="0"/>
              <w:rPr>
                <w:sz w:val="20"/>
                <w:szCs w:val="20"/>
                <w:color w:val="auto"/>
              </w:rPr>
            </w:pPr>
            <w:r>
              <w:rPr>
                <w:rFonts w:ascii="Arial" w:cs="Arial" w:eastAsia="Arial" w:hAnsi="Arial"/>
                <w:sz w:val="20"/>
                <w:szCs w:val="20"/>
                <w:color w:val="auto"/>
                <w:w w:val="91"/>
              </w:rPr>
              <w:t xml:space="preserve">GWh sold </w:t>
            </w:r>
            <w:r>
              <w:rPr>
                <w:rFonts w:ascii="Arial" w:cs="Arial" w:eastAsia="Arial" w:hAnsi="Arial"/>
                <w:sz w:val="20"/>
                <w:szCs w:val="20"/>
                <w:color w:val="B4B4B4"/>
                <w:w w:val="91"/>
              </w:rPr>
              <w:t>. . . . . . . . . . . . . . . . . . . . . . . . . .</w:t>
            </w:r>
          </w:p>
        </w:tc>
        <w:tc>
          <w:tcPr>
            <w:tcW w:w="1020" w:type="dxa"/>
            <w:vAlign w:val="bottom"/>
          </w:tcPr>
          <w:p>
            <w:pPr>
              <w:jc w:val="right"/>
              <w:spacing w:after="0"/>
              <w:rPr>
                <w:sz w:val="20"/>
                <w:szCs w:val="20"/>
                <w:color w:val="auto"/>
              </w:rPr>
            </w:pPr>
            <w:r>
              <w:rPr>
                <w:rFonts w:ascii="Arial" w:cs="Arial" w:eastAsia="Arial" w:hAnsi="Arial"/>
                <w:sz w:val="20"/>
                <w:szCs w:val="20"/>
                <w:color w:val="auto"/>
              </w:rPr>
              <w:t>23,350</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4,442</w:t>
            </w: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5,977</w:t>
            </w:r>
          </w:p>
        </w:tc>
        <w:tc>
          <w:tcPr>
            <w:tcW w:w="80" w:type="dxa"/>
            <w:vAlign w:val="bottom"/>
          </w:tcPr>
          <w:p>
            <w:pPr>
              <w:spacing w:after="0"/>
              <w:rPr>
                <w:sz w:val="22"/>
                <w:szCs w:val="22"/>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20"/>
                <w:szCs w:val="20"/>
                <w:color w:val="auto"/>
              </w:rPr>
              <w:t>33,769</w:t>
            </w:r>
          </w:p>
        </w:tc>
        <w:tc>
          <w:tcPr>
            <w:tcW w:w="0" w:type="dxa"/>
            <w:vAlign w:val="bottom"/>
          </w:tcPr>
          <w:p>
            <w:pPr>
              <w:spacing w:after="0"/>
              <w:rPr>
                <w:sz w:val="1"/>
                <w:szCs w:val="1"/>
                <w:color w:val="auto"/>
              </w:rPr>
            </w:pPr>
          </w:p>
        </w:tc>
      </w:tr>
      <w:tr>
        <w:trPr>
          <w:trHeight w:val="357"/>
        </w:trPr>
        <w:tc>
          <w:tcPr>
            <w:tcW w:w="3600" w:type="dxa"/>
            <w:vAlign w:val="bottom"/>
          </w:tcPr>
          <w:p>
            <w:pPr>
              <w:ind w:left="120"/>
              <w:spacing w:after="0"/>
              <w:rPr>
                <w:sz w:val="20"/>
                <w:szCs w:val="20"/>
                <w:color w:val="auto"/>
              </w:rPr>
            </w:pPr>
            <w:r>
              <w:rPr>
                <w:rFonts w:ascii="Arial" w:cs="Arial" w:eastAsia="Arial" w:hAnsi="Arial"/>
                <w:sz w:val="20"/>
                <w:szCs w:val="20"/>
                <w:color w:val="auto"/>
                <w:w w:val="89"/>
              </w:rPr>
              <w:t xml:space="preserve">GWh generated </w:t>
            </w:r>
            <w:r>
              <w:rPr>
                <w:rFonts w:ascii="Arial" w:cs="Arial" w:eastAsia="Arial" w:hAnsi="Arial"/>
                <w:sz w:val="25"/>
                <w:szCs w:val="25"/>
                <w:color w:val="auto"/>
                <w:w w:val="89"/>
                <w:vertAlign w:val="superscript"/>
              </w:rPr>
              <w:t>(c)</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w:t>
            </w:r>
          </w:p>
        </w:tc>
        <w:tc>
          <w:tcPr>
            <w:tcW w:w="1020" w:type="dxa"/>
            <w:vAlign w:val="bottom"/>
          </w:tcPr>
          <w:p>
            <w:pPr>
              <w:jc w:val="right"/>
              <w:spacing w:after="0"/>
              <w:rPr>
                <w:sz w:val="20"/>
                <w:szCs w:val="20"/>
                <w:color w:val="auto"/>
              </w:rPr>
            </w:pPr>
            <w:r>
              <w:rPr>
                <w:rFonts w:ascii="Arial" w:cs="Arial" w:eastAsia="Arial" w:hAnsi="Arial"/>
                <w:sz w:val="20"/>
                <w:szCs w:val="20"/>
                <w:color w:val="auto"/>
              </w:rPr>
              <w:t>23,350</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2,372</w:t>
            </w: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5,977</w:t>
            </w:r>
          </w:p>
        </w:tc>
        <w:tc>
          <w:tcPr>
            <w:tcW w:w="80" w:type="dxa"/>
            <w:vAlign w:val="bottom"/>
          </w:tcPr>
          <w:p>
            <w:pPr>
              <w:spacing w:after="0"/>
              <w:rPr>
                <w:sz w:val="24"/>
                <w:szCs w:val="2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20"/>
                <w:szCs w:val="20"/>
                <w:color w:val="auto"/>
              </w:rPr>
              <w:t>31,699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-2663825</wp:posOffset>
            </wp:positionV>
            <wp:extent cx="6475095" cy="2646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extLst>
                    </a:blip>
                    <a:srcRect/>
                    <a:stretch>
                      <a:fillRect/>
                    </a:stretch>
                  </pic:blipFill>
                  <pic:spPr bwMode="auto">
                    <a:xfrm>
                      <a:off x="0" y="0"/>
                      <a:ext cx="6475095" cy="2646680"/>
                    </a:xfrm>
                    <a:prstGeom prst="rect">
                      <a:avLst/>
                    </a:prstGeom>
                    <a:noFill/>
                  </pic:spPr>
                </pic:pic>
              </a:graphicData>
            </a:graphic>
          </wp:anchor>
        </w:drawing>
      </w:r>
    </w:p>
    <w:p>
      <w:pPr>
        <w:ind w:left="700" w:hanging="350"/>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Home customer count includes recurring residential customers, services customers and community choice</w:t>
      </w:r>
    </w:p>
    <w:p>
      <w:pPr>
        <w:spacing w:after="0" w:line="50" w:lineRule="exact"/>
        <w:rPr>
          <w:rFonts w:ascii="Arial" w:cs="Arial" w:eastAsia="Arial" w:hAnsi="Arial"/>
          <w:sz w:val="16"/>
          <w:szCs w:val="16"/>
          <w:color w:val="auto"/>
        </w:rPr>
      </w:pPr>
    </w:p>
    <w:p>
      <w:pPr>
        <w:ind w:left="700" w:hanging="350"/>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Vivint Smart Home includes customers that also purchase other NRG products</w:t>
      </w:r>
    </w:p>
    <w:p>
      <w:pPr>
        <w:spacing w:after="0" w:line="68" w:lineRule="exact"/>
        <w:rPr>
          <w:rFonts w:ascii="Arial" w:cs="Arial" w:eastAsia="Arial" w:hAnsi="Arial"/>
          <w:sz w:val="16"/>
          <w:szCs w:val="16"/>
          <w:color w:val="auto"/>
        </w:rPr>
      </w:pPr>
    </w:p>
    <w:p>
      <w:pPr>
        <w:ind w:left="720" w:hanging="370"/>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owned and leased generation, excludes tolled generation and equity investments</w:t>
      </w:r>
    </w:p>
    <w:p>
      <w:pPr>
        <w:sectPr>
          <w:pgSz w:w="11880" w:h="15480" w:orient="portrait"/>
          <w:cols w:equalWidth="0" w:num="1">
            <w:col w:w="10100"/>
          </w:cols>
          <w:pgMar w:left="920" w:top="57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53</w:t>
      </w:r>
    </w:p>
    <w:p>
      <w:pPr>
        <w:sectPr>
          <w:pgSz w:w="11880" w:h="15480" w:orient="portrait"/>
          <w:cols w:equalWidth="0" w:num="1">
            <w:col w:w="10100"/>
          </w:cols>
          <w:pgMar w:left="920" w:top="575" w:right="860" w:bottom="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41"/>
        </w:trPr>
        <w:tc>
          <w:tcPr>
            <w:tcW w:w="3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9"/>
          </w:tcPr>
          <w:p>
            <w:pPr>
              <w:jc w:val="right"/>
              <w:ind w:right="1"/>
              <w:spacing w:after="0"/>
              <w:rPr>
                <w:sz w:val="20"/>
                <w:szCs w:val="20"/>
                <w:color w:val="auto"/>
              </w:rPr>
            </w:pPr>
            <w:r>
              <w:rPr>
                <w:rFonts w:ascii="Arial" w:cs="Arial" w:eastAsia="Arial" w:hAnsi="Arial"/>
                <w:sz w:val="18"/>
                <w:szCs w:val="18"/>
                <w:b w:val="1"/>
                <w:bCs w:val="1"/>
                <w:color w:val="auto"/>
              </w:rPr>
              <w:t>Year Ended December 31, 2023</w:t>
            </w: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center"/>
              <w:ind w:right="84"/>
              <w:spacing w:after="0"/>
              <w:rPr>
                <w:sz w:val="20"/>
                <w:szCs w:val="20"/>
                <w:color w:val="auto"/>
              </w:rPr>
            </w:pPr>
            <w:r>
              <w:rPr>
                <w:rFonts w:ascii="Arial" w:cs="Arial" w:eastAsia="Arial" w:hAnsi="Arial"/>
                <w:sz w:val="16"/>
                <w:szCs w:val="16"/>
                <w:b w:val="1"/>
                <w:bCs w:val="1"/>
                <w:color w:val="auto"/>
                <w:w w:val="88"/>
              </w:rPr>
              <w:t>West/</w:t>
            </w:r>
          </w:p>
        </w:tc>
        <w:tc>
          <w:tcPr>
            <w:tcW w:w="80" w:type="dxa"/>
            <w:vAlign w:val="bottom"/>
          </w:tcPr>
          <w:p>
            <w:pPr>
              <w:spacing w:after="0"/>
              <w:rPr>
                <w:sz w:val="16"/>
                <w:szCs w:val="16"/>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Vivint Smart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w w:val="88"/>
              </w:rPr>
              <w:t>Corporate/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540" w:type="dxa"/>
            <w:vAlign w:val="bottom"/>
            <w:vMerge w:val="restart"/>
          </w:tcPr>
          <w:p>
            <w:pPr>
              <w:spacing w:after="0"/>
              <w:rPr>
                <w:sz w:val="20"/>
                <w:szCs w:val="20"/>
                <w:color w:val="auto"/>
              </w:rPr>
            </w:pPr>
            <w:r>
              <w:rPr>
                <w:rFonts w:ascii="Arial" w:cs="Arial" w:eastAsia="Arial" w:hAnsi="Arial"/>
                <w:sz w:val="16"/>
                <w:szCs w:val="16"/>
                <w:b w:val="1"/>
                <w:bCs w:val="1"/>
                <w:color w:val="auto"/>
              </w:rPr>
              <w:t>($ in millions, except otherwise noted)</w:t>
            </w:r>
          </w:p>
        </w:tc>
        <w:tc>
          <w:tcPr>
            <w:tcW w:w="220" w:type="dxa"/>
            <w:vAlign w:val="bottom"/>
          </w:tcPr>
          <w:p>
            <w:pPr>
              <w:spacing w:after="0"/>
              <w:rPr>
                <w:sz w:val="13"/>
                <w:szCs w:val="13"/>
                <w:color w:val="auto"/>
              </w:rPr>
            </w:pPr>
          </w:p>
        </w:tc>
        <w:tc>
          <w:tcPr>
            <w:tcW w:w="80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Texas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63"/>
              <w:spacing w:after="0"/>
              <w:rPr>
                <w:sz w:val="20"/>
                <w:szCs w:val="20"/>
                <w:color w:val="auto"/>
              </w:rPr>
            </w:pPr>
            <w:r>
              <w:rPr>
                <w:rFonts w:ascii="Arial" w:cs="Arial" w:eastAsia="Arial" w:hAnsi="Arial"/>
                <w:sz w:val="16"/>
                <w:szCs w:val="16"/>
                <w:b w:val="1"/>
                <w:bCs w:val="1"/>
                <w:color w:val="auto"/>
              </w:rPr>
              <w:t>East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ind w:right="104"/>
              <w:spacing w:after="0" w:line="158" w:lineRule="exact"/>
              <w:rPr>
                <w:sz w:val="20"/>
                <w:szCs w:val="20"/>
                <w:color w:val="auto"/>
              </w:rPr>
            </w:pPr>
            <w:r>
              <w:rPr>
                <w:rFonts w:ascii="Arial" w:cs="Arial" w:eastAsia="Arial" w:hAnsi="Arial"/>
                <w:sz w:val="16"/>
                <w:szCs w:val="16"/>
                <w:b w:val="1"/>
                <w:bCs w:val="1"/>
                <w:color w:val="auto"/>
                <w:w w:val="85"/>
              </w:rPr>
              <w:t>Services/</w:t>
            </w:r>
          </w:p>
        </w:tc>
        <w:tc>
          <w:tcPr>
            <w:tcW w:w="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4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54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04"/>
              <w:spacing w:after="0"/>
              <w:rPr>
                <w:sz w:val="20"/>
                <w:szCs w:val="20"/>
                <w:color w:val="auto"/>
              </w:rPr>
            </w:pPr>
            <w:r>
              <w:rPr>
                <w:rFonts w:ascii="Arial" w:cs="Arial" w:eastAsia="Arial" w:hAnsi="Arial"/>
                <w:sz w:val="16"/>
                <w:szCs w:val="16"/>
                <w:b w:val="1"/>
                <w:bCs w:val="1"/>
                <w:color w:val="auto"/>
                <w:w w:val="93"/>
              </w:rPr>
              <w:t>Other</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62"/>
              <w:spacing w:after="0" w:line="212" w:lineRule="exact"/>
              <w:rPr>
                <w:sz w:val="20"/>
                <w:szCs w:val="20"/>
                <w:color w:val="auto"/>
              </w:rPr>
            </w:pPr>
            <w:r>
              <w:rPr>
                <w:rFonts w:ascii="Arial" w:cs="Arial" w:eastAsia="Arial" w:hAnsi="Arial"/>
                <w:sz w:val="16"/>
                <w:szCs w:val="16"/>
                <w:b w:val="1"/>
                <w:bCs w:val="1"/>
                <w:color w:val="auto"/>
                <w:w w:val="92"/>
              </w:rPr>
              <w:t>Home</w:t>
            </w:r>
            <w:r>
              <w:rPr>
                <w:rFonts w:ascii="Arial" w:cs="Arial" w:eastAsia="Arial" w:hAnsi="Arial"/>
                <w:sz w:val="20"/>
                <w:szCs w:val="20"/>
                <w:b w:val="1"/>
                <w:bCs w:val="1"/>
                <w:color w:val="auto"/>
                <w:w w:val="92"/>
                <w:vertAlign w:val="superscript"/>
              </w:rPr>
              <w:t>(a)</w:t>
            </w:r>
          </w:p>
        </w:tc>
        <w:tc>
          <w:tcPr>
            <w:tcW w:w="60" w:type="dxa"/>
            <w:vAlign w:val="bottom"/>
          </w:tcPr>
          <w:p>
            <w:pPr>
              <w:spacing w:after="0"/>
              <w:rPr>
                <w:sz w:val="18"/>
                <w:szCs w:val="18"/>
                <w:color w:val="auto"/>
              </w:rPr>
            </w:pPr>
          </w:p>
        </w:tc>
        <w:tc>
          <w:tcPr>
            <w:tcW w:w="10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b w:val="1"/>
                <w:bCs w:val="1"/>
                <w:color w:val="auto"/>
                <w:w w:val="98"/>
              </w:rPr>
              <w:t>Eliminations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540" w:type="dxa"/>
            <w:vAlign w:val="bottom"/>
          </w:tcPr>
          <w:p>
            <w:pPr>
              <w:ind w:left="120"/>
              <w:spacing w:after="0"/>
              <w:rPr>
                <w:sz w:val="20"/>
                <w:szCs w:val="20"/>
                <w:color w:val="auto"/>
              </w:rPr>
            </w:pPr>
            <w:r>
              <w:rPr>
                <w:rFonts w:ascii="Arial" w:cs="Arial" w:eastAsia="Arial" w:hAnsi="Arial"/>
                <w:sz w:val="20"/>
                <w:szCs w:val="20"/>
                <w:color w:val="auto"/>
                <w:w w:val="90"/>
              </w:rPr>
              <w:t xml:space="preserve">Retail revenue </w:t>
            </w:r>
            <w:r>
              <w:rPr>
                <w:rFonts w:ascii="Arial" w:cs="Arial" w:eastAsia="Arial" w:hAnsi="Arial"/>
                <w:sz w:val="20"/>
                <w:szCs w:val="20"/>
                <w:color w:val="B4B4B4"/>
                <w:w w:val="90"/>
              </w:rPr>
              <w:t>. . . . . . . . . . . . . . . . .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10,030</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11,946</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3,943</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1,549</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27,467</w:t>
            </w:r>
          </w:p>
        </w:tc>
        <w:tc>
          <w:tcPr>
            <w:tcW w:w="0" w:type="dxa"/>
            <w:vAlign w:val="bottom"/>
          </w:tcPr>
          <w:p>
            <w:pPr>
              <w:spacing w:after="0"/>
              <w:rPr>
                <w:sz w:val="1"/>
                <w:szCs w:val="1"/>
                <w:color w:val="auto"/>
              </w:rPr>
            </w:pPr>
          </w:p>
        </w:tc>
      </w:tr>
      <w:tr>
        <w:trPr>
          <w:trHeight w:val="297"/>
        </w:trPr>
        <w:tc>
          <w:tcPr>
            <w:tcW w:w="3540" w:type="dxa"/>
            <w:vAlign w:val="bottom"/>
          </w:tcPr>
          <w:p>
            <w:pPr>
              <w:ind w:left="120"/>
              <w:spacing w:after="0"/>
              <w:rPr>
                <w:sz w:val="20"/>
                <w:szCs w:val="20"/>
                <w:color w:val="auto"/>
              </w:rPr>
            </w:pPr>
            <w:r>
              <w:rPr>
                <w:rFonts w:ascii="Arial" w:cs="Arial" w:eastAsia="Arial" w:hAnsi="Arial"/>
                <w:sz w:val="20"/>
                <w:szCs w:val="20"/>
                <w:color w:val="auto"/>
                <w:w w:val="90"/>
              </w:rPr>
              <w:t xml:space="preserve">Energy revenue </w:t>
            </w:r>
            <w:r>
              <w:rPr>
                <w:rFonts w:ascii="Arial" w:cs="Arial" w:eastAsia="Arial" w:hAnsi="Arial"/>
                <w:sz w:val="20"/>
                <w:szCs w:val="20"/>
                <w:color w:val="B4B4B4"/>
                <w:w w:val="90"/>
              </w:rPr>
              <w:t>. . . . . . . . . . . . . . . . . . . . .</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291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185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553</w:t>
            </w:r>
          </w:p>
        </w:tc>
        <w:tc>
          <w:tcPr>
            <w:tcW w:w="0" w:type="dxa"/>
            <w:vAlign w:val="bottom"/>
          </w:tcPr>
          <w:p>
            <w:pPr>
              <w:spacing w:after="0"/>
              <w:rPr>
                <w:sz w:val="1"/>
                <w:szCs w:val="1"/>
                <w:color w:val="auto"/>
              </w:rPr>
            </w:pPr>
          </w:p>
        </w:tc>
      </w:tr>
      <w:tr>
        <w:trPr>
          <w:trHeight w:val="297"/>
        </w:trPr>
        <w:tc>
          <w:tcPr>
            <w:tcW w:w="3540" w:type="dxa"/>
            <w:vAlign w:val="bottom"/>
          </w:tcPr>
          <w:p>
            <w:pPr>
              <w:ind w:left="120"/>
              <w:spacing w:after="0"/>
              <w:rPr>
                <w:sz w:val="20"/>
                <w:szCs w:val="20"/>
                <w:color w:val="auto"/>
              </w:rPr>
            </w:pPr>
            <w:r>
              <w:rPr>
                <w:rFonts w:ascii="Arial" w:cs="Arial" w:eastAsia="Arial" w:hAnsi="Arial"/>
                <w:sz w:val="20"/>
                <w:szCs w:val="20"/>
                <w:color w:val="auto"/>
                <w:w w:val="91"/>
              </w:rPr>
              <w:t xml:space="preserve">Capacity revenue  </w:t>
            </w:r>
            <w:r>
              <w:rPr>
                <w:rFonts w:ascii="Arial" w:cs="Arial" w:eastAsia="Arial" w:hAnsi="Arial"/>
                <w:sz w:val="20"/>
                <w:szCs w:val="20"/>
                <w:color w:val="B4B4B4"/>
                <w:w w:val="91"/>
              </w:rPr>
              <w:t>. . . . . . . . . . . . . . . . . . .</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197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197</w:t>
            </w:r>
          </w:p>
        </w:tc>
        <w:tc>
          <w:tcPr>
            <w:tcW w:w="0" w:type="dxa"/>
            <w:vAlign w:val="bottom"/>
          </w:tcPr>
          <w:p>
            <w:pPr>
              <w:spacing w:after="0"/>
              <w:rPr>
                <w:sz w:val="1"/>
                <w:szCs w:val="1"/>
                <w:color w:val="auto"/>
              </w:rPr>
            </w:pPr>
          </w:p>
        </w:tc>
      </w:tr>
      <w:tr>
        <w:trPr>
          <w:trHeight w:val="232"/>
        </w:trPr>
        <w:tc>
          <w:tcPr>
            <w:tcW w:w="3540" w:type="dxa"/>
            <w:vAlign w:val="bottom"/>
          </w:tcPr>
          <w:p>
            <w:pPr>
              <w:ind w:left="120"/>
              <w:spacing w:after="0"/>
              <w:rPr>
                <w:sz w:val="20"/>
                <w:szCs w:val="20"/>
                <w:color w:val="auto"/>
              </w:rPr>
            </w:pPr>
            <w:r>
              <w:rPr>
                <w:rFonts w:ascii="Arial" w:cs="Arial" w:eastAsia="Arial" w:hAnsi="Arial"/>
                <w:sz w:val="20"/>
                <w:szCs w:val="20"/>
                <w:color w:val="auto"/>
              </w:rPr>
              <w:t>Mark-to-market for economic hedging</w:t>
            </w: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57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103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144</w:t>
            </w:r>
          </w:p>
        </w:tc>
        <w:tc>
          <w:tcPr>
            <w:tcW w:w="0" w:type="dxa"/>
            <w:vAlign w:val="bottom"/>
          </w:tcPr>
          <w:p>
            <w:pPr>
              <w:spacing w:after="0"/>
              <w:rPr>
                <w:sz w:val="1"/>
                <w:szCs w:val="1"/>
                <w:color w:val="auto"/>
              </w:rPr>
            </w:pPr>
          </w:p>
        </w:tc>
      </w:tr>
      <w:tr>
        <w:trPr>
          <w:trHeight w:val="258"/>
        </w:trPr>
        <w:tc>
          <w:tcPr>
            <w:tcW w:w="3540" w:type="dxa"/>
            <w:vAlign w:val="bottom"/>
          </w:tcPr>
          <w:p>
            <w:pPr>
              <w:ind w:left="120"/>
              <w:spacing w:after="0"/>
              <w:rPr>
                <w:sz w:val="20"/>
                <w:szCs w:val="20"/>
                <w:color w:val="auto"/>
              </w:rPr>
            </w:pPr>
            <w:r>
              <w:rPr>
                <w:rFonts w:ascii="Arial" w:cs="Arial" w:eastAsia="Arial" w:hAnsi="Arial"/>
                <w:sz w:val="20"/>
                <w:szCs w:val="20"/>
                <w:color w:val="auto"/>
                <w:w w:val="92"/>
              </w:rPr>
              <w:t xml:space="preserve">activities </w:t>
            </w:r>
            <w:r>
              <w:rPr>
                <w:rFonts w:ascii="Arial" w:cs="Arial" w:eastAsia="Arial" w:hAnsi="Arial"/>
                <w:sz w:val="20"/>
                <w:szCs w:val="20"/>
                <w:color w:val="B4B4B4"/>
                <w:w w:val="92"/>
              </w:rPr>
              <w:t>. . . . . . . . . . . . . . . . . . . . . . . . . .</w:t>
            </w:r>
          </w:p>
        </w:tc>
        <w:tc>
          <w:tcPr>
            <w:tcW w:w="2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120"/>
              <w:spacing w:after="0"/>
              <w:rPr>
                <w:sz w:val="20"/>
                <w:szCs w:val="20"/>
                <w:color w:val="auto"/>
              </w:rPr>
            </w:pPr>
            <w:r>
              <w:rPr>
                <w:rFonts w:ascii="Arial" w:cs="Arial" w:eastAsia="Arial" w:hAnsi="Arial"/>
                <w:sz w:val="20"/>
                <w:szCs w:val="20"/>
                <w:color w:val="auto"/>
                <w:w w:val="92"/>
              </w:rPr>
              <w:t xml:space="preserve">Contract amortization </w:t>
            </w:r>
            <w:r>
              <w:rPr>
                <w:rFonts w:ascii="Arial" w:cs="Arial" w:eastAsia="Arial" w:hAnsi="Arial"/>
                <w:sz w:val="20"/>
                <w:szCs w:val="20"/>
                <w:color w:val="B4B4B4"/>
                <w:w w:val="92"/>
              </w:rPr>
              <w:t>. . . . . . . . . . . . . . . .</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99"/>
        </w:trPr>
        <w:tc>
          <w:tcPr>
            <w:tcW w:w="3540" w:type="dxa"/>
            <w:vAlign w:val="bottom"/>
          </w:tcPr>
          <w:p>
            <w:pPr>
              <w:ind w:left="120"/>
              <w:spacing w:after="0"/>
              <w:rPr>
                <w:sz w:val="20"/>
                <w:szCs w:val="20"/>
                <w:color w:val="auto"/>
              </w:rPr>
            </w:pPr>
            <w:r>
              <w:rPr>
                <w:rFonts w:ascii="Arial" w:cs="Arial" w:eastAsia="Arial" w:hAnsi="Arial"/>
                <w:sz w:val="20"/>
                <w:szCs w:val="20"/>
                <w:color w:val="auto"/>
                <w:w w:val="89"/>
              </w:rPr>
              <w:t>Other revenue</w:t>
            </w:r>
            <w:r>
              <w:rPr>
                <w:rFonts w:ascii="Arial" w:cs="Arial" w:eastAsia="Arial" w:hAnsi="Arial"/>
                <w:sz w:val="25"/>
                <w:szCs w:val="25"/>
                <w:color w:val="auto"/>
                <w:w w:val="89"/>
                <w:vertAlign w:val="superscript"/>
              </w:rPr>
              <w:t>(b)</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369</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494</w:t>
            </w:r>
          </w:p>
        </w:tc>
        <w:tc>
          <w:tcPr>
            <w:tcW w:w="0" w:type="dxa"/>
            <w:vAlign w:val="bottom"/>
          </w:tcPr>
          <w:p>
            <w:pPr>
              <w:spacing w:after="0"/>
              <w:rPr>
                <w:sz w:val="1"/>
                <w:szCs w:val="1"/>
                <w:color w:val="auto"/>
              </w:rPr>
            </w:pPr>
          </w:p>
        </w:tc>
      </w:tr>
      <w:tr>
        <w:trPr>
          <w:trHeight w:val="275"/>
        </w:trPr>
        <w:tc>
          <w:tcPr>
            <w:tcW w:w="3540" w:type="dxa"/>
            <w:vAlign w:val="bottom"/>
          </w:tcPr>
          <w:p>
            <w:pPr>
              <w:ind w:left="220"/>
              <w:spacing w:after="0"/>
              <w:rPr>
                <w:sz w:val="20"/>
                <w:szCs w:val="20"/>
                <w:color w:val="auto"/>
              </w:rPr>
            </w:pPr>
            <w:r>
              <w:rPr>
                <w:rFonts w:ascii="Arial" w:cs="Arial" w:eastAsia="Arial" w:hAnsi="Arial"/>
                <w:sz w:val="20"/>
                <w:szCs w:val="20"/>
                <w:color w:val="auto"/>
                <w:w w:val="91"/>
              </w:rPr>
              <w:t xml:space="preserve">Total revenue  </w:t>
            </w:r>
            <w:r>
              <w:rPr>
                <w:rFonts w:ascii="Arial" w:cs="Arial" w:eastAsia="Arial" w:hAnsi="Arial"/>
                <w:sz w:val="20"/>
                <w:szCs w:val="20"/>
                <w:color w:val="B4B4B4"/>
                <w:w w:val="91"/>
              </w:rPr>
              <w:t>. . . . . . . . . . . . . . . . . . . . .</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10,476</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12,547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4,281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1,549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28,823</w:t>
            </w:r>
          </w:p>
        </w:tc>
        <w:tc>
          <w:tcPr>
            <w:tcW w:w="0" w:type="dxa"/>
            <w:vAlign w:val="bottom"/>
          </w:tcPr>
          <w:p>
            <w:pPr>
              <w:spacing w:after="0"/>
              <w:rPr>
                <w:sz w:val="1"/>
                <w:szCs w:val="1"/>
                <w:color w:val="auto"/>
              </w:rPr>
            </w:pPr>
          </w:p>
        </w:tc>
      </w:tr>
      <w:tr>
        <w:trPr>
          <w:trHeight w:val="297"/>
        </w:trPr>
        <w:tc>
          <w:tcPr>
            <w:tcW w:w="3540" w:type="dxa"/>
            <w:vAlign w:val="bottom"/>
          </w:tcPr>
          <w:p>
            <w:pPr>
              <w:ind w:left="120"/>
              <w:spacing w:after="0"/>
              <w:rPr>
                <w:sz w:val="20"/>
                <w:szCs w:val="20"/>
                <w:color w:val="auto"/>
              </w:rPr>
            </w:pPr>
            <w:r>
              <w:rPr>
                <w:rFonts w:ascii="Arial" w:cs="Arial" w:eastAsia="Arial" w:hAnsi="Arial"/>
                <w:sz w:val="20"/>
                <w:szCs w:val="20"/>
                <w:color w:val="auto"/>
                <w:w w:val="93"/>
              </w:rPr>
              <w:t xml:space="preserve">Cost of fuel  </w:t>
            </w:r>
            <w:r>
              <w:rPr>
                <w:rFonts w:ascii="Arial" w:cs="Arial" w:eastAsia="Arial" w:hAnsi="Arial"/>
                <w:sz w:val="20"/>
                <w:szCs w:val="20"/>
                <w:color w:val="B4B4B4"/>
                <w:w w:val="93"/>
              </w:rPr>
              <w:t>. . . . . . . . . . . . . . . . . . . . . . .</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(760)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(992)</w:t>
            </w:r>
          </w:p>
        </w:tc>
        <w:tc>
          <w:tcPr>
            <w:tcW w:w="0" w:type="dxa"/>
            <w:vAlign w:val="bottom"/>
          </w:tcPr>
          <w:p>
            <w:pPr>
              <w:spacing w:after="0"/>
              <w:rPr>
                <w:sz w:val="1"/>
                <w:szCs w:val="1"/>
                <w:color w:val="auto"/>
              </w:rPr>
            </w:pPr>
          </w:p>
        </w:tc>
      </w:tr>
      <w:tr>
        <w:trPr>
          <w:trHeight w:val="232"/>
        </w:trPr>
        <w:tc>
          <w:tcPr>
            <w:tcW w:w="3540" w:type="dxa"/>
            <w:vAlign w:val="bottom"/>
          </w:tcPr>
          <w:p>
            <w:pPr>
              <w:ind w:left="120"/>
              <w:spacing w:after="0"/>
              <w:rPr>
                <w:sz w:val="20"/>
                <w:szCs w:val="20"/>
                <w:color w:val="auto"/>
              </w:rPr>
            </w:pPr>
            <w:r>
              <w:rPr>
                <w:rFonts w:ascii="Arial" w:cs="Arial" w:eastAsia="Arial" w:hAnsi="Arial"/>
                <w:sz w:val="20"/>
                <w:szCs w:val="20"/>
                <w:color w:val="auto"/>
              </w:rPr>
              <w:t>Purchased energy and other costs of</w:t>
            </w: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(6,288)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w w:val="99"/>
              </w:rPr>
              <w:t>(10,683)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(3,532)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(116)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w w:val="99"/>
              </w:rPr>
              <w:t>(20,610)</w:t>
            </w:r>
          </w:p>
        </w:tc>
        <w:tc>
          <w:tcPr>
            <w:tcW w:w="0" w:type="dxa"/>
            <w:vAlign w:val="bottom"/>
          </w:tcPr>
          <w:p>
            <w:pPr>
              <w:spacing w:after="0"/>
              <w:rPr>
                <w:sz w:val="1"/>
                <w:szCs w:val="1"/>
                <w:color w:val="auto"/>
              </w:rPr>
            </w:pPr>
          </w:p>
        </w:tc>
      </w:tr>
      <w:tr>
        <w:trPr>
          <w:trHeight w:val="292"/>
        </w:trPr>
        <w:tc>
          <w:tcPr>
            <w:tcW w:w="3540" w:type="dxa"/>
            <w:vAlign w:val="bottom"/>
          </w:tcPr>
          <w:p>
            <w:pPr>
              <w:ind w:left="120"/>
              <w:spacing w:after="0"/>
              <w:rPr>
                <w:sz w:val="20"/>
                <w:szCs w:val="20"/>
                <w:color w:val="auto"/>
              </w:rPr>
            </w:pPr>
            <w:r>
              <w:rPr>
                <w:rFonts w:ascii="Arial" w:cs="Arial" w:eastAsia="Arial" w:hAnsi="Arial"/>
                <w:sz w:val="20"/>
                <w:szCs w:val="20"/>
                <w:color w:val="auto"/>
                <w:w w:val="87"/>
              </w:rPr>
              <w:t>sales</w:t>
            </w:r>
            <w:r>
              <w:rPr>
                <w:rFonts w:ascii="Arial" w:cs="Arial" w:eastAsia="Arial" w:hAnsi="Arial"/>
                <w:sz w:val="25"/>
                <w:szCs w:val="25"/>
                <w:color w:val="auto"/>
                <w:w w:val="87"/>
                <w:vertAlign w:val="superscript"/>
              </w:rPr>
              <w:t>(c)(d)(e)</w:t>
            </w:r>
            <w:r>
              <w:rPr>
                <w:rFonts w:ascii="Arial" w:cs="Arial" w:eastAsia="Arial" w:hAnsi="Arial"/>
                <w:sz w:val="20"/>
                <w:szCs w:val="20"/>
                <w:color w:val="auto"/>
                <w:w w:val="87"/>
              </w:rPr>
              <w:t xml:space="preserve">  </w:t>
            </w:r>
            <w:r>
              <w:rPr>
                <w:rFonts w:ascii="Arial" w:cs="Arial" w:eastAsia="Arial" w:hAnsi="Arial"/>
                <w:sz w:val="20"/>
                <w:szCs w:val="20"/>
                <w:color w:val="B4B4B4"/>
                <w:w w:val="87"/>
              </w:rPr>
              <w:t>. . . . . . . . . . . . . . . . . . . . . . . . .</w:t>
            </w:r>
          </w:p>
        </w:tc>
        <w:tc>
          <w:tcPr>
            <w:tcW w:w="22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540" w:type="dxa"/>
            <w:vAlign w:val="bottom"/>
          </w:tcPr>
          <w:p>
            <w:pPr>
              <w:ind w:left="120"/>
              <w:spacing w:after="0" w:line="199" w:lineRule="exact"/>
              <w:rPr>
                <w:sz w:val="20"/>
                <w:szCs w:val="20"/>
                <w:color w:val="auto"/>
              </w:rPr>
            </w:pPr>
            <w:r>
              <w:rPr>
                <w:rFonts w:ascii="Arial" w:cs="Arial" w:eastAsia="Arial" w:hAnsi="Arial"/>
                <w:sz w:val="20"/>
                <w:szCs w:val="20"/>
                <w:color w:val="auto"/>
              </w:rPr>
              <w:t>Mark-to-market for economic hedging</w:t>
            </w: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315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(2,471)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(867)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(3,007)</w:t>
            </w:r>
          </w:p>
        </w:tc>
        <w:tc>
          <w:tcPr>
            <w:tcW w:w="0" w:type="dxa"/>
            <w:vAlign w:val="bottom"/>
          </w:tcPr>
          <w:p>
            <w:pPr>
              <w:spacing w:after="0"/>
              <w:rPr>
                <w:sz w:val="1"/>
                <w:szCs w:val="1"/>
                <w:color w:val="auto"/>
              </w:rPr>
            </w:pPr>
          </w:p>
        </w:tc>
      </w:tr>
      <w:tr>
        <w:trPr>
          <w:trHeight w:val="258"/>
        </w:trPr>
        <w:tc>
          <w:tcPr>
            <w:tcW w:w="3540" w:type="dxa"/>
            <w:vAlign w:val="bottom"/>
          </w:tcPr>
          <w:p>
            <w:pPr>
              <w:ind w:left="120"/>
              <w:spacing w:after="0"/>
              <w:rPr>
                <w:sz w:val="20"/>
                <w:szCs w:val="20"/>
                <w:color w:val="auto"/>
              </w:rPr>
            </w:pPr>
            <w:r>
              <w:rPr>
                <w:rFonts w:ascii="Arial" w:cs="Arial" w:eastAsia="Arial" w:hAnsi="Arial"/>
                <w:sz w:val="20"/>
                <w:szCs w:val="20"/>
                <w:color w:val="auto"/>
                <w:w w:val="92"/>
              </w:rPr>
              <w:t xml:space="preserve">activities </w:t>
            </w:r>
            <w:r>
              <w:rPr>
                <w:rFonts w:ascii="Arial" w:cs="Arial" w:eastAsia="Arial" w:hAnsi="Arial"/>
                <w:sz w:val="20"/>
                <w:szCs w:val="20"/>
                <w:color w:val="B4B4B4"/>
                <w:w w:val="92"/>
              </w:rPr>
              <w:t>. . . . . . . . . . . . . . . . . . . . . . . . . .</w:t>
            </w:r>
          </w:p>
        </w:tc>
        <w:tc>
          <w:tcPr>
            <w:tcW w:w="2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540" w:type="dxa"/>
            <w:vAlign w:val="bottom"/>
          </w:tcPr>
          <w:p>
            <w:pPr>
              <w:ind w:left="120"/>
              <w:spacing w:after="0"/>
              <w:rPr>
                <w:sz w:val="20"/>
                <w:szCs w:val="20"/>
                <w:color w:val="auto"/>
              </w:rPr>
            </w:pPr>
            <w:r>
              <w:rPr>
                <w:rFonts w:ascii="Arial" w:cs="Arial" w:eastAsia="Arial" w:hAnsi="Arial"/>
                <w:sz w:val="20"/>
                <w:szCs w:val="20"/>
                <w:color w:val="auto"/>
              </w:rPr>
              <w:t>Contract and emissions credit</w:t>
            </w: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258"/>
        </w:trPr>
        <w:tc>
          <w:tcPr>
            <w:tcW w:w="3540" w:type="dxa"/>
            <w:vAlign w:val="bottom"/>
          </w:tcPr>
          <w:p>
            <w:pPr>
              <w:ind w:left="120"/>
              <w:spacing w:after="0"/>
              <w:rPr>
                <w:sz w:val="20"/>
                <w:szCs w:val="20"/>
                <w:color w:val="auto"/>
              </w:rPr>
            </w:pPr>
            <w:r>
              <w:rPr>
                <w:rFonts w:ascii="Arial" w:cs="Arial" w:eastAsia="Arial" w:hAnsi="Arial"/>
                <w:sz w:val="20"/>
                <w:szCs w:val="20"/>
                <w:color w:val="auto"/>
                <w:w w:val="93"/>
              </w:rPr>
              <w:t xml:space="preserve">amortization </w:t>
            </w:r>
            <w:r>
              <w:rPr>
                <w:rFonts w:ascii="Arial" w:cs="Arial" w:eastAsia="Arial" w:hAnsi="Arial"/>
                <w:sz w:val="20"/>
                <w:szCs w:val="20"/>
                <w:color w:val="B4B4B4"/>
                <w:w w:val="93"/>
              </w:rPr>
              <w:t>. . . . . . . . . . . . . . . . . . . . . . .</w:t>
            </w:r>
          </w:p>
        </w:tc>
        <w:tc>
          <w:tcPr>
            <w:tcW w:w="2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3540" w:type="dxa"/>
            <w:vAlign w:val="bottom"/>
          </w:tcPr>
          <w:p>
            <w:pPr>
              <w:ind w:left="120"/>
              <w:spacing w:after="0"/>
              <w:rPr>
                <w:sz w:val="20"/>
                <w:szCs w:val="20"/>
                <w:color w:val="auto"/>
              </w:rPr>
            </w:pPr>
            <w:r>
              <w:rPr>
                <w:rFonts w:ascii="Arial" w:cs="Arial" w:eastAsia="Arial" w:hAnsi="Arial"/>
                <w:sz w:val="20"/>
                <w:szCs w:val="20"/>
                <w:color w:val="auto"/>
                <w:w w:val="92"/>
              </w:rPr>
              <w:t xml:space="preserve">Depreciation and amortization </w:t>
            </w:r>
            <w:r>
              <w:rPr>
                <w:rFonts w:ascii="Arial" w:cs="Arial" w:eastAsia="Arial" w:hAnsi="Arial"/>
                <w:sz w:val="20"/>
                <w:szCs w:val="20"/>
                <w:color w:val="B4B4B4"/>
                <w:w w:val="92"/>
              </w:rPr>
              <w:t>. . . . . . . . .</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(348)</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(1,295)</w:t>
            </w:r>
          </w:p>
        </w:tc>
        <w:tc>
          <w:tcPr>
            <w:tcW w:w="0" w:type="dxa"/>
            <w:vAlign w:val="bottom"/>
          </w:tcPr>
          <w:p>
            <w:pPr>
              <w:spacing w:after="0"/>
              <w:rPr>
                <w:sz w:val="1"/>
                <w:szCs w:val="1"/>
                <w:color w:val="auto"/>
              </w:rPr>
            </w:pPr>
          </w:p>
        </w:tc>
      </w:tr>
      <w:tr>
        <w:trPr>
          <w:trHeight w:val="275"/>
        </w:trPr>
        <w:tc>
          <w:tcPr>
            <w:tcW w:w="3540" w:type="dxa"/>
            <w:vAlign w:val="bottom"/>
          </w:tcPr>
          <w:p>
            <w:pPr>
              <w:ind w:left="220"/>
              <w:spacing w:after="0"/>
              <w:rPr>
                <w:sz w:val="20"/>
                <w:szCs w:val="20"/>
                <w:color w:val="auto"/>
              </w:rPr>
            </w:pPr>
            <w:r>
              <w:rPr>
                <w:rFonts w:ascii="Arial" w:cs="Arial" w:eastAsia="Arial" w:hAnsi="Arial"/>
                <w:sz w:val="20"/>
                <w:szCs w:val="20"/>
                <w:b w:val="1"/>
                <w:bCs w:val="1"/>
                <w:color w:val="auto"/>
                <w:w w:val="90"/>
              </w:rPr>
              <w:t xml:space="preserve">Gross margin </w:t>
            </w:r>
            <w:r>
              <w:rPr>
                <w:rFonts w:ascii="Arial" w:cs="Arial" w:eastAsia="Arial" w:hAnsi="Arial"/>
                <w:sz w:val="20"/>
                <w:szCs w:val="20"/>
                <w:b w:val="1"/>
                <w:bCs w:val="1"/>
                <w:color w:val="B4B4B4"/>
                <w:w w:val="90"/>
              </w:rPr>
              <w:t>. . . . . . . . . . . . . . . .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3,384</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(954)</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(351)</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788</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(41)</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2,826</w:t>
            </w:r>
          </w:p>
        </w:tc>
        <w:tc>
          <w:tcPr>
            <w:tcW w:w="0" w:type="dxa"/>
            <w:vAlign w:val="bottom"/>
          </w:tcPr>
          <w:p>
            <w:pPr>
              <w:spacing w:after="0"/>
              <w:rPr>
                <w:sz w:val="1"/>
                <w:szCs w:val="1"/>
                <w:color w:val="auto"/>
              </w:rPr>
            </w:pPr>
          </w:p>
        </w:tc>
      </w:tr>
      <w:tr>
        <w:trPr>
          <w:trHeight w:val="232"/>
        </w:trPr>
        <w:tc>
          <w:tcPr>
            <w:tcW w:w="3540" w:type="dxa"/>
            <w:vAlign w:val="bottom"/>
          </w:tcPr>
          <w:p>
            <w:pPr>
              <w:ind w:left="120"/>
              <w:spacing w:after="0"/>
              <w:rPr>
                <w:sz w:val="20"/>
                <w:szCs w:val="20"/>
                <w:color w:val="auto"/>
              </w:rPr>
            </w:pPr>
            <w:r>
              <w:rPr>
                <w:rFonts w:ascii="Arial" w:cs="Arial" w:eastAsia="Arial" w:hAnsi="Arial"/>
                <w:sz w:val="20"/>
                <w:szCs w:val="20"/>
                <w:color w:val="auto"/>
              </w:rPr>
              <w:t>Less: Mark-to-market for economic</w:t>
            </w: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315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(2,414)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(764)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(2,863)</w:t>
            </w:r>
          </w:p>
        </w:tc>
        <w:tc>
          <w:tcPr>
            <w:tcW w:w="0" w:type="dxa"/>
            <w:vAlign w:val="bottom"/>
          </w:tcPr>
          <w:p>
            <w:pPr>
              <w:spacing w:after="0"/>
              <w:rPr>
                <w:sz w:val="1"/>
                <w:szCs w:val="1"/>
                <w:color w:val="auto"/>
              </w:rPr>
            </w:pPr>
          </w:p>
        </w:tc>
      </w:tr>
      <w:tr>
        <w:trPr>
          <w:trHeight w:val="258"/>
        </w:trPr>
        <w:tc>
          <w:tcPr>
            <w:tcW w:w="3540" w:type="dxa"/>
            <w:vAlign w:val="bottom"/>
          </w:tcPr>
          <w:p>
            <w:pPr>
              <w:ind w:left="120"/>
              <w:spacing w:after="0"/>
              <w:rPr>
                <w:sz w:val="20"/>
                <w:szCs w:val="20"/>
                <w:color w:val="auto"/>
              </w:rPr>
            </w:pPr>
            <w:r>
              <w:rPr>
                <w:rFonts w:ascii="Arial" w:cs="Arial" w:eastAsia="Arial" w:hAnsi="Arial"/>
                <w:sz w:val="20"/>
                <w:szCs w:val="20"/>
                <w:color w:val="auto"/>
                <w:w w:val="91"/>
              </w:rPr>
              <w:t xml:space="preserve">hedging activities, net </w:t>
            </w:r>
            <w:r>
              <w:rPr>
                <w:rFonts w:ascii="Arial" w:cs="Arial" w:eastAsia="Arial" w:hAnsi="Arial"/>
                <w:sz w:val="20"/>
                <w:szCs w:val="20"/>
                <w:color w:val="B4B4B4"/>
                <w:w w:val="91"/>
              </w:rPr>
              <w:t>. . . . . . . . . . . . . . . .</w:t>
            </w:r>
          </w:p>
        </w:tc>
        <w:tc>
          <w:tcPr>
            <w:tcW w:w="2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540" w:type="dxa"/>
            <w:vAlign w:val="bottom"/>
          </w:tcPr>
          <w:p>
            <w:pPr>
              <w:ind w:left="120"/>
              <w:spacing w:after="0"/>
              <w:rPr>
                <w:sz w:val="20"/>
                <w:szCs w:val="20"/>
                <w:color w:val="auto"/>
              </w:rPr>
            </w:pPr>
            <w:r>
              <w:rPr>
                <w:rFonts w:ascii="Arial" w:cs="Arial" w:eastAsia="Arial" w:hAnsi="Arial"/>
                <w:sz w:val="20"/>
                <w:szCs w:val="20"/>
                <w:color w:val="auto"/>
              </w:rPr>
              <w:t>Less: Contract and emissions credit</w:t>
            </w: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(100)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(125)</w:t>
            </w:r>
          </w:p>
        </w:tc>
        <w:tc>
          <w:tcPr>
            <w:tcW w:w="0" w:type="dxa"/>
            <w:vAlign w:val="bottom"/>
          </w:tcPr>
          <w:p>
            <w:pPr>
              <w:spacing w:after="0"/>
              <w:rPr>
                <w:sz w:val="1"/>
                <w:szCs w:val="1"/>
                <w:color w:val="auto"/>
              </w:rPr>
            </w:pPr>
          </w:p>
        </w:tc>
      </w:tr>
      <w:tr>
        <w:trPr>
          <w:trHeight w:val="258"/>
        </w:trPr>
        <w:tc>
          <w:tcPr>
            <w:tcW w:w="3540" w:type="dxa"/>
            <w:vAlign w:val="bottom"/>
          </w:tcPr>
          <w:p>
            <w:pPr>
              <w:ind w:left="120"/>
              <w:spacing w:after="0"/>
              <w:rPr>
                <w:sz w:val="20"/>
                <w:szCs w:val="20"/>
                <w:color w:val="auto"/>
              </w:rPr>
            </w:pPr>
            <w:r>
              <w:rPr>
                <w:rFonts w:ascii="Arial" w:cs="Arial" w:eastAsia="Arial" w:hAnsi="Arial"/>
                <w:sz w:val="20"/>
                <w:szCs w:val="20"/>
                <w:color w:val="auto"/>
                <w:w w:val="91"/>
              </w:rPr>
              <w:t xml:space="preserve">amortization, net </w:t>
            </w:r>
            <w:r>
              <w:rPr>
                <w:rFonts w:ascii="Arial" w:cs="Arial" w:eastAsia="Arial" w:hAnsi="Arial"/>
                <w:sz w:val="20"/>
                <w:szCs w:val="20"/>
                <w:color w:val="B4B4B4"/>
                <w:w w:val="91"/>
              </w:rPr>
              <w:t>. . . . . . . . . . . . . . . . . . . .</w:t>
            </w:r>
          </w:p>
        </w:tc>
        <w:tc>
          <w:tcPr>
            <w:tcW w:w="2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3540" w:type="dxa"/>
            <w:vAlign w:val="bottom"/>
          </w:tcPr>
          <w:p>
            <w:pPr>
              <w:ind w:left="120"/>
              <w:spacing w:after="0"/>
              <w:rPr>
                <w:sz w:val="20"/>
                <w:szCs w:val="20"/>
                <w:color w:val="auto"/>
              </w:rPr>
            </w:pPr>
            <w:r>
              <w:rPr>
                <w:rFonts w:ascii="Arial" w:cs="Arial" w:eastAsia="Arial" w:hAnsi="Arial"/>
                <w:sz w:val="20"/>
                <w:szCs w:val="20"/>
                <w:color w:val="auto"/>
                <w:w w:val="92"/>
              </w:rPr>
              <w:t xml:space="preserve">Less: Depreciation and amortization  </w:t>
            </w:r>
            <w:r>
              <w:rPr>
                <w:rFonts w:ascii="Arial" w:cs="Arial" w:eastAsia="Arial" w:hAnsi="Arial"/>
                <w:sz w:val="20"/>
                <w:szCs w:val="20"/>
                <w:color w:val="B4B4B4"/>
                <w:w w:val="92"/>
              </w:rPr>
              <w:t>. . . .</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(348)</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(1,295)</w:t>
            </w:r>
          </w:p>
        </w:tc>
        <w:tc>
          <w:tcPr>
            <w:tcW w:w="0" w:type="dxa"/>
            <w:vAlign w:val="bottom"/>
          </w:tcPr>
          <w:p>
            <w:pPr>
              <w:spacing w:after="0"/>
              <w:rPr>
                <w:sz w:val="1"/>
                <w:szCs w:val="1"/>
                <w:color w:val="auto"/>
              </w:rPr>
            </w:pPr>
          </w:p>
        </w:tc>
      </w:tr>
      <w:tr>
        <w:trPr>
          <w:trHeight w:val="275"/>
        </w:trPr>
        <w:tc>
          <w:tcPr>
            <w:tcW w:w="3540" w:type="dxa"/>
            <w:vAlign w:val="bottom"/>
          </w:tcPr>
          <w:p>
            <w:pPr>
              <w:ind w:left="220"/>
              <w:spacing w:after="0"/>
              <w:rPr>
                <w:sz w:val="20"/>
                <w:szCs w:val="20"/>
                <w:color w:val="auto"/>
              </w:rPr>
            </w:pPr>
            <w:r>
              <w:rPr>
                <w:rFonts w:ascii="Arial" w:cs="Arial" w:eastAsia="Arial" w:hAnsi="Arial"/>
                <w:sz w:val="20"/>
                <w:szCs w:val="20"/>
                <w:b w:val="1"/>
                <w:bCs w:val="1"/>
                <w:color w:val="auto"/>
                <w:w w:val="91"/>
              </w:rPr>
              <w:t xml:space="preserve">Economic gross margin </w:t>
            </w:r>
            <w:r>
              <w:rPr>
                <w:rFonts w:ascii="Arial" w:cs="Arial" w:eastAsia="Arial" w:hAnsi="Arial"/>
                <w:sz w:val="20"/>
                <w:szCs w:val="20"/>
                <w:b w:val="1"/>
                <w:bCs w:val="1"/>
                <w:color w:val="B4B4B4"/>
                <w:w w:val="91"/>
              </w:rPr>
              <w:t>. . . . . . .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3,428</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1,727</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526</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1,433</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(5)</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7,109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-3945890</wp:posOffset>
            </wp:positionV>
            <wp:extent cx="6475095" cy="3966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extLst>
                    </a:blip>
                    <a:srcRect/>
                    <a:stretch>
                      <a:fillRect/>
                    </a:stretch>
                  </pic:blipFill>
                  <pic:spPr bwMode="auto">
                    <a:xfrm>
                      <a:off x="0" y="0"/>
                      <a:ext cx="6475095" cy="3966845"/>
                    </a:xfrm>
                    <a:prstGeom prst="rect">
                      <a:avLst/>
                    </a:prstGeom>
                    <a:noFill/>
                  </pic:spPr>
                </pic:pic>
              </a:graphicData>
            </a:graphic>
          </wp:anchor>
        </w:drawing>
      </w:r>
    </w:p>
    <w:p>
      <w:pPr>
        <w:spacing w:after="0" w:line="35" w:lineRule="exact"/>
        <w:rPr>
          <w:sz w:val="20"/>
          <w:szCs w:val="20"/>
          <w:color w:val="auto"/>
        </w:rPr>
      </w:pPr>
    </w:p>
    <w:p>
      <w:pPr>
        <w:ind w:left="700" w:hanging="350"/>
        <w:spacing w:after="0"/>
        <w:tabs>
          <w:tab w:leader="none" w:pos="7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Includes results of operations following the acquisition date of March 10, 2023</w:t>
      </w:r>
    </w:p>
    <w:p>
      <w:pPr>
        <w:spacing w:after="0" w:line="77" w:lineRule="exact"/>
        <w:rPr>
          <w:rFonts w:ascii="Arial" w:cs="Arial" w:eastAsia="Arial" w:hAnsi="Arial"/>
          <w:sz w:val="15"/>
          <w:szCs w:val="15"/>
          <w:color w:val="auto"/>
        </w:rPr>
      </w:pPr>
    </w:p>
    <w:p>
      <w:pPr>
        <w:ind w:left="700" w:hanging="350"/>
        <w:spacing w:after="0"/>
        <w:tabs>
          <w:tab w:leader="none" w:pos="700" w:val="left"/>
        </w:tabs>
        <w:numPr>
          <w:ilvl w:val="0"/>
          <w:numId w:val="27"/>
        </w:numPr>
        <w:rPr>
          <w:rFonts w:ascii="Arial" w:cs="Arial" w:eastAsia="Arial" w:hAnsi="Arial"/>
          <w:sz w:val="16"/>
          <w:szCs w:val="16"/>
          <w:color w:val="auto"/>
        </w:rPr>
      </w:pPr>
      <w:r>
        <w:rPr>
          <w:rFonts w:ascii="Arial" w:cs="Arial" w:eastAsia="Arial" w:hAnsi="Arial"/>
          <w:sz w:val="15"/>
          <w:szCs w:val="15"/>
          <w:color w:val="auto"/>
        </w:rPr>
        <w:t>Includes trading gains and losses and ancillary revenues</w:t>
      </w:r>
    </w:p>
    <w:p>
      <w:pPr>
        <w:spacing w:after="0" w:line="70" w:lineRule="exact"/>
        <w:rPr>
          <w:rFonts w:ascii="Arial" w:cs="Arial" w:eastAsia="Arial" w:hAnsi="Arial"/>
          <w:sz w:val="16"/>
          <w:szCs w:val="16"/>
          <w:color w:val="auto"/>
        </w:rPr>
      </w:pPr>
    </w:p>
    <w:p>
      <w:pPr>
        <w:ind w:left="700" w:hanging="350"/>
        <w:spacing w:after="0"/>
        <w:tabs>
          <w:tab w:leader="none" w:pos="7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Includes capacity and emissions credits</w:t>
      </w:r>
    </w:p>
    <w:p>
      <w:pPr>
        <w:spacing w:after="0" w:line="79" w:lineRule="exact"/>
        <w:rPr>
          <w:rFonts w:ascii="Arial" w:cs="Arial" w:eastAsia="Arial" w:hAnsi="Arial"/>
          <w:sz w:val="15"/>
          <w:szCs w:val="15"/>
          <w:color w:val="auto"/>
        </w:rPr>
      </w:pPr>
    </w:p>
    <w:p>
      <w:pPr>
        <w:ind w:left="700" w:hanging="350"/>
        <w:spacing w:after="0"/>
        <w:tabs>
          <w:tab w:leader="none" w:pos="7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Includes $3.1 billion, $244 million and $1.1 billion of TDSP expense in Texas, East, and West/Services/Other, respectively</w:t>
      </w:r>
    </w:p>
    <w:p>
      <w:pPr>
        <w:spacing w:after="0" w:line="79" w:lineRule="exact"/>
        <w:rPr>
          <w:rFonts w:ascii="Arial" w:cs="Arial" w:eastAsia="Arial" w:hAnsi="Arial"/>
          <w:sz w:val="15"/>
          <w:szCs w:val="15"/>
          <w:color w:val="auto"/>
        </w:rPr>
      </w:pPr>
    </w:p>
    <w:p>
      <w:pPr>
        <w:ind w:left="700" w:hanging="358"/>
        <w:spacing w:after="0"/>
        <w:tabs>
          <w:tab w:leader="none" w:pos="7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Excludes depreciation and amortization shown separately</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8"/>
              </w:rPr>
              <w:t>West/</w:t>
            </w:r>
          </w:p>
        </w:tc>
        <w:tc>
          <w:tcPr>
            <w:tcW w:w="8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Vivint Smart</w:t>
            </w:r>
          </w:p>
        </w:tc>
        <w:tc>
          <w:tcPr>
            <w:tcW w:w="60" w:type="dxa"/>
            <w:vAlign w:val="bottom"/>
          </w:tcPr>
          <w:p>
            <w:pPr>
              <w:spacing w:after="0"/>
              <w:rPr>
                <w:sz w:val="16"/>
                <w:szCs w:val="16"/>
                <w:color w:val="auto"/>
              </w:rPr>
            </w:pPr>
          </w:p>
        </w:tc>
        <w:tc>
          <w:tcPr>
            <w:tcW w:w="106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Corporate/</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540" w:type="dxa"/>
            <w:vAlign w:val="bottom"/>
            <w:vMerge w:val="restart"/>
          </w:tcPr>
          <w:p>
            <w:pPr>
              <w:spacing w:after="0"/>
              <w:rPr>
                <w:sz w:val="20"/>
                <w:szCs w:val="20"/>
                <w:color w:val="auto"/>
              </w:rPr>
            </w:pPr>
            <w:r>
              <w:rPr>
                <w:rFonts w:ascii="Arial" w:cs="Arial" w:eastAsia="Arial" w:hAnsi="Arial"/>
                <w:sz w:val="16"/>
                <w:szCs w:val="16"/>
                <w:b w:val="1"/>
                <w:bCs w:val="1"/>
                <w:color w:val="auto"/>
              </w:rPr>
              <w:t>Business Metrics</w:t>
            </w:r>
          </w:p>
        </w:tc>
        <w:tc>
          <w:tcPr>
            <w:tcW w:w="1020" w:type="dxa"/>
            <w:vAlign w:val="bottom"/>
            <w:vMerge w:val="restart"/>
          </w:tcPr>
          <w:p>
            <w:pPr>
              <w:jc w:val="right"/>
              <w:ind w:right="223"/>
              <w:spacing w:after="0"/>
              <w:rPr>
                <w:sz w:val="20"/>
                <w:szCs w:val="20"/>
                <w:color w:val="auto"/>
              </w:rPr>
            </w:pPr>
            <w:r>
              <w:rPr>
                <w:rFonts w:ascii="Arial" w:cs="Arial" w:eastAsia="Arial" w:hAnsi="Arial"/>
                <w:sz w:val="16"/>
                <w:szCs w:val="16"/>
                <w:b w:val="1"/>
                <w:bCs w:val="1"/>
                <w:color w:val="auto"/>
              </w:rPr>
              <w:t>Texas</w:t>
            </w:r>
          </w:p>
        </w:tc>
        <w:tc>
          <w:tcPr>
            <w:tcW w:w="80" w:type="dxa"/>
            <w:vAlign w:val="bottom"/>
          </w:tcPr>
          <w:p>
            <w:pPr>
              <w:spacing w:after="0"/>
              <w:rPr>
                <w:sz w:val="13"/>
                <w:szCs w:val="13"/>
                <w:color w:val="auto"/>
              </w:rPr>
            </w:pPr>
          </w:p>
        </w:tc>
        <w:tc>
          <w:tcPr>
            <w:tcW w:w="1020" w:type="dxa"/>
            <w:vAlign w:val="bottom"/>
            <w:vMerge w:val="restart"/>
          </w:tcPr>
          <w:p>
            <w:pPr>
              <w:jc w:val="right"/>
              <w:ind w:right="268"/>
              <w:spacing w:after="0"/>
              <w:rPr>
                <w:sz w:val="20"/>
                <w:szCs w:val="20"/>
                <w:color w:val="auto"/>
              </w:rPr>
            </w:pPr>
            <w:r>
              <w:rPr>
                <w:rFonts w:ascii="Arial" w:cs="Arial" w:eastAsia="Arial" w:hAnsi="Arial"/>
                <w:sz w:val="16"/>
                <w:szCs w:val="16"/>
                <w:b w:val="1"/>
                <w:bCs w:val="1"/>
                <w:color w:val="auto"/>
              </w:rPr>
              <w:t>East</w:t>
            </w:r>
          </w:p>
        </w:tc>
        <w:tc>
          <w:tcPr>
            <w:tcW w:w="8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5"/>
              </w:rPr>
              <w:t>Services/</w:t>
            </w: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restart"/>
          </w:tcPr>
          <w:p>
            <w:pPr>
              <w:jc w:val="right"/>
              <w:ind w:right="26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540" w:type="dxa"/>
            <w:vAlign w:val="bottom"/>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Other</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225"/>
              <w:spacing w:after="0"/>
              <w:rPr>
                <w:sz w:val="20"/>
                <w:szCs w:val="20"/>
                <w:color w:val="auto"/>
              </w:rPr>
            </w:pPr>
            <w:r>
              <w:rPr>
                <w:rFonts w:ascii="Arial" w:cs="Arial" w:eastAsia="Arial" w:hAnsi="Arial"/>
                <w:sz w:val="16"/>
                <w:szCs w:val="16"/>
                <w:b w:val="1"/>
                <w:bCs w:val="1"/>
                <w:color w:val="auto"/>
              </w:rPr>
              <w:t>Home</w:t>
            </w:r>
          </w:p>
        </w:tc>
        <w:tc>
          <w:tcPr>
            <w:tcW w:w="60" w:type="dxa"/>
            <w:vAlign w:val="bottom"/>
          </w:tcPr>
          <w:p>
            <w:pPr>
              <w:spacing w:after="0"/>
              <w:rPr>
                <w:sz w:val="18"/>
                <w:szCs w:val="18"/>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w w:val="98"/>
              </w:rPr>
              <w:t>Eliminations</w:t>
            </w:r>
          </w:p>
        </w:tc>
        <w:tc>
          <w:tcPr>
            <w:tcW w:w="8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540" w:type="dxa"/>
            <w:vAlign w:val="bottom"/>
          </w:tcPr>
          <w:p>
            <w:pPr>
              <w:ind w:left="120"/>
              <w:spacing w:after="0"/>
              <w:rPr>
                <w:sz w:val="20"/>
                <w:szCs w:val="20"/>
                <w:color w:val="auto"/>
              </w:rPr>
            </w:pPr>
            <w:r>
              <w:rPr>
                <w:rFonts w:ascii="Arial" w:cs="Arial" w:eastAsia="Arial" w:hAnsi="Arial"/>
                <w:sz w:val="20"/>
                <w:szCs w:val="20"/>
                <w:color w:val="auto"/>
                <w:w w:val="93"/>
              </w:rPr>
              <w:t xml:space="preserve">Home electricity sales volume (GWh) </w:t>
            </w:r>
            <w:r>
              <w:rPr>
                <w:rFonts w:ascii="Arial" w:cs="Arial" w:eastAsia="Arial" w:hAnsi="Arial"/>
                <w:sz w:val="20"/>
                <w:szCs w:val="20"/>
                <w:color w:val="B4B4B4"/>
                <w:w w:val="93"/>
              </w:rPr>
              <w:t>. . .</w:t>
            </w:r>
          </w:p>
        </w:tc>
        <w:tc>
          <w:tcPr>
            <w:tcW w:w="1020" w:type="dxa"/>
            <w:vAlign w:val="bottom"/>
          </w:tcPr>
          <w:p>
            <w:pPr>
              <w:jc w:val="right"/>
              <w:spacing w:after="0"/>
              <w:rPr>
                <w:sz w:val="20"/>
                <w:szCs w:val="20"/>
                <w:color w:val="auto"/>
              </w:rPr>
            </w:pPr>
            <w:r>
              <w:rPr>
                <w:rFonts w:ascii="Arial" w:cs="Arial" w:eastAsia="Arial" w:hAnsi="Arial"/>
                <w:sz w:val="20"/>
                <w:szCs w:val="20"/>
                <w:color w:val="auto"/>
              </w:rPr>
              <w:t>40,032</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12,838</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2,243</w:t>
            </w:r>
          </w:p>
        </w:tc>
        <w:tc>
          <w:tcPr>
            <w:tcW w:w="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060" w:type="dxa"/>
            <w:vAlign w:val="bottom"/>
          </w:tcPr>
          <w:p>
            <w:pPr>
              <w:ind w:left="780"/>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20"/>
                <w:szCs w:val="20"/>
                <w:color w:val="auto"/>
              </w:rPr>
              <w:t>55,113</w:t>
            </w:r>
          </w:p>
        </w:tc>
        <w:tc>
          <w:tcPr>
            <w:tcW w:w="0" w:type="dxa"/>
            <w:vAlign w:val="bottom"/>
          </w:tcPr>
          <w:p>
            <w:pPr>
              <w:spacing w:after="0"/>
              <w:rPr>
                <w:sz w:val="1"/>
                <w:szCs w:val="1"/>
                <w:color w:val="auto"/>
              </w:rPr>
            </w:pPr>
          </w:p>
        </w:tc>
      </w:tr>
      <w:tr>
        <w:trPr>
          <w:trHeight w:val="297"/>
        </w:trPr>
        <w:tc>
          <w:tcPr>
            <w:tcW w:w="3540" w:type="dxa"/>
            <w:vAlign w:val="bottom"/>
          </w:tcPr>
          <w:p>
            <w:pPr>
              <w:ind w:left="120"/>
              <w:spacing w:after="0"/>
              <w:rPr>
                <w:sz w:val="20"/>
                <w:szCs w:val="20"/>
                <w:color w:val="auto"/>
              </w:rPr>
            </w:pPr>
            <w:r>
              <w:rPr>
                <w:rFonts w:ascii="Arial" w:cs="Arial" w:eastAsia="Arial" w:hAnsi="Arial"/>
                <w:sz w:val="20"/>
                <w:szCs w:val="20"/>
                <w:color w:val="auto"/>
                <w:w w:val="92"/>
              </w:rPr>
              <w:t xml:space="preserve">Business electricity sales volume (GWh) </w:t>
            </w:r>
            <w:r>
              <w:rPr>
                <w:rFonts w:ascii="Arial" w:cs="Arial" w:eastAsia="Arial" w:hAnsi="Arial"/>
                <w:sz w:val="20"/>
                <w:szCs w:val="20"/>
                <w:color w:val="B4B4B4"/>
                <w:w w:val="92"/>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40,250</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46,438</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10,393</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060" w:type="dxa"/>
            <w:vAlign w:val="bottom"/>
          </w:tcPr>
          <w:p>
            <w:pPr>
              <w:ind w:left="780"/>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20"/>
                <w:szCs w:val="20"/>
                <w:color w:val="auto"/>
              </w:rPr>
              <w:t>97,081</w:t>
            </w:r>
          </w:p>
        </w:tc>
        <w:tc>
          <w:tcPr>
            <w:tcW w:w="0" w:type="dxa"/>
            <w:vAlign w:val="bottom"/>
          </w:tcPr>
          <w:p>
            <w:pPr>
              <w:spacing w:after="0"/>
              <w:rPr>
                <w:sz w:val="1"/>
                <w:szCs w:val="1"/>
                <w:color w:val="auto"/>
              </w:rPr>
            </w:pPr>
          </w:p>
        </w:tc>
      </w:tr>
      <w:tr>
        <w:trPr>
          <w:trHeight w:val="232"/>
        </w:trPr>
        <w:tc>
          <w:tcPr>
            <w:tcW w:w="3540" w:type="dxa"/>
            <w:vAlign w:val="bottom"/>
          </w:tcPr>
          <w:p>
            <w:pPr>
              <w:ind w:left="120"/>
              <w:spacing w:after="0"/>
              <w:rPr>
                <w:sz w:val="20"/>
                <w:szCs w:val="20"/>
                <w:color w:val="auto"/>
              </w:rPr>
            </w:pPr>
            <w:r>
              <w:rPr>
                <w:rFonts w:ascii="Arial" w:cs="Arial" w:eastAsia="Arial" w:hAnsi="Arial"/>
                <w:sz w:val="20"/>
                <w:szCs w:val="20"/>
                <w:color w:val="auto"/>
              </w:rPr>
              <w:t>Home natural gas retail sales volumes</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49,990</w:t>
            </w: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75,150</w:t>
            </w:r>
          </w:p>
        </w:tc>
        <w:tc>
          <w:tcPr>
            <w:tcW w:w="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060" w:type="dxa"/>
            <w:vAlign w:val="bottom"/>
            <w:vMerge w:val="restart"/>
          </w:tcPr>
          <w:p>
            <w:pPr>
              <w:ind w:left="780"/>
              <w:spacing w:after="0"/>
              <w:rPr>
                <w:sz w:val="20"/>
                <w:szCs w:val="20"/>
                <w:color w:val="auto"/>
              </w:rPr>
            </w:pPr>
            <w:r>
              <w:rPr>
                <w:rFonts w:ascii="Arial" w:cs="Arial" w:eastAsia="Arial" w:hAnsi="Arial"/>
                <w:sz w:val="20"/>
                <w:szCs w:val="20"/>
                <w:color w:val="auto"/>
              </w:rPr>
              <w:t>—</w:t>
            </w: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125,140</w:t>
            </w:r>
          </w:p>
        </w:tc>
        <w:tc>
          <w:tcPr>
            <w:tcW w:w="0" w:type="dxa"/>
            <w:vAlign w:val="bottom"/>
          </w:tcPr>
          <w:p>
            <w:pPr>
              <w:spacing w:after="0"/>
              <w:rPr>
                <w:sz w:val="1"/>
                <w:szCs w:val="1"/>
                <w:color w:val="auto"/>
              </w:rPr>
            </w:pPr>
          </w:p>
        </w:tc>
      </w:tr>
      <w:tr>
        <w:trPr>
          <w:trHeight w:val="258"/>
        </w:trPr>
        <w:tc>
          <w:tcPr>
            <w:tcW w:w="3540" w:type="dxa"/>
            <w:vAlign w:val="bottom"/>
          </w:tcPr>
          <w:p>
            <w:pPr>
              <w:ind w:left="120"/>
              <w:spacing w:after="0"/>
              <w:rPr>
                <w:sz w:val="20"/>
                <w:szCs w:val="20"/>
                <w:color w:val="auto"/>
              </w:rPr>
            </w:pPr>
            <w:r>
              <w:rPr>
                <w:rFonts w:ascii="Arial" w:cs="Arial" w:eastAsia="Arial" w:hAnsi="Arial"/>
                <w:sz w:val="20"/>
                <w:szCs w:val="20"/>
                <w:color w:val="auto"/>
                <w:w w:val="94"/>
              </w:rPr>
              <w:t xml:space="preserve">(MDth) </w:t>
            </w:r>
            <w:r>
              <w:rPr>
                <w:rFonts w:ascii="Arial" w:cs="Arial" w:eastAsia="Arial" w:hAnsi="Arial"/>
                <w:sz w:val="20"/>
                <w:szCs w:val="20"/>
                <w:color w:val="B4B4B4"/>
                <w:w w:val="94"/>
              </w:rPr>
              <w:t>. . . . . . . . . . . . . . . . . . . . . . . . . . .</w:t>
            </w:r>
          </w:p>
        </w:tc>
        <w:tc>
          <w:tcPr>
            <w:tcW w:w="1020" w:type="dxa"/>
            <w:vAlign w:val="bottom"/>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540" w:type="dxa"/>
            <w:vAlign w:val="bottom"/>
          </w:tcPr>
          <w:p>
            <w:pPr>
              <w:ind w:left="120"/>
              <w:spacing w:after="0"/>
              <w:rPr>
                <w:sz w:val="20"/>
                <w:szCs w:val="20"/>
                <w:color w:val="auto"/>
              </w:rPr>
            </w:pPr>
            <w:r>
              <w:rPr>
                <w:rFonts w:ascii="Arial" w:cs="Arial" w:eastAsia="Arial" w:hAnsi="Arial"/>
                <w:sz w:val="20"/>
                <w:szCs w:val="20"/>
                <w:color w:val="auto"/>
                <w:w w:val="92"/>
              </w:rPr>
              <w:t>Business natural gas retail sales volumes</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1,587,052</w:t>
            </w: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179,888</w:t>
            </w:r>
          </w:p>
        </w:tc>
        <w:tc>
          <w:tcPr>
            <w:tcW w:w="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060" w:type="dxa"/>
            <w:vAlign w:val="bottom"/>
            <w:vMerge w:val="restart"/>
          </w:tcPr>
          <w:p>
            <w:pPr>
              <w:ind w:left="780"/>
              <w:spacing w:after="0"/>
              <w:rPr>
                <w:sz w:val="20"/>
                <w:szCs w:val="20"/>
                <w:color w:val="auto"/>
              </w:rPr>
            </w:pPr>
            <w:r>
              <w:rPr>
                <w:rFonts w:ascii="Arial" w:cs="Arial" w:eastAsia="Arial" w:hAnsi="Arial"/>
                <w:sz w:val="20"/>
                <w:szCs w:val="20"/>
                <w:color w:val="auto"/>
              </w:rPr>
              <w:t>—</w:t>
            </w: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1,766,940</w:t>
            </w:r>
          </w:p>
        </w:tc>
        <w:tc>
          <w:tcPr>
            <w:tcW w:w="0" w:type="dxa"/>
            <w:vAlign w:val="bottom"/>
          </w:tcPr>
          <w:p>
            <w:pPr>
              <w:spacing w:after="0"/>
              <w:rPr>
                <w:sz w:val="1"/>
                <w:szCs w:val="1"/>
                <w:color w:val="auto"/>
              </w:rPr>
            </w:pPr>
          </w:p>
        </w:tc>
      </w:tr>
      <w:tr>
        <w:trPr>
          <w:trHeight w:val="258"/>
        </w:trPr>
        <w:tc>
          <w:tcPr>
            <w:tcW w:w="3540" w:type="dxa"/>
            <w:vAlign w:val="bottom"/>
          </w:tcPr>
          <w:p>
            <w:pPr>
              <w:ind w:left="120"/>
              <w:spacing w:after="0"/>
              <w:rPr>
                <w:sz w:val="20"/>
                <w:szCs w:val="20"/>
                <w:color w:val="auto"/>
              </w:rPr>
            </w:pPr>
            <w:r>
              <w:rPr>
                <w:rFonts w:ascii="Arial" w:cs="Arial" w:eastAsia="Arial" w:hAnsi="Arial"/>
                <w:sz w:val="20"/>
                <w:szCs w:val="20"/>
                <w:color w:val="auto"/>
                <w:w w:val="94"/>
              </w:rPr>
              <w:t xml:space="preserve">(MDth) </w:t>
            </w:r>
            <w:r>
              <w:rPr>
                <w:rFonts w:ascii="Arial" w:cs="Arial" w:eastAsia="Arial" w:hAnsi="Arial"/>
                <w:sz w:val="20"/>
                <w:szCs w:val="20"/>
                <w:color w:val="B4B4B4"/>
                <w:w w:val="94"/>
              </w:rPr>
              <w:t>. . . . . . . . . . . . . . . . . . . . . . . . . . .</w:t>
            </w:r>
          </w:p>
        </w:tc>
        <w:tc>
          <w:tcPr>
            <w:tcW w:w="1020" w:type="dxa"/>
            <w:vAlign w:val="bottom"/>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540" w:type="dxa"/>
            <w:vAlign w:val="bottom"/>
          </w:tcPr>
          <w:p>
            <w:pPr>
              <w:ind w:left="120"/>
              <w:spacing w:after="0"/>
              <w:rPr>
                <w:sz w:val="20"/>
                <w:szCs w:val="20"/>
                <w:color w:val="auto"/>
              </w:rPr>
            </w:pPr>
            <w:r>
              <w:rPr>
                <w:rFonts w:ascii="Arial" w:cs="Arial" w:eastAsia="Arial" w:hAnsi="Arial"/>
                <w:sz w:val="20"/>
                <w:szCs w:val="20"/>
                <w:color w:val="auto"/>
                <w:w w:val="96"/>
              </w:rPr>
              <w:t>Average retail Home customer count (in</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2,878</w:t>
            </w: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1,856</w:t>
            </w: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774</w:t>
            </w:r>
          </w:p>
        </w:tc>
        <w:tc>
          <w:tcPr>
            <w:tcW w:w="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060" w:type="dxa"/>
            <w:vAlign w:val="bottom"/>
            <w:vMerge w:val="restart"/>
          </w:tcPr>
          <w:p>
            <w:pPr>
              <w:ind w:left="780"/>
              <w:spacing w:after="0"/>
              <w:rPr>
                <w:sz w:val="20"/>
                <w:szCs w:val="20"/>
                <w:color w:val="auto"/>
              </w:rPr>
            </w:pPr>
            <w:r>
              <w:rPr>
                <w:rFonts w:ascii="Arial" w:cs="Arial" w:eastAsia="Arial" w:hAnsi="Arial"/>
                <w:sz w:val="20"/>
                <w:szCs w:val="20"/>
                <w:color w:val="auto"/>
              </w:rPr>
              <w:t>—</w:t>
            </w: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5,508</w:t>
            </w:r>
          </w:p>
        </w:tc>
        <w:tc>
          <w:tcPr>
            <w:tcW w:w="0" w:type="dxa"/>
            <w:vAlign w:val="bottom"/>
          </w:tcPr>
          <w:p>
            <w:pPr>
              <w:spacing w:after="0"/>
              <w:rPr>
                <w:sz w:val="1"/>
                <w:szCs w:val="1"/>
                <w:color w:val="auto"/>
              </w:rPr>
            </w:pPr>
          </w:p>
        </w:tc>
      </w:tr>
      <w:tr>
        <w:trPr>
          <w:trHeight w:val="292"/>
        </w:trPr>
        <w:tc>
          <w:tcPr>
            <w:tcW w:w="3540" w:type="dxa"/>
            <w:vAlign w:val="bottom"/>
          </w:tcPr>
          <w:p>
            <w:pPr>
              <w:ind w:left="120"/>
              <w:spacing w:after="0"/>
              <w:rPr>
                <w:sz w:val="20"/>
                <w:szCs w:val="20"/>
                <w:color w:val="auto"/>
              </w:rPr>
            </w:pPr>
            <w:r>
              <w:rPr>
                <w:rFonts w:ascii="Arial" w:cs="Arial" w:eastAsia="Arial" w:hAnsi="Arial"/>
                <w:sz w:val="20"/>
                <w:szCs w:val="20"/>
                <w:color w:val="auto"/>
                <w:w w:val="89"/>
              </w:rPr>
              <w:t>thousands)</w:t>
            </w:r>
            <w:r>
              <w:rPr>
                <w:rFonts w:ascii="Arial" w:cs="Arial" w:eastAsia="Arial" w:hAnsi="Arial"/>
                <w:sz w:val="25"/>
                <w:szCs w:val="25"/>
                <w:color w:val="auto"/>
                <w:w w:val="89"/>
                <w:vertAlign w:val="superscript"/>
              </w:rPr>
              <w:t>(a)</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w:t>
            </w:r>
          </w:p>
        </w:tc>
        <w:tc>
          <w:tcPr>
            <w:tcW w:w="1020" w:type="dxa"/>
            <w:vAlign w:val="bottom"/>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540" w:type="dxa"/>
            <w:vAlign w:val="bottom"/>
          </w:tcPr>
          <w:p>
            <w:pPr>
              <w:ind w:left="120"/>
              <w:spacing w:after="0" w:line="199" w:lineRule="exact"/>
              <w:rPr>
                <w:sz w:val="20"/>
                <w:szCs w:val="20"/>
                <w:color w:val="auto"/>
              </w:rPr>
            </w:pPr>
            <w:r>
              <w:rPr>
                <w:rFonts w:ascii="Arial" w:cs="Arial" w:eastAsia="Arial" w:hAnsi="Arial"/>
                <w:sz w:val="20"/>
                <w:szCs w:val="20"/>
                <w:color w:val="auto"/>
                <w:w w:val="99"/>
              </w:rPr>
              <w:t>Ending retail Home customer count (in</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2,928</w:t>
            </w: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2,137</w:t>
            </w: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762</w:t>
            </w:r>
          </w:p>
        </w:tc>
        <w:tc>
          <w:tcPr>
            <w:tcW w:w="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1060" w:type="dxa"/>
            <w:vAlign w:val="bottom"/>
            <w:vMerge w:val="restart"/>
          </w:tcPr>
          <w:p>
            <w:pPr>
              <w:ind w:left="780"/>
              <w:spacing w:after="0"/>
              <w:rPr>
                <w:sz w:val="20"/>
                <w:szCs w:val="20"/>
                <w:color w:val="auto"/>
              </w:rPr>
            </w:pPr>
            <w:r>
              <w:rPr>
                <w:rFonts w:ascii="Arial" w:cs="Arial" w:eastAsia="Arial" w:hAnsi="Arial"/>
                <w:sz w:val="20"/>
                <w:szCs w:val="20"/>
                <w:color w:val="auto"/>
              </w:rPr>
              <w:t>—</w:t>
            </w: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5,827</w:t>
            </w:r>
          </w:p>
        </w:tc>
        <w:tc>
          <w:tcPr>
            <w:tcW w:w="0" w:type="dxa"/>
            <w:vAlign w:val="bottom"/>
          </w:tcPr>
          <w:p>
            <w:pPr>
              <w:spacing w:after="0"/>
              <w:rPr>
                <w:sz w:val="1"/>
                <w:szCs w:val="1"/>
                <w:color w:val="auto"/>
              </w:rPr>
            </w:pPr>
          </w:p>
        </w:tc>
      </w:tr>
      <w:tr>
        <w:trPr>
          <w:trHeight w:val="292"/>
        </w:trPr>
        <w:tc>
          <w:tcPr>
            <w:tcW w:w="3540" w:type="dxa"/>
            <w:vAlign w:val="bottom"/>
          </w:tcPr>
          <w:p>
            <w:pPr>
              <w:ind w:left="120"/>
              <w:spacing w:after="0"/>
              <w:rPr>
                <w:sz w:val="20"/>
                <w:szCs w:val="20"/>
                <w:color w:val="auto"/>
              </w:rPr>
            </w:pPr>
            <w:r>
              <w:rPr>
                <w:rFonts w:ascii="Arial" w:cs="Arial" w:eastAsia="Arial" w:hAnsi="Arial"/>
                <w:sz w:val="20"/>
                <w:szCs w:val="20"/>
                <w:color w:val="auto"/>
                <w:w w:val="89"/>
              </w:rPr>
              <w:t>thousands)</w:t>
            </w:r>
            <w:r>
              <w:rPr>
                <w:rFonts w:ascii="Arial" w:cs="Arial" w:eastAsia="Arial" w:hAnsi="Arial"/>
                <w:sz w:val="25"/>
                <w:szCs w:val="25"/>
                <w:color w:val="auto"/>
                <w:w w:val="89"/>
                <w:vertAlign w:val="superscript"/>
              </w:rPr>
              <w:t>(a)</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w:t>
            </w:r>
          </w:p>
        </w:tc>
        <w:tc>
          <w:tcPr>
            <w:tcW w:w="1020" w:type="dxa"/>
            <w:vAlign w:val="bottom"/>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540" w:type="dxa"/>
            <w:vAlign w:val="bottom"/>
          </w:tcPr>
          <w:p>
            <w:pPr>
              <w:ind w:left="120"/>
              <w:spacing w:after="0" w:line="199" w:lineRule="exact"/>
              <w:rPr>
                <w:sz w:val="20"/>
                <w:szCs w:val="20"/>
                <w:color w:val="auto"/>
              </w:rPr>
            </w:pPr>
            <w:r>
              <w:rPr>
                <w:rFonts w:ascii="Arial" w:cs="Arial" w:eastAsia="Arial" w:hAnsi="Arial"/>
                <w:sz w:val="20"/>
                <w:szCs w:val="20"/>
                <w:color w:val="auto"/>
                <w:w w:val="98"/>
              </w:rPr>
              <w:t>Average Vivint Smart Home subscriber</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20" w:type="dxa"/>
            <w:vAlign w:val="bottom"/>
            <w:gridSpan w:val="2"/>
            <w:vMerge w:val="restart"/>
          </w:tcPr>
          <w:p>
            <w:pPr>
              <w:jc w:val="right"/>
              <w:spacing w:after="0"/>
              <w:rPr>
                <w:sz w:val="20"/>
                <w:szCs w:val="20"/>
                <w:color w:val="auto"/>
              </w:rPr>
            </w:pPr>
            <w:r>
              <w:rPr>
                <w:rFonts w:ascii="Arial" w:cs="Arial" w:eastAsia="Arial" w:hAnsi="Arial"/>
                <w:sz w:val="20"/>
                <w:szCs w:val="20"/>
                <w:color w:val="auto"/>
              </w:rPr>
              <w:t>2,008</w:t>
            </w:r>
          </w:p>
        </w:tc>
        <w:tc>
          <w:tcPr>
            <w:tcW w:w="60" w:type="dxa"/>
            <w:vAlign w:val="bottom"/>
          </w:tcPr>
          <w:p>
            <w:pPr>
              <w:spacing w:after="0"/>
              <w:rPr>
                <w:sz w:val="17"/>
                <w:szCs w:val="17"/>
                <w:color w:val="auto"/>
              </w:rPr>
            </w:pPr>
          </w:p>
        </w:tc>
        <w:tc>
          <w:tcPr>
            <w:tcW w:w="1060" w:type="dxa"/>
            <w:vAlign w:val="bottom"/>
            <w:vMerge w:val="restart"/>
          </w:tcPr>
          <w:p>
            <w:pPr>
              <w:ind w:left="780"/>
              <w:spacing w:after="0"/>
              <w:rPr>
                <w:sz w:val="20"/>
                <w:szCs w:val="20"/>
                <w:color w:val="auto"/>
              </w:rPr>
            </w:pPr>
            <w:r>
              <w:rPr>
                <w:rFonts w:ascii="Arial" w:cs="Arial" w:eastAsia="Arial" w:hAnsi="Arial"/>
                <w:sz w:val="20"/>
                <w:szCs w:val="20"/>
                <w:color w:val="auto"/>
              </w:rPr>
              <w:t>—</w:t>
            </w: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2,008</w:t>
            </w:r>
          </w:p>
        </w:tc>
        <w:tc>
          <w:tcPr>
            <w:tcW w:w="0" w:type="dxa"/>
            <w:vAlign w:val="bottom"/>
          </w:tcPr>
          <w:p>
            <w:pPr>
              <w:spacing w:after="0"/>
              <w:rPr>
                <w:sz w:val="1"/>
                <w:szCs w:val="1"/>
                <w:color w:val="auto"/>
              </w:rPr>
            </w:pPr>
          </w:p>
        </w:tc>
      </w:tr>
      <w:tr>
        <w:trPr>
          <w:trHeight w:val="292"/>
        </w:trPr>
        <w:tc>
          <w:tcPr>
            <w:tcW w:w="3540" w:type="dxa"/>
            <w:vAlign w:val="bottom"/>
          </w:tcPr>
          <w:p>
            <w:pPr>
              <w:ind w:left="120"/>
              <w:spacing w:after="0"/>
              <w:rPr>
                <w:sz w:val="20"/>
                <w:szCs w:val="20"/>
                <w:color w:val="auto"/>
              </w:rPr>
            </w:pPr>
            <w:r>
              <w:rPr>
                <w:rFonts w:ascii="Arial" w:cs="Arial" w:eastAsia="Arial" w:hAnsi="Arial"/>
                <w:sz w:val="20"/>
                <w:szCs w:val="20"/>
                <w:color w:val="auto"/>
                <w:w w:val="89"/>
              </w:rPr>
              <w:t>count (in thousands)</w:t>
            </w:r>
            <w:r>
              <w:rPr>
                <w:rFonts w:ascii="Arial" w:cs="Arial" w:eastAsia="Arial" w:hAnsi="Arial"/>
                <w:sz w:val="25"/>
                <w:szCs w:val="25"/>
                <w:color w:val="auto"/>
                <w:w w:val="89"/>
                <w:vertAlign w:val="superscript"/>
              </w:rPr>
              <w:t>(b)</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w:t>
            </w:r>
          </w:p>
        </w:tc>
        <w:tc>
          <w:tcPr>
            <w:tcW w:w="1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540" w:type="dxa"/>
            <w:vAlign w:val="bottom"/>
          </w:tcPr>
          <w:p>
            <w:pPr>
              <w:ind w:left="120"/>
              <w:spacing w:after="0" w:line="199" w:lineRule="exact"/>
              <w:rPr>
                <w:sz w:val="20"/>
                <w:szCs w:val="20"/>
                <w:color w:val="auto"/>
              </w:rPr>
            </w:pPr>
            <w:r>
              <w:rPr>
                <w:rFonts w:ascii="Arial" w:cs="Arial" w:eastAsia="Arial" w:hAnsi="Arial"/>
                <w:sz w:val="20"/>
                <w:szCs w:val="20"/>
                <w:color w:val="auto"/>
              </w:rPr>
              <w:t>Ending Vivint Smart Home subscriber</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20" w:type="dxa"/>
            <w:vAlign w:val="bottom"/>
            <w:gridSpan w:val="2"/>
            <w:vMerge w:val="restart"/>
          </w:tcPr>
          <w:p>
            <w:pPr>
              <w:jc w:val="right"/>
              <w:spacing w:after="0"/>
              <w:rPr>
                <w:sz w:val="20"/>
                <w:szCs w:val="20"/>
                <w:color w:val="auto"/>
              </w:rPr>
            </w:pPr>
            <w:r>
              <w:rPr>
                <w:rFonts w:ascii="Arial" w:cs="Arial" w:eastAsia="Arial" w:hAnsi="Arial"/>
                <w:sz w:val="20"/>
                <w:szCs w:val="20"/>
                <w:color w:val="auto"/>
              </w:rPr>
              <w:t>2,043</w:t>
            </w:r>
          </w:p>
        </w:tc>
        <w:tc>
          <w:tcPr>
            <w:tcW w:w="60" w:type="dxa"/>
            <w:vAlign w:val="bottom"/>
          </w:tcPr>
          <w:p>
            <w:pPr>
              <w:spacing w:after="0"/>
              <w:rPr>
                <w:sz w:val="17"/>
                <w:szCs w:val="17"/>
                <w:color w:val="auto"/>
              </w:rPr>
            </w:pPr>
          </w:p>
        </w:tc>
        <w:tc>
          <w:tcPr>
            <w:tcW w:w="1060" w:type="dxa"/>
            <w:vAlign w:val="bottom"/>
            <w:vMerge w:val="restart"/>
          </w:tcPr>
          <w:p>
            <w:pPr>
              <w:ind w:left="780"/>
              <w:spacing w:after="0"/>
              <w:rPr>
                <w:sz w:val="20"/>
                <w:szCs w:val="20"/>
                <w:color w:val="auto"/>
              </w:rPr>
            </w:pPr>
            <w:r>
              <w:rPr>
                <w:rFonts w:ascii="Arial" w:cs="Arial" w:eastAsia="Arial" w:hAnsi="Arial"/>
                <w:sz w:val="20"/>
                <w:szCs w:val="20"/>
                <w:color w:val="auto"/>
              </w:rPr>
              <w:t>—</w:t>
            </w: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2,043</w:t>
            </w:r>
          </w:p>
        </w:tc>
        <w:tc>
          <w:tcPr>
            <w:tcW w:w="0" w:type="dxa"/>
            <w:vAlign w:val="bottom"/>
          </w:tcPr>
          <w:p>
            <w:pPr>
              <w:spacing w:after="0"/>
              <w:rPr>
                <w:sz w:val="1"/>
                <w:szCs w:val="1"/>
                <w:color w:val="auto"/>
              </w:rPr>
            </w:pPr>
          </w:p>
        </w:tc>
      </w:tr>
      <w:tr>
        <w:trPr>
          <w:trHeight w:val="297"/>
        </w:trPr>
        <w:tc>
          <w:tcPr>
            <w:tcW w:w="3540" w:type="dxa"/>
            <w:vAlign w:val="bottom"/>
          </w:tcPr>
          <w:p>
            <w:pPr>
              <w:ind w:left="120"/>
              <w:spacing w:after="0"/>
              <w:rPr>
                <w:sz w:val="20"/>
                <w:szCs w:val="20"/>
                <w:color w:val="auto"/>
              </w:rPr>
            </w:pPr>
            <w:r>
              <w:rPr>
                <w:rFonts w:ascii="Arial" w:cs="Arial" w:eastAsia="Arial" w:hAnsi="Arial"/>
                <w:sz w:val="20"/>
                <w:szCs w:val="20"/>
                <w:color w:val="auto"/>
                <w:w w:val="89"/>
              </w:rPr>
              <w:t>count (in thousands)</w:t>
            </w:r>
            <w:r>
              <w:rPr>
                <w:rFonts w:ascii="Arial" w:cs="Arial" w:eastAsia="Arial" w:hAnsi="Arial"/>
                <w:sz w:val="25"/>
                <w:szCs w:val="25"/>
                <w:color w:val="auto"/>
                <w:w w:val="89"/>
                <w:vertAlign w:val="superscript"/>
              </w:rPr>
              <w:t>(b)</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w:t>
            </w:r>
          </w:p>
        </w:tc>
        <w:tc>
          <w:tcPr>
            <w:tcW w:w="1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120"/>
              <w:spacing w:after="0"/>
              <w:rPr>
                <w:sz w:val="20"/>
                <w:szCs w:val="20"/>
                <w:color w:val="auto"/>
              </w:rPr>
            </w:pPr>
            <w:r>
              <w:rPr>
                <w:rFonts w:ascii="Arial" w:cs="Arial" w:eastAsia="Arial" w:hAnsi="Arial"/>
                <w:sz w:val="20"/>
                <w:szCs w:val="20"/>
                <w:color w:val="auto"/>
                <w:w w:val="92"/>
              </w:rPr>
              <w:t xml:space="preserve">GWh sold </w:t>
            </w:r>
            <w:r>
              <w:rPr>
                <w:rFonts w:ascii="Arial" w:cs="Arial" w:eastAsia="Arial" w:hAnsi="Arial"/>
                <w:sz w:val="20"/>
                <w:szCs w:val="20"/>
                <w:color w:val="B4B4B4"/>
                <w:w w:val="92"/>
              </w:rPr>
              <w:t>. . . . . . . . . . . . . . . . . . . . . . . . .</w:t>
            </w:r>
          </w:p>
        </w:tc>
        <w:tc>
          <w:tcPr>
            <w:tcW w:w="1020" w:type="dxa"/>
            <w:vAlign w:val="bottom"/>
          </w:tcPr>
          <w:p>
            <w:pPr>
              <w:jc w:val="right"/>
              <w:spacing w:after="0"/>
              <w:rPr>
                <w:sz w:val="20"/>
                <w:szCs w:val="20"/>
                <w:color w:val="auto"/>
              </w:rPr>
            </w:pPr>
            <w:r>
              <w:rPr>
                <w:rFonts w:ascii="Arial" w:cs="Arial" w:eastAsia="Arial" w:hAnsi="Arial"/>
                <w:sz w:val="20"/>
                <w:szCs w:val="20"/>
                <w:color w:val="auto"/>
              </w:rPr>
              <w:t>30,776</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5,396</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5,903</w:t>
            </w:r>
          </w:p>
        </w:tc>
        <w:tc>
          <w:tcPr>
            <w:tcW w:w="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060" w:type="dxa"/>
            <w:vAlign w:val="bottom"/>
          </w:tcPr>
          <w:p>
            <w:pPr>
              <w:ind w:left="780"/>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20"/>
                <w:szCs w:val="20"/>
                <w:color w:val="auto"/>
              </w:rPr>
              <w:t>42,075</w:t>
            </w:r>
          </w:p>
        </w:tc>
        <w:tc>
          <w:tcPr>
            <w:tcW w:w="0" w:type="dxa"/>
            <w:vAlign w:val="bottom"/>
          </w:tcPr>
          <w:p>
            <w:pPr>
              <w:spacing w:after="0"/>
              <w:rPr>
                <w:sz w:val="1"/>
                <w:szCs w:val="1"/>
                <w:color w:val="auto"/>
              </w:rPr>
            </w:pPr>
          </w:p>
        </w:tc>
      </w:tr>
      <w:tr>
        <w:trPr>
          <w:trHeight w:val="357"/>
        </w:trPr>
        <w:tc>
          <w:tcPr>
            <w:tcW w:w="3540" w:type="dxa"/>
            <w:vAlign w:val="bottom"/>
          </w:tcPr>
          <w:p>
            <w:pPr>
              <w:ind w:left="120"/>
              <w:spacing w:after="0"/>
              <w:rPr>
                <w:sz w:val="20"/>
                <w:szCs w:val="20"/>
                <w:color w:val="auto"/>
              </w:rPr>
            </w:pPr>
            <w:r>
              <w:rPr>
                <w:rFonts w:ascii="Arial" w:cs="Arial" w:eastAsia="Arial" w:hAnsi="Arial"/>
                <w:sz w:val="20"/>
                <w:szCs w:val="20"/>
                <w:color w:val="auto"/>
                <w:w w:val="90"/>
              </w:rPr>
              <w:t>GWh generated</w:t>
            </w:r>
            <w:r>
              <w:rPr>
                <w:rFonts w:ascii="Arial" w:cs="Arial" w:eastAsia="Arial" w:hAnsi="Arial"/>
                <w:sz w:val="25"/>
                <w:szCs w:val="25"/>
                <w:color w:val="auto"/>
                <w:w w:val="90"/>
                <w:vertAlign w:val="superscript"/>
              </w:rPr>
              <w:t>(c)</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w:t>
            </w:r>
          </w:p>
        </w:tc>
        <w:tc>
          <w:tcPr>
            <w:tcW w:w="1020" w:type="dxa"/>
            <w:vAlign w:val="bottom"/>
          </w:tcPr>
          <w:p>
            <w:pPr>
              <w:jc w:val="right"/>
              <w:spacing w:after="0"/>
              <w:rPr>
                <w:sz w:val="20"/>
                <w:szCs w:val="20"/>
                <w:color w:val="auto"/>
              </w:rPr>
            </w:pPr>
            <w:r>
              <w:rPr>
                <w:rFonts w:ascii="Arial" w:cs="Arial" w:eastAsia="Arial" w:hAnsi="Arial"/>
                <w:sz w:val="20"/>
                <w:szCs w:val="20"/>
                <w:color w:val="auto"/>
              </w:rPr>
              <w:t>30,776</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2,016</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5,903</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060" w:type="dxa"/>
            <w:vAlign w:val="bottom"/>
          </w:tcPr>
          <w:p>
            <w:pPr>
              <w:ind w:left="780"/>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20"/>
                <w:szCs w:val="20"/>
                <w:color w:val="auto"/>
              </w:rPr>
              <w:t>38,695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-2663825</wp:posOffset>
            </wp:positionV>
            <wp:extent cx="6475095" cy="2646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extLst>
                    </a:blip>
                    <a:srcRect/>
                    <a:stretch>
                      <a:fillRect/>
                    </a:stretch>
                  </pic:blipFill>
                  <pic:spPr bwMode="auto">
                    <a:xfrm>
                      <a:off x="0" y="0"/>
                      <a:ext cx="6475095" cy="2646680"/>
                    </a:xfrm>
                    <a:prstGeom prst="rect">
                      <a:avLst/>
                    </a:prstGeom>
                    <a:noFill/>
                  </pic:spPr>
                </pic:pic>
              </a:graphicData>
            </a:graphic>
          </wp:anchor>
        </w:drawing>
      </w:r>
    </w:p>
    <w:p>
      <w:pPr>
        <w:ind w:left="700" w:hanging="350"/>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Home customer count includes recurring residential customers, services customers and community choice</w:t>
      </w:r>
    </w:p>
    <w:p>
      <w:pPr>
        <w:spacing w:after="0" w:line="50" w:lineRule="exact"/>
        <w:rPr>
          <w:rFonts w:ascii="Arial" w:cs="Arial" w:eastAsia="Arial" w:hAnsi="Arial"/>
          <w:sz w:val="16"/>
          <w:szCs w:val="16"/>
          <w:color w:val="auto"/>
        </w:rPr>
      </w:pPr>
    </w:p>
    <w:p>
      <w:pPr>
        <w:ind w:left="700" w:hanging="350"/>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Vivint Smart Home includes customers that also purchase other NRG products</w:t>
      </w:r>
    </w:p>
    <w:p>
      <w:pPr>
        <w:spacing w:after="0" w:line="68" w:lineRule="exact"/>
        <w:rPr>
          <w:rFonts w:ascii="Arial" w:cs="Arial" w:eastAsia="Arial" w:hAnsi="Arial"/>
          <w:sz w:val="16"/>
          <w:szCs w:val="16"/>
          <w:color w:val="auto"/>
        </w:rPr>
      </w:pPr>
    </w:p>
    <w:p>
      <w:pPr>
        <w:ind w:left="720" w:hanging="370"/>
        <w:spacing w:after="0"/>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owned and leased generation, excludes tolled generation and equity investments</w:t>
      </w:r>
    </w:p>
    <w:p>
      <w:pPr>
        <w:sectPr>
          <w:pgSz w:w="11880" w:h="15480" w:orient="portrait"/>
          <w:cols w:equalWidth="0" w:num="1">
            <w:col w:w="10100"/>
          </w:cols>
          <w:pgMar w:left="920" w:top="575" w:right="860" w:bottom="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54</w:t>
      </w:r>
    </w:p>
    <w:p>
      <w:pPr>
        <w:sectPr>
          <w:pgSz w:w="11880" w:h="15480" w:orient="portrait"/>
          <w:cols w:equalWidth="0" w:num="1">
            <w:col w:w="10100"/>
          </w:cols>
          <w:pgMar w:left="920" w:top="575" w:right="860" w:bottom="0" w:gutter="0" w:footer="0" w:header="0"/>
          <w:type w:val="continuous"/>
        </w:sectPr>
      </w:pPr>
    </w:p>
    <w:bookmarkStart w:id="56" w:name="page57"/>
    <w:bookmarkEnd w:id="56"/>
    <w:p>
      <w:pPr>
        <w:ind w:left="720"/>
        <w:spacing w:after="0"/>
        <w:rPr>
          <w:sz w:val="20"/>
          <w:szCs w:val="20"/>
          <w:color w:val="auto"/>
        </w:rPr>
      </w:pPr>
      <w:r>
        <w:rPr>
          <w:rFonts w:ascii="Arial" w:cs="Arial" w:eastAsia="Arial" w:hAnsi="Arial"/>
          <w:sz w:val="20"/>
          <w:szCs w:val="20"/>
          <w:color w:val="auto"/>
        </w:rPr>
        <w:t>The following table represents the weather metrics for 2024 and 2023:</w:t>
      </w:r>
    </w:p>
    <w:p>
      <w:pPr>
        <w:spacing w:after="0" w:line="7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4"/>
          </w:tcPr>
          <w:p>
            <w:pPr>
              <w:jc w:val="right"/>
              <w:ind w:right="421"/>
              <w:spacing w:after="0"/>
              <w:rPr>
                <w:sz w:val="20"/>
                <w:szCs w:val="20"/>
                <w:color w:val="auto"/>
              </w:rPr>
            </w:pPr>
            <w:r>
              <w:rPr>
                <w:rFonts w:ascii="Arial" w:cs="Arial" w:eastAsia="Arial" w:hAnsi="Arial"/>
                <w:sz w:val="16"/>
                <w:szCs w:val="16"/>
                <w:b w:val="1"/>
                <w:bCs w:val="1"/>
                <w:color w:val="auto"/>
                <w:w w:val="90"/>
              </w:rPr>
              <w:t>Year ended</w:t>
            </w:r>
          </w:p>
        </w:tc>
        <w:tc>
          <w:tcPr>
            <w:tcW w:w="80" w:type="dxa"/>
            <w:vAlign w:val="bottom"/>
          </w:tcPr>
          <w:p>
            <w:pPr>
              <w:spacing w:after="0"/>
              <w:rPr>
                <w:sz w:val="16"/>
                <w:szCs w:val="16"/>
                <w:color w:val="auto"/>
              </w:rPr>
            </w:pPr>
          </w:p>
        </w:tc>
        <w:tc>
          <w:tcPr>
            <w:tcW w:w="1820" w:type="dxa"/>
            <w:vAlign w:val="bottom"/>
            <w:gridSpan w:val="6"/>
          </w:tcPr>
          <w:p>
            <w:pPr>
              <w:jc w:val="right"/>
              <w:ind w:right="301"/>
              <w:spacing w:after="0"/>
              <w:rPr>
                <w:sz w:val="20"/>
                <w:szCs w:val="20"/>
                <w:color w:val="auto"/>
              </w:rPr>
            </w:pPr>
            <w:r>
              <w:rPr>
                <w:rFonts w:ascii="Arial" w:cs="Arial" w:eastAsia="Arial" w:hAnsi="Arial"/>
                <w:sz w:val="16"/>
                <w:szCs w:val="16"/>
                <w:b w:val="1"/>
                <w:bCs w:val="1"/>
                <w:color w:val="auto"/>
              </w:rPr>
              <w:t>Quarter ended</w:t>
            </w:r>
          </w:p>
        </w:tc>
        <w:tc>
          <w:tcPr>
            <w:tcW w:w="80" w:type="dxa"/>
            <w:vAlign w:val="bottom"/>
          </w:tcPr>
          <w:p>
            <w:pPr>
              <w:spacing w:after="0"/>
              <w:rPr>
                <w:sz w:val="16"/>
                <w:szCs w:val="16"/>
                <w:color w:val="auto"/>
              </w:rPr>
            </w:pPr>
          </w:p>
        </w:tc>
        <w:tc>
          <w:tcPr>
            <w:tcW w:w="1820" w:type="dxa"/>
            <w:vAlign w:val="bottom"/>
            <w:gridSpan w:val="5"/>
          </w:tcPr>
          <w:p>
            <w:pPr>
              <w:jc w:val="right"/>
              <w:ind w:right="301"/>
              <w:spacing w:after="0"/>
              <w:rPr>
                <w:sz w:val="20"/>
                <w:szCs w:val="20"/>
                <w:color w:val="auto"/>
              </w:rPr>
            </w:pPr>
            <w:r>
              <w:rPr>
                <w:rFonts w:ascii="Arial" w:cs="Arial" w:eastAsia="Arial" w:hAnsi="Arial"/>
                <w:sz w:val="16"/>
                <w:szCs w:val="16"/>
                <w:b w:val="1"/>
                <w:bCs w:val="1"/>
                <w:color w:val="auto"/>
              </w:rPr>
              <w:t>Quarter ended</w:t>
            </w:r>
          </w:p>
        </w:tc>
        <w:tc>
          <w:tcPr>
            <w:tcW w:w="80" w:type="dxa"/>
            <w:vAlign w:val="bottom"/>
          </w:tcPr>
          <w:p>
            <w:pPr>
              <w:spacing w:after="0"/>
              <w:rPr>
                <w:sz w:val="16"/>
                <w:szCs w:val="16"/>
                <w:color w:val="auto"/>
              </w:rPr>
            </w:pPr>
          </w:p>
        </w:tc>
        <w:tc>
          <w:tcPr>
            <w:tcW w:w="1820" w:type="dxa"/>
            <w:vAlign w:val="bottom"/>
            <w:gridSpan w:val="5"/>
          </w:tcPr>
          <w:p>
            <w:pPr>
              <w:jc w:val="right"/>
              <w:ind w:right="301"/>
              <w:spacing w:after="0"/>
              <w:rPr>
                <w:sz w:val="20"/>
                <w:szCs w:val="20"/>
                <w:color w:val="auto"/>
              </w:rPr>
            </w:pPr>
            <w:r>
              <w:rPr>
                <w:rFonts w:ascii="Arial" w:cs="Arial" w:eastAsia="Arial" w:hAnsi="Arial"/>
                <w:sz w:val="16"/>
                <w:szCs w:val="16"/>
                <w:b w:val="1"/>
                <w:bCs w:val="1"/>
                <w:color w:val="auto"/>
              </w:rPr>
              <w:t>Quarter ended</w:t>
            </w:r>
          </w:p>
        </w:tc>
        <w:tc>
          <w:tcPr>
            <w:tcW w:w="80" w:type="dxa"/>
            <w:vAlign w:val="bottom"/>
          </w:tcPr>
          <w:p>
            <w:pPr>
              <w:spacing w:after="0"/>
              <w:rPr>
                <w:sz w:val="16"/>
                <w:szCs w:val="16"/>
                <w:color w:val="auto"/>
              </w:rPr>
            </w:pPr>
          </w:p>
        </w:tc>
        <w:tc>
          <w:tcPr>
            <w:tcW w:w="1820" w:type="dxa"/>
            <w:vAlign w:val="bottom"/>
            <w:gridSpan w:val="5"/>
          </w:tcPr>
          <w:p>
            <w:pPr>
              <w:jc w:val="right"/>
              <w:ind w:right="301"/>
              <w:spacing w:after="0"/>
              <w:rPr>
                <w:sz w:val="20"/>
                <w:szCs w:val="20"/>
                <w:color w:val="auto"/>
              </w:rPr>
            </w:pPr>
            <w:r>
              <w:rPr>
                <w:rFonts w:ascii="Arial" w:cs="Arial" w:eastAsia="Arial" w:hAnsi="Arial"/>
                <w:sz w:val="16"/>
                <w:szCs w:val="16"/>
                <w:b w:val="1"/>
                <w:bCs w:val="1"/>
                <w:color w:val="auto"/>
              </w:rPr>
              <w:t>Quarter ended</w:t>
            </w: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5"/>
          </w:tcPr>
          <w:p>
            <w:pPr>
              <w:jc w:val="right"/>
              <w:ind w:right="341"/>
              <w:spacing w:after="0"/>
              <w:rPr>
                <w:sz w:val="20"/>
                <w:szCs w:val="20"/>
                <w:color w:val="auto"/>
              </w:rPr>
            </w:pPr>
            <w:r>
              <w:rPr>
                <w:rFonts w:ascii="Arial" w:cs="Arial" w:eastAsia="Arial" w:hAnsi="Arial"/>
                <w:sz w:val="16"/>
                <w:szCs w:val="16"/>
                <w:b w:val="1"/>
                <w:bCs w:val="1"/>
                <w:color w:val="auto"/>
                <w:w w:val="88"/>
              </w:rPr>
              <w:t>December 31,</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5"/>
          </w:tcPr>
          <w:p>
            <w:pPr>
              <w:jc w:val="right"/>
              <w:ind w:right="341"/>
              <w:spacing w:after="0"/>
              <w:rPr>
                <w:sz w:val="20"/>
                <w:szCs w:val="20"/>
                <w:color w:val="auto"/>
              </w:rPr>
            </w:pPr>
            <w:r>
              <w:rPr>
                <w:rFonts w:ascii="Arial" w:cs="Arial" w:eastAsia="Arial" w:hAnsi="Arial"/>
                <w:sz w:val="16"/>
                <w:szCs w:val="16"/>
                <w:b w:val="1"/>
                <w:bCs w:val="1"/>
                <w:color w:val="auto"/>
                <w:w w:val="88"/>
              </w:rPr>
              <w:t>December 31,</w:t>
            </w:r>
          </w:p>
        </w:tc>
        <w:tc>
          <w:tcPr>
            <w:tcW w:w="80" w:type="dxa"/>
            <w:vAlign w:val="bottom"/>
          </w:tcPr>
          <w:p>
            <w:pPr>
              <w:spacing w:after="0"/>
              <w:rPr>
                <w:sz w:val="18"/>
                <w:szCs w:val="18"/>
                <w:color w:val="auto"/>
              </w:rPr>
            </w:pPr>
          </w:p>
        </w:tc>
        <w:tc>
          <w:tcPr>
            <w:tcW w:w="1820" w:type="dxa"/>
            <w:vAlign w:val="bottom"/>
            <w:tcBorders>
              <w:bottom w:val="single" w:sz="8" w:color="auto"/>
            </w:tcBorders>
            <w:gridSpan w:val="5"/>
          </w:tcPr>
          <w:p>
            <w:pPr>
              <w:jc w:val="right"/>
              <w:ind w:right="321"/>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6"/>
                <w:szCs w:val="16"/>
                <w:b w:val="1"/>
                <w:bCs w:val="1"/>
                <w:color w:val="auto"/>
                <w:w w:val="96"/>
              </w:rPr>
              <w:t>June 30,</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6"/>
                <w:szCs w:val="16"/>
                <w:b w:val="1"/>
                <w:bCs w:val="1"/>
                <w:color w:val="auto"/>
                <w:w w:val="92"/>
              </w:rPr>
              <w:t>March 31,</w:t>
            </w:r>
          </w:p>
        </w:tc>
        <w:tc>
          <w:tcPr>
            <w:tcW w:w="0" w:type="dxa"/>
            <w:vAlign w:val="bottom"/>
          </w:tcPr>
          <w:p>
            <w:pPr>
              <w:spacing w:after="0"/>
              <w:rPr>
                <w:sz w:val="1"/>
                <w:szCs w:val="1"/>
                <w:color w:val="auto"/>
              </w:rPr>
            </w:pPr>
          </w:p>
        </w:tc>
      </w:tr>
      <w:tr>
        <w:trPr>
          <w:trHeight w:val="337"/>
        </w:trPr>
        <w:tc>
          <w:tcPr>
            <w:tcW w:w="640" w:type="dxa"/>
            <w:vAlign w:val="bottom"/>
            <w:vMerge w:val="restart"/>
          </w:tcPr>
          <w:p>
            <w:pPr>
              <w:spacing w:after="0"/>
              <w:rPr>
                <w:sz w:val="20"/>
                <w:szCs w:val="20"/>
                <w:color w:val="auto"/>
              </w:rPr>
            </w:pPr>
            <w:r>
              <w:rPr>
                <w:rFonts w:ascii="Arial" w:cs="Arial" w:eastAsia="Arial" w:hAnsi="Arial"/>
                <w:sz w:val="16"/>
                <w:szCs w:val="16"/>
                <w:b w:val="1"/>
                <w:bCs w:val="1"/>
                <w:color w:val="auto"/>
                <w:w w:val="98"/>
              </w:rPr>
              <w:t>Weather</w:t>
            </w:r>
          </w:p>
        </w:tc>
        <w:tc>
          <w:tcPr>
            <w:tcW w:w="4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Texas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East</w:t>
            </w:r>
          </w:p>
        </w:tc>
        <w:tc>
          <w:tcPr>
            <w:tcW w:w="60" w:type="dxa"/>
            <w:vAlign w:val="bottom"/>
          </w:tcPr>
          <w:p>
            <w:pPr>
              <w:spacing w:after="0"/>
              <w:rPr>
                <w:sz w:val="24"/>
                <w:szCs w:val="24"/>
                <w:color w:val="auto"/>
              </w:rPr>
            </w:pPr>
          </w:p>
        </w:tc>
        <w:tc>
          <w:tcPr>
            <w:tcW w:w="700" w:type="dxa"/>
            <w:vAlign w:val="bottom"/>
          </w:tcPr>
          <w:p>
            <w:pPr>
              <w:jc w:val="right"/>
              <w:ind w:right="61"/>
              <w:spacing w:after="0"/>
              <w:rPr>
                <w:sz w:val="20"/>
                <w:szCs w:val="20"/>
                <w:color w:val="auto"/>
              </w:rPr>
            </w:pPr>
            <w:r>
              <w:rPr>
                <w:rFonts w:ascii="Arial" w:cs="Arial" w:eastAsia="Arial" w:hAnsi="Arial"/>
                <w:sz w:val="16"/>
                <w:szCs w:val="16"/>
                <w:b w:val="1"/>
                <w:bCs w:val="1"/>
                <w:color w:val="auto"/>
              </w:rPr>
              <w:t>West/</w:t>
            </w:r>
          </w:p>
        </w:tc>
        <w:tc>
          <w:tcPr>
            <w:tcW w:w="8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Texas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East</w:t>
            </w:r>
          </w:p>
        </w:tc>
        <w:tc>
          <w:tcPr>
            <w:tcW w:w="60" w:type="dxa"/>
            <w:vAlign w:val="bottom"/>
          </w:tcPr>
          <w:p>
            <w:pPr>
              <w:spacing w:after="0"/>
              <w:rPr>
                <w:sz w:val="24"/>
                <w:szCs w:val="24"/>
                <w:color w:val="auto"/>
              </w:rPr>
            </w:pPr>
          </w:p>
        </w:tc>
        <w:tc>
          <w:tcPr>
            <w:tcW w:w="700" w:type="dxa"/>
            <w:vAlign w:val="bottom"/>
          </w:tcPr>
          <w:p>
            <w:pPr>
              <w:jc w:val="right"/>
              <w:ind w:right="61"/>
              <w:spacing w:after="0"/>
              <w:rPr>
                <w:sz w:val="20"/>
                <w:szCs w:val="20"/>
                <w:color w:val="auto"/>
              </w:rPr>
            </w:pPr>
            <w:r>
              <w:rPr>
                <w:rFonts w:ascii="Arial" w:cs="Arial" w:eastAsia="Arial" w:hAnsi="Arial"/>
                <w:sz w:val="16"/>
                <w:szCs w:val="16"/>
                <w:b w:val="1"/>
                <w:bCs w:val="1"/>
                <w:color w:val="auto"/>
              </w:rPr>
              <w:t>West/</w:t>
            </w:r>
          </w:p>
        </w:tc>
        <w:tc>
          <w:tcPr>
            <w:tcW w:w="8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Texas</w:t>
            </w:r>
          </w:p>
        </w:tc>
        <w:tc>
          <w:tcPr>
            <w:tcW w:w="60" w:type="dxa"/>
            <w:vAlign w:val="bottom"/>
          </w:tcPr>
          <w:p>
            <w:pPr>
              <w:spacing w:after="0"/>
              <w:rPr>
                <w:sz w:val="24"/>
                <w:szCs w:val="24"/>
                <w:color w:val="auto"/>
              </w:rPr>
            </w:pPr>
          </w:p>
        </w:tc>
        <w:tc>
          <w:tcPr>
            <w:tcW w:w="50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East</w:t>
            </w:r>
          </w:p>
        </w:tc>
        <w:tc>
          <w:tcPr>
            <w:tcW w:w="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3"/>
              </w:rPr>
              <w:t>West/</w:t>
            </w:r>
          </w:p>
        </w:tc>
        <w:tc>
          <w:tcPr>
            <w:tcW w:w="8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Texas</w:t>
            </w:r>
          </w:p>
        </w:tc>
        <w:tc>
          <w:tcPr>
            <w:tcW w:w="60" w:type="dxa"/>
            <w:vAlign w:val="bottom"/>
          </w:tcPr>
          <w:p>
            <w:pPr>
              <w:spacing w:after="0"/>
              <w:rPr>
                <w:sz w:val="24"/>
                <w:szCs w:val="24"/>
                <w:color w:val="auto"/>
              </w:rPr>
            </w:pPr>
          </w:p>
        </w:tc>
        <w:tc>
          <w:tcPr>
            <w:tcW w:w="50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East</w:t>
            </w:r>
          </w:p>
        </w:tc>
        <w:tc>
          <w:tcPr>
            <w:tcW w:w="60" w:type="dxa"/>
            <w:vAlign w:val="bottom"/>
          </w:tcPr>
          <w:p>
            <w:pPr>
              <w:spacing w:after="0"/>
              <w:rPr>
                <w:sz w:val="24"/>
                <w:szCs w:val="24"/>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b w:val="1"/>
                <w:bCs w:val="1"/>
                <w:color w:val="auto"/>
              </w:rPr>
              <w:t>West/</w:t>
            </w:r>
          </w:p>
        </w:tc>
        <w:tc>
          <w:tcPr>
            <w:tcW w:w="8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Texas</w:t>
            </w:r>
          </w:p>
        </w:tc>
        <w:tc>
          <w:tcPr>
            <w:tcW w:w="60" w:type="dxa"/>
            <w:vAlign w:val="bottom"/>
          </w:tcPr>
          <w:p>
            <w:pPr>
              <w:spacing w:after="0"/>
              <w:rPr>
                <w:sz w:val="24"/>
                <w:szCs w:val="24"/>
                <w:color w:val="auto"/>
              </w:rPr>
            </w:pPr>
          </w:p>
        </w:tc>
        <w:tc>
          <w:tcPr>
            <w:tcW w:w="5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East</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3"/>
              </w:rPr>
              <w:t>West/</w:t>
            </w:r>
          </w:p>
        </w:tc>
        <w:tc>
          <w:tcPr>
            <w:tcW w:w="0" w:type="dxa"/>
            <w:vAlign w:val="bottom"/>
          </w:tcPr>
          <w:p>
            <w:pPr>
              <w:spacing w:after="0"/>
              <w:rPr>
                <w:sz w:val="1"/>
                <w:szCs w:val="1"/>
                <w:color w:val="auto"/>
              </w:rPr>
            </w:pPr>
          </w:p>
        </w:tc>
      </w:tr>
      <w:tr>
        <w:trPr>
          <w:trHeight w:val="158"/>
        </w:trPr>
        <w:tc>
          <w:tcPr>
            <w:tcW w:w="64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w w:val="94"/>
              </w:rPr>
              <w:t>Services</w:t>
            </w:r>
          </w:p>
        </w:tc>
        <w:tc>
          <w:tcPr>
            <w:tcW w:w="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w w:val="94"/>
              </w:rPr>
              <w:t>Services</w:t>
            </w: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5"/>
              </w:rPr>
              <w:t>Services</w:t>
            </w: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6"/>
                <w:szCs w:val="16"/>
                <w:b w:val="1"/>
                <w:bCs w:val="1"/>
                <w:color w:val="auto"/>
                <w:w w:val="91"/>
              </w:rPr>
              <w:t>Services</w:t>
            </w: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5"/>
              </w:rPr>
              <w:t>Services</w:t>
            </w:r>
          </w:p>
        </w:tc>
        <w:tc>
          <w:tcPr>
            <w:tcW w:w="0" w:type="dxa"/>
            <w:vAlign w:val="bottom"/>
          </w:tcPr>
          <w:p>
            <w:pPr>
              <w:spacing w:after="0"/>
              <w:rPr>
                <w:sz w:val="1"/>
                <w:szCs w:val="1"/>
                <w:color w:val="auto"/>
              </w:rPr>
            </w:pPr>
          </w:p>
        </w:tc>
      </w:tr>
      <w:tr>
        <w:trPr>
          <w:trHeight w:val="212"/>
        </w:trPr>
        <w:tc>
          <w:tcPr>
            <w:tcW w:w="640" w:type="dxa"/>
            <w:vAlign w:val="bottom"/>
          </w:tcPr>
          <w:p>
            <w:pPr>
              <w:spacing w:after="0"/>
              <w:rPr>
                <w:sz w:val="20"/>
                <w:szCs w:val="20"/>
                <w:color w:val="auto"/>
              </w:rPr>
            </w:pPr>
            <w:r>
              <w:rPr>
                <w:rFonts w:ascii="Arial" w:cs="Arial" w:eastAsia="Arial" w:hAnsi="Arial"/>
                <w:sz w:val="16"/>
                <w:szCs w:val="16"/>
                <w:b w:val="1"/>
                <w:bCs w:val="1"/>
                <w:color w:val="auto"/>
              </w:rPr>
              <w:t>Metrics</w:t>
            </w: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12" w:lineRule="exact"/>
              <w:rPr>
                <w:sz w:val="20"/>
                <w:szCs w:val="20"/>
                <w:color w:val="auto"/>
              </w:rPr>
            </w:pPr>
            <w:r>
              <w:rPr>
                <w:rFonts w:ascii="Arial" w:cs="Arial" w:eastAsia="Arial" w:hAnsi="Arial"/>
                <w:sz w:val="16"/>
                <w:szCs w:val="16"/>
                <w:b w:val="1"/>
                <w:bCs w:val="1"/>
                <w:color w:val="auto"/>
                <w:w w:val="97"/>
              </w:rPr>
              <w:t>/Other</w:t>
            </w:r>
            <w:r>
              <w:rPr>
                <w:rFonts w:ascii="Arial" w:cs="Arial" w:eastAsia="Arial" w:hAnsi="Arial"/>
                <w:sz w:val="20"/>
                <w:szCs w:val="20"/>
                <w:b w:val="1"/>
                <w:bCs w:val="1"/>
                <w:color w:val="auto"/>
                <w:w w:val="97"/>
                <w:vertAlign w:val="superscript"/>
              </w:rPr>
              <w:t>(a)</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12" w:lineRule="exact"/>
              <w:rPr>
                <w:sz w:val="20"/>
                <w:szCs w:val="20"/>
                <w:color w:val="auto"/>
              </w:rPr>
            </w:pPr>
            <w:r>
              <w:rPr>
                <w:rFonts w:ascii="Arial" w:cs="Arial" w:eastAsia="Arial" w:hAnsi="Arial"/>
                <w:sz w:val="16"/>
                <w:szCs w:val="16"/>
                <w:b w:val="1"/>
                <w:bCs w:val="1"/>
                <w:color w:val="auto"/>
                <w:w w:val="97"/>
              </w:rPr>
              <w:t>/Other</w:t>
            </w:r>
            <w:r>
              <w:rPr>
                <w:rFonts w:ascii="Arial" w:cs="Arial" w:eastAsia="Arial" w:hAnsi="Arial"/>
                <w:sz w:val="20"/>
                <w:szCs w:val="20"/>
                <w:b w:val="1"/>
                <w:bCs w:val="1"/>
                <w:color w:val="auto"/>
                <w:w w:val="97"/>
                <w:vertAlign w:val="superscript"/>
              </w:rPr>
              <w:t>(a)</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16"/>
                <w:szCs w:val="16"/>
                <w:b w:val="1"/>
                <w:bCs w:val="1"/>
                <w:color w:val="auto"/>
                <w:w w:val="88"/>
              </w:rPr>
              <w:t>/Other</w:t>
            </w:r>
            <w:r>
              <w:rPr>
                <w:rFonts w:ascii="Arial" w:cs="Arial" w:eastAsia="Arial" w:hAnsi="Arial"/>
                <w:sz w:val="20"/>
                <w:szCs w:val="20"/>
                <w:b w:val="1"/>
                <w:bCs w:val="1"/>
                <w:color w:val="auto"/>
                <w:w w:val="88"/>
                <w:vertAlign w:val="superscript"/>
              </w:rPr>
              <w:t>(a)</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bottom w:val="single" w:sz="8" w:color="auto"/>
            </w:tcBorders>
          </w:tcPr>
          <w:p>
            <w:pPr>
              <w:jc w:val="right"/>
              <w:spacing w:after="0" w:line="212" w:lineRule="exact"/>
              <w:rPr>
                <w:sz w:val="20"/>
                <w:szCs w:val="20"/>
                <w:color w:val="auto"/>
              </w:rPr>
            </w:pPr>
            <w:r>
              <w:rPr>
                <w:rFonts w:ascii="Arial" w:cs="Arial" w:eastAsia="Arial" w:hAnsi="Arial"/>
                <w:sz w:val="16"/>
                <w:szCs w:val="16"/>
                <w:b w:val="1"/>
                <w:bCs w:val="1"/>
                <w:color w:val="auto"/>
                <w:w w:val="94"/>
              </w:rPr>
              <w:t>/Other</w:t>
            </w:r>
            <w:r>
              <w:rPr>
                <w:rFonts w:ascii="Arial" w:cs="Arial" w:eastAsia="Arial" w:hAnsi="Arial"/>
                <w:sz w:val="20"/>
                <w:szCs w:val="20"/>
                <w:b w:val="1"/>
                <w:bCs w:val="1"/>
                <w:color w:val="auto"/>
                <w:w w:val="94"/>
                <w:vertAlign w:val="superscript"/>
              </w:rPr>
              <w:t>(a)</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16"/>
                <w:szCs w:val="16"/>
                <w:b w:val="1"/>
                <w:bCs w:val="1"/>
                <w:color w:val="auto"/>
                <w:w w:val="88"/>
              </w:rPr>
              <w:t>/Other</w:t>
            </w:r>
            <w:r>
              <w:rPr>
                <w:rFonts w:ascii="Arial" w:cs="Arial" w:eastAsia="Arial" w:hAnsi="Arial"/>
                <w:sz w:val="20"/>
                <w:szCs w:val="20"/>
                <w:b w:val="1"/>
                <w:bCs w:val="1"/>
                <w:color w:val="auto"/>
                <w:w w:val="88"/>
                <w:vertAlign w:val="superscript"/>
              </w:rPr>
              <w:t>(a)</w:t>
            </w:r>
          </w:p>
        </w:tc>
        <w:tc>
          <w:tcPr>
            <w:tcW w:w="0" w:type="dxa"/>
            <w:vAlign w:val="bottom"/>
          </w:tcPr>
          <w:p>
            <w:pPr>
              <w:spacing w:after="0"/>
              <w:rPr>
                <w:sz w:val="1"/>
                <w:szCs w:val="1"/>
                <w:color w:val="auto"/>
              </w:rPr>
            </w:pPr>
          </w:p>
        </w:tc>
      </w:tr>
      <w:tr>
        <w:trPr>
          <w:trHeight w:val="273"/>
        </w:trPr>
        <w:tc>
          <w:tcPr>
            <w:tcW w:w="640" w:type="dxa"/>
            <w:vAlign w:val="bottom"/>
          </w:tcPr>
          <w:p>
            <w:pPr>
              <w:spacing w:after="0"/>
              <w:rPr>
                <w:sz w:val="20"/>
                <w:szCs w:val="20"/>
                <w:color w:val="auto"/>
              </w:rPr>
            </w:pPr>
            <w:r>
              <w:rPr>
                <w:rFonts w:ascii="Arial" w:cs="Arial" w:eastAsia="Arial" w:hAnsi="Arial"/>
                <w:sz w:val="18"/>
                <w:szCs w:val="18"/>
                <w:b w:val="1"/>
                <w:bCs w:val="1"/>
                <w:color w:val="auto"/>
              </w:rPr>
              <w:t>2024</w:t>
            </w: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6"/>
        </w:trPr>
        <w:tc>
          <w:tcPr>
            <w:tcW w:w="640" w:type="dxa"/>
            <w:vAlign w:val="bottom"/>
          </w:tcPr>
          <w:p>
            <w:pPr>
              <w:spacing w:after="0"/>
              <w:rPr>
                <w:sz w:val="20"/>
                <w:szCs w:val="20"/>
                <w:color w:val="auto"/>
              </w:rPr>
            </w:pPr>
            <w:r>
              <w:rPr>
                <w:rFonts w:ascii="Arial" w:cs="Arial" w:eastAsia="Arial" w:hAnsi="Arial"/>
                <w:sz w:val="18"/>
                <w:szCs w:val="18"/>
                <w:color w:val="auto"/>
                <w:w w:val="92"/>
              </w:rPr>
              <w:t>CDDs</w:t>
            </w:r>
            <w:r>
              <w:rPr>
                <w:rFonts w:ascii="Arial" w:cs="Arial" w:eastAsia="Arial" w:hAnsi="Arial"/>
                <w:sz w:val="23"/>
                <w:szCs w:val="23"/>
                <w:color w:val="auto"/>
                <w:w w:val="92"/>
                <w:vertAlign w:val="superscript"/>
              </w:rPr>
              <w:t>(b)</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3,464</w:t>
            </w:r>
          </w:p>
        </w:tc>
        <w:tc>
          <w:tcPr>
            <w:tcW w:w="60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1,360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2,132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1,714</w:t>
            </w: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814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1,194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1,173</w:t>
            </w: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431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638</w:t>
            </w:r>
          </w:p>
        </w:tc>
        <w:tc>
          <w:tcPr>
            <w:tcW w:w="600" w:type="dxa"/>
            <w:vAlign w:val="bottom"/>
            <w:gridSpan w:val="2"/>
          </w:tcPr>
          <w:p>
            <w:pPr>
              <w:jc w:val="right"/>
              <w:ind w:right="1"/>
              <w:spacing w:after="0"/>
              <w:rPr>
                <w:sz w:val="20"/>
                <w:szCs w:val="20"/>
                <w:color w:val="auto"/>
              </w:rPr>
            </w:pPr>
            <w:r>
              <w:rPr>
                <w:rFonts w:ascii="Arial" w:cs="Arial" w:eastAsia="Arial" w:hAnsi="Arial"/>
                <w:sz w:val="18"/>
                <w:szCs w:val="18"/>
                <w:color w:val="auto"/>
              </w:rPr>
              <w:t>116</w:t>
            </w: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32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94"/>
        </w:trPr>
        <w:tc>
          <w:tcPr>
            <w:tcW w:w="640" w:type="dxa"/>
            <w:vAlign w:val="bottom"/>
          </w:tcPr>
          <w:p>
            <w:pPr>
              <w:spacing w:after="0"/>
              <w:rPr>
                <w:sz w:val="20"/>
                <w:szCs w:val="20"/>
                <w:color w:val="auto"/>
              </w:rPr>
            </w:pPr>
            <w:r>
              <w:rPr>
                <w:rFonts w:ascii="Arial" w:cs="Arial" w:eastAsia="Arial" w:hAnsi="Arial"/>
                <w:sz w:val="18"/>
                <w:szCs w:val="18"/>
                <w:color w:val="auto"/>
                <w:w w:val="92"/>
              </w:rPr>
              <w:t>HDDs</w:t>
            </w:r>
            <w:r>
              <w:rPr>
                <w:rFonts w:ascii="Arial" w:cs="Arial" w:eastAsia="Arial" w:hAnsi="Arial"/>
                <w:sz w:val="23"/>
                <w:szCs w:val="23"/>
                <w:color w:val="auto"/>
                <w:w w:val="92"/>
                <w:vertAlign w:val="superscript"/>
              </w:rPr>
              <w:t>(b)</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1,309</w:t>
            </w:r>
          </w:p>
        </w:tc>
        <w:tc>
          <w:tcPr>
            <w:tcW w:w="60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4,236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1,968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60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1,560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28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0" w:type="dxa"/>
            <w:vAlign w:val="bottom"/>
            <w:gridSpan w:val="2"/>
          </w:tcPr>
          <w:p>
            <w:pPr>
              <w:jc w:val="right"/>
              <w:ind w:right="1"/>
              <w:spacing w:after="0"/>
              <w:rPr>
                <w:sz w:val="20"/>
                <w:szCs w:val="20"/>
                <w:color w:val="auto"/>
              </w:rPr>
            </w:pPr>
            <w:r>
              <w:rPr>
                <w:rFonts w:ascii="Arial" w:cs="Arial" w:eastAsia="Arial" w:hAnsi="Arial"/>
                <w:sz w:val="18"/>
                <w:szCs w:val="18"/>
                <w:color w:val="auto"/>
              </w:rPr>
              <w:t>31</w:t>
            </w: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435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600" w:type="dxa"/>
            <w:vAlign w:val="bottom"/>
            <w:gridSpan w:val="2"/>
          </w:tcPr>
          <w:p>
            <w:pPr>
              <w:jc w:val="right"/>
              <w:ind w:right="1"/>
              <w:spacing w:after="0"/>
              <w:rPr>
                <w:sz w:val="20"/>
                <w:szCs w:val="20"/>
                <w:color w:val="auto"/>
              </w:rPr>
            </w:pPr>
            <w:r>
              <w:rPr>
                <w:rFonts w:ascii="Arial" w:cs="Arial" w:eastAsia="Arial" w:hAnsi="Arial"/>
                <w:sz w:val="18"/>
                <w:szCs w:val="18"/>
                <w:color w:val="auto"/>
              </w:rPr>
              <w:t>885</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8"/>
              </w:rPr>
              <w:t>2,213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b w:val="1"/>
                <w:bCs w:val="1"/>
                <w:color w:val="auto"/>
              </w:rPr>
              <w:t>2023</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40" w:type="dxa"/>
            <w:vAlign w:val="bottom"/>
          </w:tcPr>
          <w:p>
            <w:pPr>
              <w:spacing w:after="0"/>
              <w:rPr>
                <w:sz w:val="20"/>
                <w:szCs w:val="20"/>
                <w:color w:val="auto"/>
              </w:rPr>
            </w:pPr>
            <w:r>
              <w:rPr>
                <w:rFonts w:ascii="Arial" w:cs="Arial" w:eastAsia="Arial" w:hAnsi="Arial"/>
                <w:sz w:val="18"/>
                <w:szCs w:val="18"/>
                <w:color w:val="auto"/>
              </w:rPr>
              <w:t>CDDs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3,468</w:t>
            </w:r>
          </w:p>
        </w:tc>
        <w:tc>
          <w:tcPr>
            <w:tcW w:w="60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1,229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2,039</w:t>
            </w: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817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1,291</w:t>
            </w:r>
          </w:p>
        </w:tc>
        <w:tc>
          <w:tcPr>
            <w:tcW w:w="600" w:type="dxa"/>
            <w:vAlign w:val="bottom"/>
            <w:gridSpan w:val="2"/>
          </w:tcPr>
          <w:p>
            <w:pPr>
              <w:jc w:val="right"/>
              <w:ind w:right="1"/>
              <w:spacing w:after="0"/>
              <w:rPr>
                <w:sz w:val="20"/>
                <w:szCs w:val="20"/>
                <w:color w:val="auto"/>
              </w:rPr>
            </w:pPr>
            <w:r>
              <w:rPr>
                <w:rFonts w:ascii="Arial" w:cs="Arial" w:eastAsia="Arial" w:hAnsi="Arial"/>
                <w:sz w:val="18"/>
                <w:szCs w:val="18"/>
                <w:color w:val="auto"/>
              </w:rPr>
              <w:t>978</w:t>
            </w: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273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600" w:type="dxa"/>
            <w:vAlign w:val="bottom"/>
            <w:gridSpan w:val="2"/>
          </w:tcPr>
          <w:p>
            <w:pPr>
              <w:jc w:val="right"/>
              <w:ind w:right="1"/>
              <w:spacing w:after="0"/>
              <w:rPr>
                <w:sz w:val="20"/>
                <w:szCs w:val="20"/>
                <w:color w:val="auto"/>
              </w:rPr>
            </w:pPr>
            <w:r>
              <w:rPr>
                <w:rFonts w:ascii="Arial" w:cs="Arial" w:eastAsia="Arial" w:hAnsi="Arial"/>
                <w:sz w:val="18"/>
                <w:szCs w:val="18"/>
                <w:color w:val="auto"/>
              </w:rPr>
              <w:t>166</w:t>
            </w: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54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0"/>
                <w:szCs w:val="20"/>
                <w:color w:val="auto"/>
              </w:rPr>
            </w:pPr>
            <w:r>
              <w:rPr>
                <w:rFonts w:ascii="Arial" w:cs="Arial" w:eastAsia="Arial" w:hAnsi="Arial"/>
                <w:sz w:val="18"/>
                <w:szCs w:val="18"/>
                <w:color w:val="auto"/>
              </w:rPr>
              <w:t>HDDs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1,469</w:t>
            </w:r>
          </w:p>
        </w:tc>
        <w:tc>
          <w:tcPr>
            <w:tcW w:w="60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4,139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2,105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613</w:t>
            </w:r>
          </w:p>
        </w:tc>
        <w:tc>
          <w:tcPr>
            <w:tcW w:w="60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1,520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688</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48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0" w:type="dxa"/>
            <w:vAlign w:val="bottom"/>
            <w:gridSpan w:val="2"/>
          </w:tcPr>
          <w:p>
            <w:pPr>
              <w:jc w:val="right"/>
              <w:ind w:right="1"/>
              <w:spacing w:after="0"/>
              <w:rPr>
                <w:sz w:val="20"/>
                <w:szCs w:val="20"/>
                <w:color w:val="auto"/>
              </w:rPr>
            </w:pPr>
            <w:r>
              <w:rPr>
                <w:rFonts w:ascii="Arial" w:cs="Arial" w:eastAsia="Arial" w:hAnsi="Arial"/>
                <w:sz w:val="18"/>
                <w:szCs w:val="18"/>
                <w:color w:val="auto"/>
              </w:rPr>
              <w:t>57</w:t>
            </w: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479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600" w:type="dxa"/>
            <w:vAlign w:val="bottom"/>
            <w:gridSpan w:val="2"/>
          </w:tcPr>
          <w:p>
            <w:pPr>
              <w:jc w:val="right"/>
              <w:ind w:right="1"/>
              <w:spacing w:after="0"/>
              <w:rPr>
                <w:sz w:val="20"/>
                <w:szCs w:val="20"/>
                <w:color w:val="auto"/>
              </w:rPr>
            </w:pPr>
            <w:r>
              <w:rPr>
                <w:rFonts w:ascii="Arial" w:cs="Arial" w:eastAsia="Arial" w:hAnsi="Arial"/>
                <w:sz w:val="18"/>
                <w:szCs w:val="18"/>
                <w:color w:val="auto"/>
              </w:rPr>
              <w:t>799</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8"/>
              </w:rPr>
              <w:t>2,092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20"/>
                <w:szCs w:val="20"/>
                <w:color w:val="auto"/>
              </w:rPr>
            </w:pPr>
            <w:r>
              <w:rPr>
                <w:rFonts w:ascii="Arial" w:cs="Arial" w:eastAsia="Arial" w:hAnsi="Arial"/>
                <w:sz w:val="18"/>
                <w:szCs w:val="18"/>
                <w:b w:val="1"/>
                <w:bCs w:val="1"/>
                <w:color w:val="auto"/>
                <w:w w:val="98"/>
              </w:rPr>
              <w:t>10-year</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b w:val="1"/>
                <w:bCs w:val="1"/>
                <w:color w:val="auto"/>
                <w:w w:val="91"/>
              </w:rPr>
              <w:t>average</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640" w:type="dxa"/>
            <w:vAlign w:val="bottom"/>
          </w:tcPr>
          <w:p>
            <w:pPr>
              <w:spacing w:after="0"/>
              <w:rPr>
                <w:sz w:val="20"/>
                <w:szCs w:val="20"/>
                <w:color w:val="auto"/>
              </w:rPr>
            </w:pPr>
            <w:r>
              <w:rPr>
                <w:rFonts w:ascii="Arial" w:cs="Arial" w:eastAsia="Arial" w:hAnsi="Arial"/>
                <w:sz w:val="18"/>
                <w:szCs w:val="18"/>
                <w:color w:val="auto"/>
              </w:rPr>
              <w:t>CDDs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3,109</w:t>
            </w:r>
          </w:p>
        </w:tc>
        <w:tc>
          <w:tcPr>
            <w:tcW w:w="60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1,315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1,966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1,710</w:t>
            </w: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833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1,192</w:t>
            </w:r>
          </w:p>
        </w:tc>
        <w:tc>
          <w:tcPr>
            <w:tcW w:w="600" w:type="dxa"/>
            <w:vAlign w:val="bottom"/>
            <w:gridSpan w:val="2"/>
          </w:tcPr>
          <w:p>
            <w:pPr>
              <w:jc w:val="right"/>
              <w:ind w:right="1"/>
              <w:spacing w:after="0"/>
              <w:rPr>
                <w:sz w:val="20"/>
                <w:szCs w:val="20"/>
                <w:color w:val="auto"/>
              </w:rPr>
            </w:pPr>
            <w:r>
              <w:rPr>
                <w:rFonts w:ascii="Arial" w:cs="Arial" w:eastAsia="Arial" w:hAnsi="Arial"/>
                <w:sz w:val="18"/>
                <w:szCs w:val="18"/>
                <w:color w:val="auto"/>
              </w:rPr>
              <w:t>989</w:t>
            </w: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350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554</w:t>
            </w:r>
          </w:p>
        </w:tc>
        <w:tc>
          <w:tcPr>
            <w:tcW w:w="600" w:type="dxa"/>
            <w:vAlign w:val="bottom"/>
            <w:gridSpan w:val="2"/>
          </w:tcPr>
          <w:p>
            <w:pPr>
              <w:jc w:val="right"/>
              <w:ind w:right="1"/>
              <w:spacing w:after="0"/>
              <w:rPr>
                <w:sz w:val="20"/>
                <w:szCs w:val="20"/>
                <w:color w:val="auto"/>
              </w:rPr>
            </w:pPr>
            <w:r>
              <w:rPr>
                <w:rFonts w:ascii="Arial" w:cs="Arial" w:eastAsia="Arial" w:hAnsi="Arial"/>
                <w:sz w:val="18"/>
                <w:szCs w:val="18"/>
                <w:color w:val="auto"/>
              </w:rPr>
              <w:t>112</w:t>
            </w: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42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0"/>
                <w:szCs w:val="20"/>
                <w:color w:val="auto"/>
              </w:rPr>
            </w:pPr>
            <w:r>
              <w:rPr>
                <w:rFonts w:ascii="Arial" w:cs="Arial" w:eastAsia="Arial" w:hAnsi="Arial"/>
                <w:sz w:val="18"/>
                <w:szCs w:val="18"/>
                <w:color w:val="auto"/>
              </w:rPr>
              <w:t>HDDs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1,676</w:t>
            </w:r>
          </w:p>
        </w:tc>
        <w:tc>
          <w:tcPr>
            <w:tcW w:w="60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4,705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2,058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60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1,616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752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49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00" w:type="dxa"/>
            <w:vAlign w:val="bottom"/>
            <w:gridSpan w:val="2"/>
          </w:tcPr>
          <w:p>
            <w:pPr>
              <w:jc w:val="right"/>
              <w:ind w:right="1"/>
              <w:spacing w:after="0"/>
              <w:rPr>
                <w:sz w:val="20"/>
                <w:szCs w:val="20"/>
                <w:color w:val="auto"/>
              </w:rPr>
            </w:pPr>
            <w:r>
              <w:rPr>
                <w:rFonts w:ascii="Arial" w:cs="Arial" w:eastAsia="Arial" w:hAnsi="Arial"/>
                <w:sz w:val="18"/>
                <w:szCs w:val="18"/>
                <w:color w:val="auto"/>
              </w:rPr>
              <w:t>59</w:t>
            </w: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538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600" w:type="dxa"/>
            <w:vAlign w:val="bottom"/>
            <w:gridSpan w:val="2"/>
          </w:tcPr>
          <w:p>
            <w:pPr>
              <w:jc w:val="right"/>
              <w:ind w:right="1"/>
              <w:spacing w:after="0"/>
              <w:rPr>
                <w:sz w:val="20"/>
                <w:szCs w:val="20"/>
                <w:color w:val="auto"/>
              </w:rPr>
            </w:pPr>
            <w:r>
              <w:rPr>
                <w:rFonts w:ascii="Arial" w:cs="Arial" w:eastAsia="Arial" w:hAnsi="Arial"/>
                <w:sz w:val="18"/>
                <w:szCs w:val="18"/>
                <w:color w:val="auto"/>
              </w:rPr>
              <w:t>978</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8"/>
              </w:rPr>
              <w:t>2,502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-1776095</wp:posOffset>
            </wp:positionV>
            <wp:extent cx="6456680" cy="1798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extLst>
                    </a:blip>
                    <a:srcRect/>
                    <a:stretch>
                      <a:fillRect/>
                    </a:stretch>
                  </pic:blipFill>
                  <pic:spPr bwMode="auto">
                    <a:xfrm>
                      <a:off x="0" y="0"/>
                      <a:ext cx="6456680" cy="1798320"/>
                    </a:xfrm>
                    <a:prstGeom prst="rect">
                      <a:avLst/>
                    </a:prstGeom>
                    <a:noFill/>
                  </pic:spPr>
                </pic:pic>
              </a:graphicData>
            </a:graphic>
          </wp:anchor>
        </w:drawing>
      </w:r>
    </w:p>
    <w:p>
      <w:pPr>
        <w:spacing w:after="0" w:line="54" w:lineRule="exact"/>
        <w:rPr>
          <w:sz w:val="20"/>
          <w:szCs w:val="20"/>
          <w:color w:val="auto"/>
        </w:rPr>
      </w:pPr>
    </w:p>
    <w:p>
      <w:pPr>
        <w:ind w:left="720" w:hanging="362"/>
        <w:spacing w:after="0" w:line="257" w:lineRule="auto"/>
        <w:tabs>
          <w:tab w:leader="none" w:pos="720" w:val="left"/>
        </w:tabs>
        <w:numPr>
          <w:ilvl w:val="0"/>
          <w:numId w:val="29"/>
        </w:numPr>
        <w:rPr>
          <w:rFonts w:ascii="Arial" w:cs="Arial" w:eastAsia="Arial" w:hAnsi="Arial"/>
          <w:sz w:val="16"/>
          <w:szCs w:val="16"/>
          <w:color w:val="auto"/>
        </w:rPr>
      </w:pPr>
      <w:r>
        <w:rPr>
          <w:rFonts w:ascii="Arial" w:cs="Arial" w:eastAsia="Arial" w:hAnsi="Arial"/>
          <w:sz w:val="15"/>
          <w:szCs w:val="15"/>
          <w:color w:val="auto"/>
        </w:rPr>
        <w:t>The West/Services/Other weather metrics are comprised of the average of the CDD and HDD regional results for the West - California and West - South Central regions</w:t>
      </w:r>
    </w:p>
    <w:p>
      <w:pPr>
        <w:jc w:val="both"/>
        <w:ind w:left="720" w:hanging="362"/>
        <w:spacing w:after="0" w:line="325" w:lineRule="auto"/>
        <w:tabs>
          <w:tab w:leader="none" w:pos="720" w:val="left"/>
        </w:tabs>
        <w:numPr>
          <w:ilvl w:val="0"/>
          <w:numId w:val="29"/>
        </w:numPr>
        <w:rPr>
          <w:rFonts w:ascii="Arial" w:cs="Arial" w:eastAsia="Arial" w:hAnsi="Arial"/>
          <w:sz w:val="14"/>
          <w:szCs w:val="14"/>
          <w:color w:val="auto"/>
        </w:rPr>
      </w:pPr>
      <w:r>
        <w:rPr>
          <w:rFonts w:ascii="Arial" w:cs="Arial" w:eastAsia="Arial" w:hAnsi="Arial"/>
          <w:sz w:val="13"/>
          <w:szCs w:val="13"/>
          <w:color w:val="auto"/>
        </w:rPr>
        <w:t>National Oceanic and Atmospheric Administration-Climate Prediction Center - A CDD represents the number of degrees that the mean temperature for a particular day is above 65 degrees Fahrenheit in each region. A HDD represents the number of degrees that the mean temperature for a particular day is below 65 degrees Fahrenheit in each region. The CDDs/HDDs for a period of time are calculated by adding the CDDs/HDDs for each day during the period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Gross margin and economic gross margin</w:t>
      </w:r>
    </w:p>
    <w:p>
      <w:pPr>
        <w:spacing w:after="0" w:line="13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Gross margin increased $3.8 billion and economic gross margin increased $792 million, both of which include intercompany sales, during the year ended December 31, 2024, compared to the same period in 2023. The detail by segment is as follows: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Texas</w:t>
      </w:r>
    </w:p>
    <w:p>
      <w:pPr>
        <w:spacing w:after="0" w:line="78"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15240</wp:posOffset>
            </wp:positionV>
            <wp:extent cx="6456680" cy="23482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extLst>
                    </a:blip>
                    <a:srcRect/>
                    <a:stretch>
                      <a:fillRect/>
                    </a:stretch>
                  </pic:blipFill>
                  <pic:spPr bwMode="auto">
                    <a:xfrm>
                      <a:off x="0" y="0"/>
                      <a:ext cx="6456680" cy="2348230"/>
                    </a:xfrm>
                    <a:prstGeom prst="rect">
                      <a:avLst/>
                    </a:prstGeom>
                    <a:noFill/>
                  </pic:spPr>
                </pic:pic>
              </a:graphicData>
            </a:graphic>
          </wp:anchor>
        </w:drawing>
      </w:r>
    </w:p>
    <w:p>
      <w:pPr>
        <w:sectPr>
          <w:pgSz w:w="11880" w:h="15480" w:orient="portrait"/>
          <w:cols w:equalWidth="0" w:num="1">
            <w:col w:w="10160"/>
          </w:cols>
          <w:pgMar w:left="860" w:top="679" w:right="860" w:bottom="0" w:gutter="0" w:footer="0" w:header="0"/>
        </w:sectPr>
      </w:pPr>
    </w:p>
    <w:p>
      <w:pPr>
        <w:spacing w:after="0" w:line="59" w:lineRule="exact"/>
        <w:rPr>
          <w:sz w:val="20"/>
          <w:szCs w:val="20"/>
          <w:color w:val="auto"/>
        </w:rPr>
      </w:pPr>
    </w:p>
    <w:p>
      <w:pPr>
        <w:ind w:left="60"/>
        <w:spacing w:after="0"/>
        <w:rPr>
          <w:sz w:val="20"/>
          <w:szCs w:val="20"/>
          <w:color w:val="auto"/>
        </w:rPr>
      </w:pPr>
      <w:r>
        <w:rPr>
          <w:rFonts w:ascii="Arial" w:cs="Arial" w:eastAsia="Arial" w:hAnsi="Arial"/>
          <w:sz w:val="20"/>
          <w:szCs w:val="20"/>
          <w:color w:val="auto"/>
        </w:rPr>
        <w:t>Higher gross margin due to the net effect of:</w:t>
      </w:r>
    </w:p>
    <w:p>
      <w:pPr>
        <w:spacing w:after="0" w:line="14" w:lineRule="exact"/>
        <w:rPr>
          <w:sz w:val="20"/>
          <w:szCs w:val="20"/>
          <w:color w:val="auto"/>
        </w:rPr>
      </w:pPr>
    </w:p>
    <w:p>
      <w:pPr>
        <w:ind w:left="760" w:hanging="350"/>
        <w:spacing w:after="0" w:line="231" w:lineRule="auto"/>
        <w:tabs>
          <w:tab w:leader="none" w:pos="7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 increase in net revenue of $178 million, primarily driven by changes in customer term, product and mix</w:t>
      </w:r>
    </w:p>
    <w:p>
      <w:pPr>
        <w:jc w:val="both"/>
        <w:ind w:left="760" w:hanging="350"/>
        <w:spacing w:after="0" w:line="285"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 5%, or $144 million increase in cost to serve the retail load driven by higher realized power prices associated with the Company’s diversified supply strategy including asset sales in 2023 </w:t>
      </w:r>
      <w:r>
        <w:rPr>
          <w:rFonts w:ascii="Arial" w:cs="Arial" w:eastAsia="Arial" w:hAnsi="Arial"/>
          <w:sz w:val="18"/>
          <w:szCs w:val="18"/>
          <w:color w:val="B4B4B4"/>
        </w:rPr>
        <w:t>. . . . . . . . . . . .</w:t>
      </w:r>
    </w:p>
    <w:p>
      <w:pPr>
        <w:jc w:val="right"/>
        <w:ind w:left="60"/>
        <w:spacing w:after="0" w:line="286" w:lineRule="auto"/>
        <w:rPr>
          <w:sz w:val="20"/>
          <w:szCs w:val="20"/>
          <w:color w:val="auto"/>
        </w:rPr>
      </w:pPr>
      <w:r>
        <w:rPr>
          <w:rFonts w:ascii="Arial" w:cs="Arial" w:eastAsia="Arial" w:hAnsi="Arial"/>
          <w:sz w:val="18"/>
          <w:szCs w:val="18"/>
          <w:color w:val="auto"/>
        </w:rPr>
        <w:t xml:space="preserve">Lower gross margin due to a decrease in load of 1.4 TWhs, or $46 million, due to weather, partially offset by an increase in load of 7 GWhs, or $8 million, driven by an increase in average customer counts </w:t>
      </w:r>
      <w:r>
        <w:rPr>
          <w:rFonts w:ascii="Arial" w:cs="Arial" w:eastAsia="Arial" w:hAnsi="Arial"/>
          <w:sz w:val="18"/>
          <w:szCs w:val="18"/>
          <w:color w:val="B4B4B4"/>
        </w:rPr>
        <w:t>. . . . . . . . . . . . . .</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6"/>
          <w:szCs w:val="16"/>
          <w:color w:val="B4B4B4"/>
        </w:rPr>
        <w:t>. . . . . . . . . . . . . . . . . . . . . . . . . . . . . . . . . . . . . . . . . . . . . . . . . . . . . . . . . . . . . . . . . . . . . . . . . . . . . . . . . . . . .</w:t>
      </w:r>
    </w:p>
    <w:p>
      <w:pPr>
        <w:spacing w:after="0" w:line="109"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 xml:space="preserve">Decrease in economic gross margin </w:t>
      </w:r>
      <w:r>
        <w:rPr>
          <w:rFonts w:ascii="Arial" w:cs="Arial" w:eastAsia="Arial" w:hAnsi="Arial"/>
          <w:sz w:val="18"/>
          <w:szCs w:val="18"/>
          <w:b w:val="1"/>
          <w:bCs w:val="1"/>
          <w:color w:val="B4B4B4"/>
        </w:rPr>
        <w:t>. . . . . . . . . . . . . . . . . . . . . . . . . . . . . . . . . . . . . . . . . . . . . . . . . . . . . . . . .</w:t>
      </w:r>
    </w:p>
    <w:p>
      <w:pPr>
        <w:spacing w:after="0" w:line="89" w:lineRule="exact"/>
        <w:rPr>
          <w:sz w:val="20"/>
          <w:szCs w:val="20"/>
          <w:color w:val="auto"/>
        </w:rPr>
      </w:pPr>
    </w:p>
    <w:p>
      <w:pPr>
        <w:ind w:left="240" w:hanging="177"/>
        <w:spacing w:after="0" w:line="322" w:lineRule="auto"/>
        <w:rPr>
          <w:sz w:val="20"/>
          <w:szCs w:val="20"/>
          <w:color w:val="auto"/>
        </w:rPr>
      </w:pPr>
      <w:r>
        <w:rPr>
          <w:rFonts w:ascii="Arial" w:cs="Arial" w:eastAsia="Arial" w:hAnsi="Arial"/>
          <w:sz w:val="16"/>
          <w:szCs w:val="16"/>
          <w:color w:val="auto"/>
        </w:rPr>
        <w:t xml:space="preserve">Decrease in mark-to-market for economic hedging primarily due to net unrealized gains/losses on open positions related to economic hedges </w:t>
      </w:r>
      <w:r>
        <w:rPr>
          <w:rFonts w:ascii="Arial" w:cs="Arial" w:eastAsia="Arial" w:hAnsi="Arial"/>
          <w:sz w:val="16"/>
          <w:szCs w:val="16"/>
          <w:color w:val="B4B4B4"/>
        </w:rPr>
        <w:t>. . . . . . . . . . . . . . . . . . . . . . . . . . . . . . . . . . . . . . . . . . . . . . . . . . . . . . . . . .</w:t>
      </w:r>
    </w:p>
    <w:p>
      <w:pPr>
        <w:spacing w:after="0" w:line="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 xml:space="preserve">Decrease in contract and emissions credit amortization  </w:t>
      </w:r>
      <w:r>
        <w:rPr>
          <w:rFonts w:ascii="Arial" w:cs="Arial" w:eastAsia="Arial" w:hAnsi="Arial"/>
          <w:sz w:val="16"/>
          <w:szCs w:val="16"/>
          <w:color w:val="B4B4B4"/>
        </w:rPr>
        <w:t>. . . . . . . . . . . . . . . . . . . . . . . . . . . . . . . . . . . . . . . . . . . . .</w:t>
      </w:r>
    </w:p>
    <w:p>
      <w:pPr>
        <w:spacing w:after="0" w:line="11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 xml:space="preserve">Decrease in depreciation and amortization  </w:t>
      </w:r>
      <w:r>
        <w:rPr>
          <w:rFonts w:ascii="Arial" w:cs="Arial" w:eastAsia="Arial" w:hAnsi="Arial"/>
          <w:sz w:val="16"/>
          <w:szCs w:val="16"/>
          <w:color w:val="B4B4B4"/>
        </w:rPr>
        <w:t>. . . . . . . . . . . . . . . . . . . . . . . . . . . . . . . . . . . . . . . . . . . . . . . . . . . . . . .</w:t>
      </w:r>
    </w:p>
    <w:p>
      <w:pPr>
        <w:spacing w:after="0" w:line="109"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 xml:space="preserve">Decrease in gross margin </w:t>
      </w:r>
      <w:r>
        <w:rPr>
          <w:rFonts w:ascii="Arial" w:cs="Arial" w:eastAsia="Arial" w:hAnsi="Arial"/>
          <w:sz w:val="18"/>
          <w:szCs w:val="18"/>
          <w:b w:val="1"/>
          <w:bCs w:val="1"/>
          <w:color w:val="B4B4B4"/>
        </w:rPr>
        <w:t>. . . . . . . . . . . . . . . . . . . . . . . . . . . . . . . . . . . . . . . . . . . . . . . . . . . . . . . . . . . . .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22" w:hanging="822"/>
        <w:spacing w:after="0"/>
        <w:tabs>
          <w:tab w:leader="none" w:pos="822" w:val="left"/>
        </w:tabs>
        <w:numPr>
          <w:ilvl w:val="0"/>
          <w:numId w:val="31"/>
        </w:numPr>
        <w:rPr>
          <w:rFonts w:ascii="Arial" w:cs="Arial" w:eastAsia="Arial" w:hAnsi="Arial"/>
          <w:sz w:val="20"/>
          <w:szCs w:val="20"/>
          <w:color w:val="auto"/>
        </w:rPr>
      </w:pPr>
      <w:r>
        <w:rPr>
          <w:rFonts w:ascii="Arial" w:cs="Arial" w:eastAsia="Arial" w:hAnsi="Arial"/>
          <w:sz w:val="20"/>
          <w:szCs w:val="20"/>
          <w:color w:val="auto"/>
        </w:rPr>
        <w:t>34</w:t>
      </w:r>
    </w:p>
    <w:p>
      <w:pPr>
        <w:spacing w:after="0" w:line="260"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(38)</w:t>
      </w:r>
    </w:p>
    <w:p>
      <w:pPr>
        <w:spacing w:after="0" w:line="67"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(3)</w:t>
      </w:r>
    </w:p>
    <w:p>
      <w:pPr>
        <w:spacing w:after="0" w:line="67" w:lineRule="exact"/>
        <w:rPr>
          <w:sz w:val="20"/>
          <w:szCs w:val="20"/>
          <w:color w:val="auto"/>
        </w:rPr>
      </w:pPr>
    </w:p>
    <w:p>
      <w:pPr>
        <w:ind w:left="842" w:hanging="842"/>
        <w:spacing w:after="0"/>
        <w:tabs>
          <w:tab w:leader="none" w:pos="842" w:val="left"/>
        </w:tabs>
        <w:numPr>
          <w:ilvl w:val="0"/>
          <w:numId w:val="32"/>
        </w:numPr>
        <w:rPr>
          <w:rFonts w:ascii="Arial" w:cs="Arial" w:eastAsia="Arial" w:hAnsi="Arial"/>
          <w:sz w:val="19"/>
          <w:szCs w:val="19"/>
          <w:color w:val="auto"/>
        </w:rPr>
      </w:pPr>
      <w:r>
        <w:rPr>
          <w:rFonts w:ascii="Arial" w:cs="Arial" w:eastAsia="Arial" w:hAnsi="Arial"/>
          <w:sz w:val="19"/>
          <w:szCs w:val="19"/>
          <w:color w:val="auto"/>
        </w:rPr>
        <w:t>(7)</w:t>
      </w:r>
    </w:p>
    <w:p>
      <w:pPr>
        <w:spacing w:after="0" w:line="272"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(999)</w:t>
      </w:r>
    </w:p>
    <w:p>
      <w:pPr>
        <w:spacing w:after="0" w:line="67" w:lineRule="exact"/>
        <w:rPr>
          <w:sz w:val="20"/>
          <w:szCs w:val="20"/>
          <w:color w:val="auto"/>
        </w:rPr>
      </w:pPr>
    </w:p>
    <w:p>
      <w:pPr>
        <w:jc w:val="right"/>
        <w:ind w:right="120"/>
        <w:spacing w:after="0"/>
        <w:rPr>
          <w:sz w:val="20"/>
          <w:szCs w:val="20"/>
          <w:color w:val="auto"/>
        </w:rPr>
      </w:pPr>
      <w:r>
        <w:rPr>
          <w:rFonts w:ascii="Arial" w:cs="Arial" w:eastAsia="Arial" w:hAnsi="Arial"/>
          <w:sz w:val="20"/>
          <w:szCs w:val="20"/>
          <w:color w:val="auto"/>
        </w:rPr>
        <w:t>2</w:t>
      </w:r>
    </w:p>
    <w:p>
      <w:pPr>
        <w:spacing w:after="0" w:line="67" w:lineRule="exact"/>
        <w:rPr>
          <w:sz w:val="20"/>
          <w:szCs w:val="20"/>
          <w:color w:val="auto"/>
        </w:rPr>
      </w:pPr>
    </w:p>
    <w:p>
      <w:pPr>
        <w:jc w:val="right"/>
        <w:ind w:right="120"/>
        <w:spacing w:after="0"/>
        <w:rPr>
          <w:sz w:val="20"/>
          <w:szCs w:val="20"/>
          <w:color w:val="auto"/>
        </w:rPr>
      </w:pPr>
      <w:r>
        <w:rPr>
          <w:rFonts w:ascii="Arial" w:cs="Arial" w:eastAsia="Arial" w:hAnsi="Arial"/>
          <w:sz w:val="20"/>
          <w:szCs w:val="20"/>
          <w:color w:val="auto"/>
        </w:rPr>
        <w:t>25</w:t>
      </w:r>
    </w:p>
    <w:p>
      <w:pPr>
        <w:spacing w:after="0" w:line="67" w:lineRule="exact"/>
        <w:rPr>
          <w:sz w:val="20"/>
          <w:szCs w:val="20"/>
          <w:color w:val="auto"/>
        </w:rPr>
      </w:pPr>
    </w:p>
    <w:p>
      <w:pPr>
        <w:ind w:left="642" w:hanging="642"/>
        <w:spacing w:after="0"/>
        <w:tabs>
          <w:tab w:leader="none" w:pos="6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(979)</w:t>
      </w:r>
    </w:p>
    <w:p>
      <w:pPr>
        <w:spacing w:after="0" w:line="200" w:lineRule="exact"/>
        <w:rPr>
          <w:sz w:val="20"/>
          <w:szCs w:val="20"/>
          <w:color w:val="auto"/>
        </w:rPr>
      </w:pPr>
    </w:p>
    <w:p>
      <w:pPr>
        <w:sectPr>
          <w:pgSz w:w="11880" w:h="15480" w:orient="portrait"/>
          <w:cols w:equalWidth="0" w:num="2">
            <w:col w:w="8940" w:space="98"/>
            <w:col w:w="1122"/>
          </w:cols>
          <w:pgMar w:left="860" w:top="679"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880" w:h="15480" w:orient="portrait"/>
          <w:cols w:equalWidth="0" w:num="1">
            <w:col w:w="10160"/>
          </w:cols>
          <w:pgMar w:left="860" w:top="679" w:right="860" w:bottom="0" w:gutter="0" w:footer="0" w:header="0"/>
          <w:type w:val="continuous"/>
        </w:sectPr>
      </w:pPr>
    </w:p>
    <w:bookmarkStart w:id="57" w:name="page58"/>
    <w:bookmarkEnd w:id="57"/>
    <w:p>
      <w:pPr>
        <w:ind w:left="380"/>
        <w:spacing w:after="0"/>
        <w:rPr>
          <w:sz w:val="20"/>
          <w:szCs w:val="20"/>
          <w:color w:val="auto"/>
        </w:rPr>
      </w:pPr>
      <w:r>
        <w:rPr>
          <w:rFonts w:ascii="Arial" w:cs="Arial" w:eastAsia="Arial" w:hAnsi="Arial"/>
          <w:sz w:val="20"/>
          <w:szCs w:val="20"/>
          <w:b w:val="1"/>
          <w:bCs w:val="1"/>
          <w:i w:val="1"/>
          <w:iCs w:val="1"/>
          <w:color w:val="auto"/>
        </w:rPr>
        <w:t>East</w:t>
      </w:r>
    </w:p>
    <w:p>
      <w:pPr>
        <w:spacing w:after="0" w:line="78"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15240</wp:posOffset>
            </wp:positionV>
            <wp:extent cx="6456680" cy="37439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extLst>
                    </a:blip>
                    <a:srcRect/>
                    <a:stretch>
                      <a:fillRect/>
                    </a:stretch>
                  </pic:blipFill>
                  <pic:spPr bwMode="auto">
                    <a:xfrm>
                      <a:off x="0" y="0"/>
                      <a:ext cx="6456680" cy="3743960"/>
                    </a:xfrm>
                    <a:prstGeom prst="rect">
                      <a:avLst/>
                    </a:prstGeom>
                    <a:noFill/>
                  </pic:spPr>
                </pic:pic>
              </a:graphicData>
            </a:graphic>
          </wp:anchor>
        </w:drawing>
      </w:r>
    </w:p>
    <w:p>
      <w:pPr>
        <w:sectPr>
          <w:pgSz w:w="11880" w:h="15480" w:orient="portrait"/>
          <w:cols w:equalWidth="0" w:num="1">
            <w:col w:w="10080"/>
          </w:cols>
          <w:pgMar w:left="920" w:top="746" w:right="880" w:bottom="0" w:gutter="0" w:footer="0" w:header="0"/>
        </w:sectPr>
      </w:pPr>
    </w:p>
    <w:p>
      <w:pPr>
        <w:spacing w:after="0" w:line="65" w:lineRule="exact"/>
        <w:rPr>
          <w:sz w:val="20"/>
          <w:szCs w:val="20"/>
          <w:color w:val="auto"/>
        </w:rPr>
      </w:pPr>
    </w:p>
    <w:p>
      <w:pPr>
        <w:ind w:left="180" w:right="20" w:hanging="177"/>
        <w:spacing w:after="0" w:line="326" w:lineRule="auto"/>
        <w:rPr>
          <w:sz w:val="20"/>
          <w:szCs w:val="20"/>
          <w:color w:val="auto"/>
        </w:rPr>
      </w:pPr>
      <w:r>
        <w:rPr>
          <w:rFonts w:ascii="Arial" w:cs="Arial" w:eastAsia="Arial" w:hAnsi="Arial"/>
          <w:sz w:val="16"/>
          <w:szCs w:val="16"/>
          <w:color w:val="auto"/>
        </w:rPr>
        <w:t xml:space="preserve">Lower gross margin due to a decrease in generation and capacity as a result of the Joliet and Astoria asset retirements </w:t>
      </w:r>
      <w:r>
        <w:rPr>
          <w:rFonts w:ascii="Arial" w:cs="Arial" w:eastAsia="Arial" w:hAnsi="Arial"/>
          <w:sz w:val="16"/>
          <w:szCs w:val="16"/>
          <w:color w:val="B4B4B4"/>
        </w:rPr>
        <w:t>. . . . . . . . . . . . . . . . . . . . . . . . . . . . . . . . . . . . . . . . . . . . . . . . . . . . . . . . . . . . . . . . . . . . . . . . . . . . . .</w:t>
      </w:r>
    </w:p>
    <w:p>
      <w:pPr>
        <w:ind w:left="180" w:right="20" w:hanging="177"/>
        <w:spacing w:after="0" w:line="301" w:lineRule="auto"/>
        <w:rPr>
          <w:sz w:val="20"/>
          <w:szCs w:val="20"/>
          <w:color w:val="auto"/>
        </w:rPr>
      </w:pPr>
      <w:r>
        <w:rPr>
          <w:rFonts w:ascii="Arial" w:cs="Arial" w:eastAsia="Arial" w:hAnsi="Arial"/>
          <w:sz w:val="16"/>
          <w:szCs w:val="16"/>
          <w:color w:val="auto"/>
        </w:rPr>
        <w:t xml:space="preserve">Higher electric gross margin due to higher net revenue rates as a result of changes in customer term, product and mix of $2.00 per MWh, or $127 million as well as lower supply costs of $0.75 per MWh, or $54 million driven primarily by decreases in realized power prices </w:t>
      </w:r>
      <w:r>
        <w:rPr>
          <w:rFonts w:ascii="Arial" w:cs="Arial" w:eastAsia="Arial" w:hAnsi="Arial"/>
          <w:sz w:val="16"/>
          <w:szCs w:val="16"/>
          <w:color w:val="B4B4B4"/>
        </w:rPr>
        <w:t>. . . . . . . . . . . . . . . . . . . . . . . . . . . . . . . . . . . . . . . . . . . .</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Higher electric gross margin due to an increase in customer count and change in customer mix </w:t>
      </w:r>
      <w:r>
        <w:rPr>
          <w:rFonts w:ascii="Arial" w:cs="Arial" w:eastAsia="Arial" w:hAnsi="Arial"/>
          <w:sz w:val="16"/>
          <w:szCs w:val="16"/>
          <w:color w:val="B4B4B4"/>
        </w:rPr>
        <w:t>. . . . . . . . . . . . . .</w:t>
      </w:r>
    </w:p>
    <w:p>
      <w:pPr>
        <w:spacing w:after="0" w:line="113" w:lineRule="exact"/>
        <w:rPr>
          <w:sz w:val="20"/>
          <w:szCs w:val="20"/>
          <w:color w:val="auto"/>
        </w:rPr>
      </w:pPr>
    </w:p>
    <w:p>
      <w:pPr>
        <w:ind w:left="180" w:hanging="177"/>
        <w:spacing w:after="0" w:line="288" w:lineRule="auto"/>
        <w:rPr>
          <w:sz w:val="20"/>
          <w:szCs w:val="20"/>
          <w:color w:val="auto"/>
        </w:rPr>
      </w:pPr>
      <w:r>
        <w:rPr>
          <w:rFonts w:ascii="Arial" w:cs="Arial" w:eastAsia="Arial" w:hAnsi="Arial"/>
          <w:sz w:val="16"/>
          <w:szCs w:val="16"/>
          <w:color w:val="auto"/>
        </w:rPr>
        <w:t xml:space="preserve">Higher natural gas gross margin including the impact of transportation and storage contract optimization, resulting in lower supply costs of $0.60 per Dth, or $992 million, driven by a decrease in gas costs, partially offset by lower net revenue rates of $0.55 per Dth, or $873 million, from changes in customer term, product and mix </w:t>
      </w:r>
      <w:r>
        <w:rPr>
          <w:rFonts w:ascii="Arial" w:cs="Arial" w:eastAsia="Arial" w:hAnsi="Arial"/>
          <w:sz w:val="16"/>
          <w:szCs w:val="16"/>
          <w:color w:val="B4B4B4"/>
        </w:rPr>
        <w:t>. . . . . . . . . . . . . . . . . . . . . . . . . . . . . . . . . . . . . . . . . . . . . . . . . . . . . . . . . . . . . . . . . . . . . . . . . . . . . . . . .</w:t>
      </w:r>
    </w:p>
    <w:p>
      <w:pPr>
        <w:spacing w:after="0" w:line="3" w:lineRule="exact"/>
        <w:rPr>
          <w:sz w:val="20"/>
          <w:szCs w:val="20"/>
          <w:color w:val="auto"/>
        </w:rPr>
      </w:pPr>
    </w:p>
    <w:p>
      <w:pPr>
        <w:ind w:left="180" w:right="20" w:hanging="177"/>
        <w:spacing w:after="0" w:line="319" w:lineRule="auto"/>
        <w:rPr>
          <w:sz w:val="20"/>
          <w:szCs w:val="20"/>
          <w:color w:val="auto"/>
        </w:rPr>
      </w:pPr>
      <w:r>
        <w:rPr>
          <w:rFonts w:ascii="Arial" w:cs="Arial" w:eastAsia="Arial" w:hAnsi="Arial"/>
          <w:sz w:val="16"/>
          <w:szCs w:val="16"/>
          <w:color w:val="auto"/>
        </w:rPr>
        <w:t xml:space="preserve">Lower natural gas gross margin from a decrease in load due to a lower customer count and change in customer mix </w:t>
      </w:r>
      <w:r>
        <w:rPr>
          <w:rFonts w:ascii="Arial" w:cs="Arial" w:eastAsia="Arial" w:hAnsi="Arial"/>
          <w:sz w:val="16"/>
          <w:szCs w:val="16"/>
          <w:color w:val="B4B4B4"/>
        </w:rPr>
        <w:t>. . . . . . . . . . . . . . . . . . . . . . . . . . . . . . . . . . . . . . . . . . . . . . . . . . . . . . . . . . . . . . . . . . . . . . . . . . . . . . . . . . . .</w:t>
      </w:r>
    </w:p>
    <w:p>
      <w:pPr>
        <w:spacing w:after="0" w:line="1" w:lineRule="exact"/>
        <w:rPr>
          <w:sz w:val="20"/>
          <w:szCs w:val="20"/>
          <w:color w:val="auto"/>
        </w:rPr>
      </w:pPr>
    </w:p>
    <w:p>
      <w:pPr>
        <w:ind w:left="180" w:hanging="177"/>
        <w:spacing w:after="0" w:line="284" w:lineRule="auto"/>
        <w:rPr>
          <w:sz w:val="20"/>
          <w:szCs w:val="20"/>
          <w:color w:val="auto"/>
        </w:rPr>
      </w:pPr>
      <w:r>
        <w:rPr>
          <w:rFonts w:ascii="Arial" w:cs="Arial" w:eastAsia="Arial" w:hAnsi="Arial"/>
          <w:sz w:val="18"/>
          <w:szCs w:val="18"/>
          <w:color w:val="auto"/>
        </w:rPr>
        <w:t xml:space="preserve">Lower gross margin due to a reduction in capacity prices along with a prior year reduction in capacity performance penalties resulting from Winter Storm Elliott in December 2022 </w:t>
      </w:r>
      <w:r>
        <w:rPr>
          <w:rFonts w:ascii="Arial" w:cs="Arial" w:eastAsia="Arial" w:hAnsi="Arial"/>
          <w:sz w:val="18"/>
          <w:szCs w:val="18"/>
          <w:color w:val="B4B4B4"/>
        </w:rPr>
        <w:t>. . . . . . . . . . . . . . . . . . . . . . . . . .</w:t>
      </w:r>
    </w:p>
    <w:p>
      <w:pPr>
        <w:ind w:left="180" w:right="20" w:hanging="177"/>
        <w:spacing w:after="0" w:line="289" w:lineRule="auto"/>
        <w:rPr>
          <w:sz w:val="20"/>
          <w:szCs w:val="20"/>
          <w:color w:val="auto"/>
        </w:rPr>
      </w:pPr>
      <w:r>
        <w:rPr>
          <w:rFonts w:ascii="Arial" w:cs="Arial" w:eastAsia="Arial" w:hAnsi="Arial"/>
          <w:sz w:val="18"/>
          <w:szCs w:val="18"/>
          <w:color w:val="auto"/>
        </w:rPr>
        <w:t xml:space="preserve">Higher gross margin due to an increase in average realized price at Midwest Generation and toll facilities, partially offset by higher supply costs </w:t>
      </w:r>
      <w:r>
        <w:rPr>
          <w:rFonts w:ascii="Arial" w:cs="Arial" w:eastAsia="Arial" w:hAnsi="Arial"/>
          <w:sz w:val="18"/>
          <w:szCs w:val="18"/>
          <w:color w:val="B4B4B4"/>
        </w:rPr>
        <w:t>. . . . . . . . . . . . . . . . . . . . . . . . . . . . . . . . . . . . . . . . . . . . . . . . . . . . . . . . .</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6"/>
          <w:szCs w:val="16"/>
          <w:color w:val="B4B4B4"/>
        </w:rPr>
        <w:t>. . . . . . . . . . . . . . . . . . . . . . . . . . . . . . . . . . . . . . . . . . . . . . . . . . . . . . . . . . . . . . . . . . . . . . . . . . . . . . . . . . . . .</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Increase in economic gross margin </w:t>
      </w:r>
      <w:r>
        <w:rPr>
          <w:rFonts w:ascii="Arial" w:cs="Arial" w:eastAsia="Arial" w:hAnsi="Arial"/>
          <w:sz w:val="18"/>
          <w:szCs w:val="18"/>
          <w:b w:val="1"/>
          <w:bCs w:val="1"/>
          <w:color w:val="B4B4B4"/>
        </w:rPr>
        <w:t>. . . . . . . . . . . . . . . . . . . . . . . . . . . . . . . . . . . . . . . . . . . . . . . . . . . . . . . . . .</w:t>
      </w:r>
    </w:p>
    <w:p>
      <w:pPr>
        <w:spacing w:after="0" w:line="89" w:lineRule="exact"/>
        <w:rPr>
          <w:sz w:val="20"/>
          <w:szCs w:val="20"/>
          <w:color w:val="auto"/>
        </w:rPr>
      </w:pPr>
    </w:p>
    <w:p>
      <w:pPr>
        <w:jc w:val="right"/>
        <w:spacing w:after="0" w:line="322" w:lineRule="auto"/>
        <w:rPr>
          <w:sz w:val="20"/>
          <w:szCs w:val="20"/>
          <w:color w:val="auto"/>
        </w:rPr>
      </w:pPr>
      <w:r>
        <w:rPr>
          <w:rFonts w:ascii="Arial" w:cs="Arial" w:eastAsia="Arial" w:hAnsi="Arial"/>
          <w:sz w:val="16"/>
          <w:szCs w:val="16"/>
          <w:color w:val="auto"/>
        </w:rPr>
        <w:t xml:space="preserve">Increase in mark-to-market for economic hedging primarily due to net unrealized gains/losses on open positions related to economic hedges </w:t>
      </w:r>
      <w:r>
        <w:rPr>
          <w:rFonts w:ascii="Arial" w:cs="Arial" w:eastAsia="Arial" w:hAnsi="Arial"/>
          <w:sz w:val="16"/>
          <w:szCs w:val="16"/>
          <w:color w:val="B4B4B4"/>
        </w:rPr>
        <w:t>. . . . . . . . . . . . . . . . . . . . . . . . . . . . . . . . . . . . . . . . . . . . . . . . . . . . . . . . . . . . . . . . . .</w:t>
      </w:r>
    </w:p>
    <w:p>
      <w:pPr>
        <w:spacing w:after="0" w:line="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 xml:space="preserve">Decrease in contract amortization </w:t>
      </w:r>
      <w:r>
        <w:rPr>
          <w:rFonts w:ascii="Arial" w:cs="Arial" w:eastAsia="Arial" w:hAnsi="Arial"/>
          <w:sz w:val="16"/>
          <w:szCs w:val="16"/>
          <w:color w:val="B4B4B4"/>
        </w:rPr>
        <w:t>. . . . . . . . . . . . . . . . . . . . . . . . . . . . . . . . . . . . . . . . . . . . . . . . . . . . . . . . . . . . . .</w:t>
      </w:r>
    </w:p>
    <w:p>
      <w:pPr>
        <w:spacing w:after="0" w:line="11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 xml:space="preserve">Decrease in depreciation and amortization  </w:t>
      </w:r>
      <w:r>
        <w:rPr>
          <w:rFonts w:ascii="Arial" w:cs="Arial" w:eastAsia="Arial" w:hAnsi="Arial"/>
          <w:sz w:val="16"/>
          <w:szCs w:val="16"/>
          <w:color w:val="B4B4B4"/>
        </w:rPr>
        <w:t>. . . . . . . . . . . . . . . . . . . . . . . . . . . . . . . . . . . . . . . . . . . . . . . . . . . . . . .</w:t>
      </w:r>
    </w:p>
    <w:p>
      <w:pPr>
        <w:spacing w:after="0" w:line="109"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 xml:space="preserve">Increase in gross margin </w:t>
      </w:r>
      <w:r>
        <w:rPr>
          <w:rFonts w:ascii="Arial" w:cs="Arial" w:eastAsia="Arial" w:hAnsi="Arial"/>
          <w:sz w:val="18"/>
          <w:szCs w:val="18"/>
          <w:b w:val="1"/>
          <w:bCs w:val="1"/>
          <w:color w:val="B4B4B4"/>
        </w:rPr>
        <w:t>. . . . . . . . . . . . . . . . . . . . . . . . . . . . . . . . . . . . . . . . . . . . . . . . . . . . . . . . . . . . . . . . . .</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742" w:hanging="742"/>
        <w:spacing w:after="0"/>
        <w:tabs>
          <w:tab w:leader="none" w:pos="742" w:val="left"/>
        </w:tabs>
        <w:numPr>
          <w:ilvl w:val="0"/>
          <w:numId w:val="34"/>
        </w:numPr>
        <w:rPr>
          <w:rFonts w:ascii="Arial" w:cs="Arial" w:eastAsia="Arial" w:hAnsi="Arial"/>
          <w:sz w:val="19"/>
          <w:szCs w:val="19"/>
          <w:color w:val="auto"/>
        </w:rPr>
      </w:pPr>
      <w:r>
        <w:rPr>
          <w:rFonts w:ascii="Arial" w:cs="Arial" w:eastAsia="Arial" w:hAnsi="Arial"/>
          <w:sz w:val="19"/>
          <w:szCs w:val="19"/>
          <w:color w:val="auto"/>
        </w:rPr>
        <w:t>(20)</w:t>
      </w:r>
    </w:p>
    <w:p>
      <w:pPr>
        <w:spacing w:after="0" w:line="200" w:lineRule="exact"/>
        <w:rPr>
          <w:sz w:val="20"/>
          <w:szCs w:val="20"/>
          <w:color w:val="auto"/>
        </w:rPr>
      </w:pPr>
    </w:p>
    <w:p>
      <w:pPr>
        <w:spacing w:after="0" w:line="279"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181</w:t>
      </w:r>
    </w:p>
    <w:p>
      <w:pPr>
        <w:spacing w:after="0" w:line="67"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22"/>
        <w:spacing w:after="0"/>
        <w:rPr>
          <w:sz w:val="20"/>
          <w:szCs w:val="20"/>
          <w:color w:val="auto"/>
        </w:rPr>
      </w:pPr>
      <w:r>
        <w:rPr>
          <w:rFonts w:ascii="Arial" w:cs="Arial" w:eastAsia="Arial" w:hAnsi="Arial"/>
          <w:sz w:val="20"/>
          <w:szCs w:val="20"/>
          <w:color w:val="auto"/>
        </w:rPr>
        <w:t>119</w:t>
      </w:r>
    </w:p>
    <w:p>
      <w:pPr>
        <w:spacing w:after="0" w:line="260"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(14)</w:t>
      </w:r>
    </w:p>
    <w:p>
      <w:pPr>
        <w:spacing w:after="0" w:line="260"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(15)</w:t>
      </w:r>
    </w:p>
    <w:p>
      <w:pPr>
        <w:spacing w:after="0" w:line="260" w:lineRule="exact"/>
        <w:rPr>
          <w:sz w:val="20"/>
          <w:szCs w:val="20"/>
          <w:color w:val="auto"/>
        </w:rPr>
      </w:pPr>
    </w:p>
    <w:p>
      <w:pPr>
        <w:ind w:left="822"/>
        <w:spacing w:after="0"/>
        <w:rPr>
          <w:sz w:val="20"/>
          <w:szCs w:val="20"/>
          <w:color w:val="auto"/>
        </w:rPr>
      </w:pPr>
      <w:r>
        <w:rPr>
          <w:rFonts w:ascii="Arial" w:cs="Arial" w:eastAsia="Arial" w:hAnsi="Arial"/>
          <w:sz w:val="20"/>
          <w:szCs w:val="20"/>
          <w:color w:val="auto"/>
        </w:rPr>
        <w:t>45</w:t>
      </w:r>
    </w:p>
    <w:p>
      <w:pPr>
        <w:spacing w:after="0" w:line="82"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(7)</w:t>
      </w:r>
    </w:p>
    <w:p>
      <w:pPr>
        <w:spacing w:after="0" w:line="67" w:lineRule="exact"/>
        <w:rPr>
          <w:sz w:val="20"/>
          <w:szCs w:val="20"/>
          <w:color w:val="auto"/>
        </w:rPr>
      </w:pPr>
    </w:p>
    <w:p>
      <w:pPr>
        <w:ind w:left="722" w:hanging="722"/>
        <w:spacing w:after="0"/>
        <w:tabs>
          <w:tab w:leader="none" w:pos="722" w:val="left"/>
        </w:tabs>
        <w:numPr>
          <w:ilvl w:val="0"/>
          <w:numId w:val="35"/>
        </w:numPr>
        <w:rPr>
          <w:rFonts w:ascii="Arial" w:cs="Arial" w:eastAsia="Arial" w:hAnsi="Arial"/>
          <w:sz w:val="20"/>
          <w:szCs w:val="20"/>
          <w:color w:val="auto"/>
        </w:rPr>
      </w:pPr>
      <w:r>
        <w:rPr>
          <w:rFonts w:ascii="Arial" w:cs="Arial" w:eastAsia="Arial" w:hAnsi="Arial"/>
          <w:sz w:val="20"/>
          <w:szCs w:val="20"/>
          <w:color w:val="auto"/>
        </w:rPr>
        <w:t>318</w:t>
      </w:r>
    </w:p>
    <w:p>
      <w:pPr>
        <w:spacing w:after="0" w:line="260"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3,474</w:t>
      </w:r>
    </w:p>
    <w:p>
      <w:pPr>
        <w:spacing w:after="0" w:line="67"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42</w:t>
      </w:r>
    </w:p>
    <w:p>
      <w:pPr>
        <w:spacing w:after="0" w:line="67"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9</w:t>
      </w:r>
    </w:p>
    <w:p>
      <w:pPr>
        <w:spacing w:after="0" w:line="67" w:lineRule="exact"/>
        <w:rPr>
          <w:sz w:val="20"/>
          <w:szCs w:val="20"/>
          <w:color w:val="auto"/>
        </w:rPr>
      </w:pPr>
    </w:p>
    <w:p>
      <w:pPr>
        <w:ind w:left="562" w:hanging="562"/>
        <w:spacing w:after="0"/>
        <w:tabs>
          <w:tab w:leader="none" w:pos="562" w:val="left"/>
        </w:tabs>
        <w:numPr>
          <w:ilvl w:val="0"/>
          <w:numId w:val="36"/>
        </w:numPr>
        <w:rPr>
          <w:rFonts w:ascii="Arial" w:cs="Arial" w:eastAsia="Arial" w:hAnsi="Arial"/>
          <w:sz w:val="20"/>
          <w:szCs w:val="20"/>
          <w:color w:val="auto"/>
        </w:rPr>
      </w:pPr>
      <w:r>
        <w:rPr>
          <w:rFonts w:ascii="Arial" w:cs="Arial" w:eastAsia="Arial" w:hAnsi="Arial"/>
          <w:sz w:val="20"/>
          <w:szCs w:val="20"/>
          <w:color w:val="auto"/>
        </w:rPr>
        <w:t>3,843</w:t>
      </w:r>
    </w:p>
    <w:p>
      <w:pPr>
        <w:spacing w:after="0" w:line="200" w:lineRule="exact"/>
        <w:rPr>
          <w:sz w:val="20"/>
          <w:szCs w:val="20"/>
          <w:color w:val="auto"/>
        </w:rPr>
      </w:pPr>
    </w:p>
    <w:p>
      <w:pPr>
        <w:sectPr>
          <w:pgSz w:w="11880" w:h="15480" w:orient="portrait"/>
          <w:cols w:equalWidth="0" w:num="2">
            <w:col w:w="8880" w:space="98"/>
            <w:col w:w="1102"/>
          </w:cols>
          <w:pgMar w:left="920" w:top="746" w:right="880" w:bottom="0" w:gutter="0" w:footer="0" w:header="0"/>
          <w:type w:val="continuous"/>
        </w:sectPr>
      </w:pPr>
    </w:p>
    <w:p>
      <w:pPr>
        <w:spacing w:after="0" w:line="109"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West/Services/Other</w:t>
      </w:r>
    </w:p>
    <w:p>
      <w:pPr>
        <w:spacing w:after="0" w:line="7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15240</wp:posOffset>
            </wp:positionV>
            <wp:extent cx="6475095" cy="2697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extLst>
                    </a:blip>
                    <a:srcRect/>
                    <a:stretch>
                      <a:fillRect/>
                    </a:stretch>
                  </pic:blipFill>
                  <pic:spPr bwMode="auto">
                    <a:xfrm>
                      <a:off x="0" y="0"/>
                      <a:ext cx="6475095" cy="2697480"/>
                    </a:xfrm>
                    <a:prstGeom prst="rect">
                      <a:avLst/>
                    </a:prstGeom>
                    <a:noFill/>
                  </pic:spPr>
                </pic:pic>
              </a:graphicData>
            </a:graphic>
          </wp:anchor>
        </w:drawing>
      </w:r>
    </w:p>
    <w:p>
      <w:pPr>
        <w:sectPr>
          <w:pgSz w:w="11880" w:h="15480" w:orient="portrait"/>
          <w:cols w:equalWidth="0" w:num="1">
            <w:col w:w="10080"/>
          </w:cols>
          <w:pgMar w:left="920" w:top="746" w:right="880" w:bottom="0" w:gutter="0" w:footer="0" w:header="0"/>
          <w:type w:val="continuous"/>
        </w:sectPr>
      </w:pPr>
    </w:p>
    <w:p>
      <w:pPr>
        <w:spacing w:after="0" w:line="65" w:lineRule="exact"/>
        <w:rPr>
          <w:sz w:val="20"/>
          <w:szCs w:val="20"/>
          <w:color w:val="auto"/>
        </w:rPr>
      </w:pPr>
    </w:p>
    <w:p>
      <w:pPr>
        <w:ind w:left="180" w:hanging="177"/>
        <w:spacing w:after="0" w:line="284" w:lineRule="auto"/>
        <w:rPr>
          <w:sz w:val="20"/>
          <w:szCs w:val="20"/>
          <w:color w:val="auto"/>
        </w:rPr>
      </w:pPr>
      <w:r>
        <w:rPr>
          <w:rFonts w:ascii="Arial" w:cs="Arial" w:eastAsia="Arial" w:hAnsi="Arial"/>
          <w:sz w:val="18"/>
          <w:szCs w:val="18"/>
          <w:color w:val="auto"/>
        </w:rPr>
        <w:t xml:space="preserve">Higher electric gross margin due to lower supply costs of $18.25 per MWh, or $236 million, partially offset by lower revenue rates of $9.75 per MWh, or $124 million </w:t>
      </w:r>
      <w:r>
        <w:rPr>
          <w:rFonts w:ascii="Arial" w:cs="Arial" w:eastAsia="Arial" w:hAnsi="Arial"/>
          <w:sz w:val="18"/>
          <w:szCs w:val="18"/>
          <w:color w:val="B4B4B4"/>
        </w:rPr>
        <w:t>. . . . . . . . . . . . . . . . . . . . . . . . . . . . . . . . . . . . . . . . . . .</w:t>
      </w:r>
    </w:p>
    <w:p>
      <w:pPr>
        <w:ind w:left="180" w:hanging="177"/>
        <w:spacing w:after="0" w:line="289" w:lineRule="auto"/>
        <w:rPr>
          <w:sz w:val="20"/>
          <w:szCs w:val="20"/>
          <w:color w:val="auto"/>
        </w:rPr>
      </w:pPr>
      <w:r>
        <w:rPr>
          <w:rFonts w:ascii="Arial" w:cs="Arial" w:eastAsia="Arial" w:hAnsi="Arial"/>
          <w:sz w:val="18"/>
          <w:szCs w:val="18"/>
          <w:color w:val="auto"/>
        </w:rPr>
        <w:t xml:space="preserve">Higher natural gas gross margin due to lower supply costs of $1.10 per Dth, or $284 million and changes in customer mix of $1 million, partially offset by lower revenue rates of $1.05 per Dth, or $272 million </w:t>
      </w:r>
      <w:r>
        <w:rPr>
          <w:rFonts w:ascii="Arial" w:cs="Arial" w:eastAsia="Arial" w:hAnsi="Arial"/>
          <w:sz w:val="18"/>
          <w:szCs w:val="18"/>
          <w:color w:val="B4B4B4"/>
        </w:rPr>
        <w:t>. . . . . . .</w:t>
      </w:r>
    </w:p>
    <w:p>
      <w:pPr>
        <w:spacing w:after="0" w:line="1" w:lineRule="exact"/>
        <w:rPr>
          <w:sz w:val="20"/>
          <w:szCs w:val="20"/>
          <w:color w:val="auto"/>
        </w:rPr>
      </w:pPr>
    </w:p>
    <w:p>
      <w:pPr>
        <w:ind w:left="180" w:hanging="177"/>
        <w:spacing w:after="0" w:line="301" w:lineRule="auto"/>
        <w:rPr>
          <w:sz w:val="20"/>
          <w:szCs w:val="20"/>
          <w:color w:val="auto"/>
        </w:rPr>
      </w:pPr>
      <w:r>
        <w:rPr>
          <w:rFonts w:ascii="Arial" w:cs="Arial" w:eastAsia="Arial" w:hAnsi="Arial"/>
          <w:sz w:val="16"/>
          <w:szCs w:val="16"/>
          <w:color w:val="auto"/>
        </w:rPr>
        <w:t xml:space="preserve">Higher gross margin at Cottonwood driven by spark spread expansion, favorable current year capacity pricing and a prior year reduction in capacity performance bonus payments resulting from Winter Storm Elliott in December 2022 </w:t>
      </w:r>
      <w:r>
        <w:rPr>
          <w:rFonts w:ascii="Arial" w:cs="Arial" w:eastAsia="Arial" w:hAnsi="Arial"/>
          <w:sz w:val="16"/>
          <w:szCs w:val="16"/>
          <w:color w:val="B4B4B4"/>
        </w:rPr>
        <w:t>. . . . . . . . . . . . . . . . . . . . . . . . . . . . . . . . . . . . . . . . . . . . . . . . . . . . . . . . . . . . . . . . . . . . . . . . . . .</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Lower gross margin primarily due to the Sale of Airtron in September 2024 </w:t>
      </w:r>
      <w:r>
        <w:rPr>
          <w:rFonts w:ascii="Arial" w:cs="Arial" w:eastAsia="Arial" w:hAnsi="Arial"/>
          <w:sz w:val="18"/>
          <w:szCs w:val="18"/>
          <w:color w:val="B4B4B4"/>
        </w:rPr>
        <w:t>. . . . . . . . . . . . . . . . . . . . . . . . . . . . .</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Lower gross margin from market optimization activities </w:t>
      </w:r>
      <w:r>
        <w:rPr>
          <w:rFonts w:ascii="Arial" w:cs="Arial" w:eastAsia="Arial" w:hAnsi="Arial"/>
          <w:sz w:val="18"/>
          <w:szCs w:val="18"/>
          <w:color w:val="B4B4B4"/>
        </w:rPr>
        <w:t>. . . . . . . . . . . . . . . . . . . . . . . . . . . . . . . . . . . . . . . . . . . . .</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6"/>
          <w:szCs w:val="16"/>
          <w:color w:val="B4B4B4"/>
        </w:rPr>
        <w:t>. . . . . . . . . . . . . . . . . . . . . . . . . . . . . . . . . . . . . . . . . . . . . . . . . . . . . . . . . . . . . . . . . . . . . . . . . . . . . . . . . . . . .</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Increase in economic gross margin </w:t>
      </w:r>
      <w:r>
        <w:rPr>
          <w:rFonts w:ascii="Arial" w:cs="Arial" w:eastAsia="Arial" w:hAnsi="Arial"/>
          <w:sz w:val="18"/>
          <w:szCs w:val="18"/>
          <w:b w:val="1"/>
          <w:bCs w:val="1"/>
          <w:color w:val="B4B4B4"/>
        </w:rPr>
        <w:t>. . . . . . . . . . . . . . . . . . . . . . . . . . . . . . . . . . . . . . . . . . . . . . . . . . . . . . . . . .</w:t>
      </w:r>
    </w:p>
    <w:p>
      <w:pPr>
        <w:spacing w:after="0" w:line="59" w:lineRule="exact"/>
        <w:rPr>
          <w:sz w:val="20"/>
          <w:szCs w:val="20"/>
          <w:color w:val="auto"/>
        </w:rPr>
      </w:pPr>
    </w:p>
    <w:p>
      <w:pPr>
        <w:ind w:left="180" w:hanging="177"/>
        <w:spacing w:after="0" w:line="313" w:lineRule="auto"/>
        <w:rPr>
          <w:sz w:val="20"/>
          <w:szCs w:val="20"/>
          <w:color w:val="auto"/>
        </w:rPr>
      </w:pPr>
      <w:r>
        <w:rPr>
          <w:rFonts w:ascii="Arial" w:cs="Arial" w:eastAsia="Arial" w:hAnsi="Arial"/>
          <w:sz w:val="16"/>
          <w:szCs w:val="16"/>
          <w:color w:val="auto"/>
        </w:rPr>
        <w:t xml:space="preserve">Increase in mark-to-market for economic hedges primarily due to net unrealized gains/losses on open positions related to economic hedges </w:t>
      </w:r>
      <w:r>
        <w:rPr>
          <w:rFonts w:ascii="Arial" w:cs="Arial" w:eastAsia="Arial" w:hAnsi="Arial"/>
          <w:sz w:val="16"/>
          <w:szCs w:val="16"/>
          <w:color w:val="B4B4B4"/>
        </w:rPr>
        <w:t>. . . . . . . . . . . . . . . . . . . . . . . . . . . . . . . . . . . . . . . . . . . . . . . . . . . . . . . . . . . . . . . . . .</w:t>
      </w:r>
    </w:p>
    <w:p>
      <w:pPr>
        <w:spacing w:after="0"/>
        <w:rPr>
          <w:sz w:val="20"/>
          <w:szCs w:val="20"/>
          <w:color w:val="auto"/>
        </w:rPr>
      </w:pPr>
      <w:r>
        <w:rPr>
          <w:rFonts w:ascii="Arial" w:cs="Arial" w:eastAsia="Arial" w:hAnsi="Arial"/>
          <w:sz w:val="16"/>
          <w:szCs w:val="16"/>
          <w:color w:val="auto"/>
        </w:rPr>
        <w:t xml:space="preserve">Decrease in contract amortization </w:t>
      </w:r>
      <w:r>
        <w:rPr>
          <w:rFonts w:ascii="Arial" w:cs="Arial" w:eastAsia="Arial" w:hAnsi="Arial"/>
          <w:sz w:val="16"/>
          <w:szCs w:val="16"/>
          <w:color w:val="B4B4B4"/>
        </w:rPr>
        <w:t>. . . . . . . . . . . . . . . . . . . . . . . . . . . . . . . . . . . . . . . . . . . . . . . . . . . . . . . . . . . . . . .</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Increase in depreciation and amortization  </w:t>
      </w:r>
      <w:r>
        <w:rPr>
          <w:rFonts w:ascii="Arial" w:cs="Arial" w:eastAsia="Arial" w:hAnsi="Arial"/>
          <w:sz w:val="16"/>
          <w:szCs w:val="16"/>
          <w:color w:val="B4B4B4"/>
        </w:rPr>
        <w:t>. . . . . . . . . . . . . . . . . . . . . . . . . . . . . . . . . . . . . . . . . . . . . . . . . . . . . . . .</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Increase in gross margin </w:t>
      </w:r>
      <w:r>
        <w:rPr>
          <w:rFonts w:ascii="Arial" w:cs="Arial" w:eastAsia="Arial" w:hAnsi="Arial"/>
          <w:sz w:val="16"/>
          <w:szCs w:val="16"/>
          <w:b w:val="1"/>
          <w:bCs w:val="1"/>
          <w:color w:val="B4B4B4"/>
        </w:rPr>
        <w:t>. . . . . . . . . . . . . . . . . . . . . . . . . . . . . . . . . . . . . . . . . . . . . . . . . . . . . . . . . . . . . . . . . . .</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720" w:hanging="713"/>
        <w:spacing w:after="0"/>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112</w:t>
      </w:r>
    </w:p>
    <w:p>
      <w:pPr>
        <w:spacing w:after="0" w:line="260" w:lineRule="exact"/>
        <w:rPr>
          <w:rFonts w:ascii="Arial" w:cs="Arial" w:eastAsia="Arial" w:hAnsi="Arial"/>
          <w:sz w:val="20"/>
          <w:szCs w:val="20"/>
          <w:color w:val="auto"/>
        </w:rPr>
      </w:pPr>
    </w:p>
    <w:p>
      <w:pPr>
        <w:ind w:left="820"/>
        <w:spacing w:after="0"/>
        <w:rPr>
          <w:rFonts w:ascii="Arial" w:cs="Arial" w:eastAsia="Arial" w:hAnsi="Arial"/>
          <w:sz w:val="20"/>
          <w:szCs w:val="20"/>
          <w:color w:val="auto"/>
        </w:rPr>
      </w:pPr>
      <w:r>
        <w:rPr>
          <w:rFonts w:ascii="Arial" w:cs="Arial" w:eastAsia="Arial" w:hAnsi="Arial"/>
          <w:sz w:val="20"/>
          <w:szCs w:val="20"/>
          <w:color w:val="auto"/>
        </w:rPr>
        <w:t>13</w:t>
      </w:r>
    </w:p>
    <w:p>
      <w:pPr>
        <w:spacing w:after="0" w:line="200" w:lineRule="exact"/>
        <w:rPr>
          <w:sz w:val="20"/>
          <w:szCs w:val="20"/>
          <w:color w:val="auto"/>
        </w:rPr>
      </w:pPr>
    </w:p>
    <w:p>
      <w:pPr>
        <w:spacing w:after="0" w:line="268" w:lineRule="exact"/>
        <w:rPr>
          <w:sz w:val="20"/>
          <w:szCs w:val="20"/>
          <w:color w:val="auto"/>
        </w:rPr>
      </w:pPr>
    </w:p>
    <w:p>
      <w:pPr>
        <w:jc w:val="right"/>
        <w:ind w:right="60"/>
        <w:spacing w:after="0"/>
        <w:rPr>
          <w:sz w:val="20"/>
          <w:szCs w:val="20"/>
          <w:color w:val="auto"/>
        </w:rPr>
      </w:pPr>
      <w:r>
        <w:rPr>
          <w:rFonts w:ascii="Arial" w:cs="Arial" w:eastAsia="Arial" w:hAnsi="Arial"/>
          <w:sz w:val="20"/>
          <w:szCs w:val="20"/>
          <w:color w:val="auto"/>
        </w:rPr>
        <w:t>74</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pacing w:after="0" w:line="67" w:lineRule="exact"/>
        <w:rPr>
          <w:sz w:val="20"/>
          <w:szCs w:val="20"/>
          <w:color w:val="auto"/>
        </w:rPr>
      </w:pPr>
    </w:p>
    <w:p>
      <w:pPr>
        <w:jc w:val="right"/>
        <w:ind w:right="60"/>
        <w:spacing w:after="0"/>
        <w:rPr>
          <w:sz w:val="20"/>
          <w:szCs w:val="20"/>
          <w:color w:val="auto"/>
        </w:rPr>
      </w:pPr>
      <w:r>
        <w:rPr>
          <w:rFonts w:ascii="Arial" w:cs="Arial" w:eastAsia="Arial" w:hAnsi="Arial"/>
          <w:sz w:val="20"/>
          <w:szCs w:val="20"/>
          <w:color w:val="auto"/>
        </w:rPr>
        <w:t>2</w:t>
      </w:r>
    </w:p>
    <w:p>
      <w:pPr>
        <w:spacing w:after="0" w:line="67" w:lineRule="exact"/>
        <w:rPr>
          <w:sz w:val="20"/>
          <w:szCs w:val="20"/>
          <w:color w:val="auto"/>
        </w:rPr>
      </w:pPr>
    </w:p>
    <w:p>
      <w:pPr>
        <w:ind w:left="720" w:hanging="713"/>
        <w:spacing w:after="0"/>
        <w:tabs>
          <w:tab w:leader="none" w:pos="7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148</w:t>
      </w:r>
    </w:p>
    <w:p>
      <w:pPr>
        <w:spacing w:after="0" w:line="230" w:lineRule="exact"/>
        <w:rPr>
          <w:rFonts w:ascii="Arial" w:cs="Arial" w:eastAsia="Arial" w:hAnsi="Arial"/>
          <w:sz w:val="20"/>
          <w:szCs w:val="20"/>
          <w:color w:val="auto"/>
        </w:rPr>
      </w:pPr>
    </w:p>
    <w:p>
      <w:pPr>
        <w:ind w:left="720"/>
        <w:spacing w:after="0"/>
        <w:rPr>
          <w:rFonts w:ascii="Arial" w:cs="Arial" w:eastAsia="Arial" w:hAnsi="Arial"/>
          <w:sz w:val="20"/>
          <w:szCs w:val="20"/>
          <w:color w:val="auto"/>
        </w:rPr>
      </w:pPr>
      <w:r>
        <w:rPr>
          <w:rFonts w:ascii="Arial" w:cs="Arial" w:eastAsia="Arial" w:hAnsi="Arial"/>
          <w:sz w:val="20"/>
          <w:szCs w:val="20"/>
          <w:color w:val="auto"/>
        </w:rPr>
        <w:t>594</w:t>
      </w:r>
    </w:p>
    <w:p>
      <w:pPr>
        <w:spacing w:after="0" w:line="52" w:lineRule="exact"/>
        <w:rPr>
          <w:rFonts w:ascii="Arial" w:cs="Arial" w:eastAsia="Arial" w:hAnsi="Arial"/>
          <w:sz w:val="20"/>
          <w:szCs w:val="20"/>
          <w:color w:val="auto"/>
        </w:rPr>
      </w:pPr>
    </w:p>
    <w:p>
      <w:pPr>
        <w:ind w:left="920"/>
        <w:spacing w:after="0"/>
        <w:rPr>
          <w:rFonts w:ascii="Arial" w:cs="Arial" w:eastAsia="Arial" w:hAnsi="Arial"/>
          <w:sz w:val="20"/>
          <w:szCs w:val="20"/>
          <w:color w:val="auto"/>
        </w:rPr>
      </w:pPr>
      <w:r>
        <w:rPr>
          <w:rFonts w:ascii="Arial" w:cs="Arial" w:eastAsia="Arial" w:hAnsi="Arial"/>
          <w:sz w:val="20"/>
          <w:szCs w:val="20"/>
          <w:color w:val="auto"/>
        </w:rPr>
        <w:t>3</w:t>
      </w:r>
    </w:p>
    <w:p>
      <w:pPr>
        <w:spacing w:after="0" w:line="52" w:lineRule="exact"/>
        <w:rPr>
          <w:rFonts w:ascii="Arial" w:cs="Arial" w:eastAsia="Arial" w:hAnsi="Arial"/>
          <w:sz w:val="20"/>
          <w:szCs w:val="20"/>
          <w:color w:val="auto"/>
        </w:rPr>
      </w:pPr>
    </w:p>
    <w:p>
      <w:pPr>
        <w:ind w:left="760"/>
        <w:spacing w:after="0"/>
        <w:rPr>
          <w:rFonts w:ascii="Arial" w:cs="Arial" w:eastAsia="Arial" w:hAnsi="Arial"/>
          <w:sz w:val="20"/>
          <w:szCs w:val="20"/>
          <w:color w:val="auto"/>
        </w:rPr>
      </w:pPr>
      <w:r>
        <w:rPr>
          <w:rFonts w:ascii="Arial" w:cs="Arial" w:eastAsia="Arial" w:hAnsi="Arial"/>
          <w:sz w:val="16"/>
          <w:szCs w:val="16"/>
          <w:color w:val="auto"/>
        </w:rPr>
        <w:t>(15)</w:t>
      </w:r>
    </w:p>
    <w:p>
      <w:pPr>
        <w:spacing w:after="0" w:line="113" w:lineRule="exact"/>
        <w:rPr>
          <w:sz w:val="20"/>
          <w:szCs w:val="20"/>
          <w:color w:val="auto"/>
        </w:rPr>
      </w:pPr>
    </w:p>
    <w:p>
      <w:pPr>
        <w:ind w:left="720" w:hanging="713"/>
        <w:spacing w:after="0"/>
        <w:tabs>
          <w:tab w:leader="none" w:pos="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730</w:t>
      </w:r>
    </w:p>
    <w:p>
      <w:pPr>
        <w:spacing w:after="0" w:line="200" w:lineRule="exact"/>
        <w:rPr>
          <w:sz w:val="20"/>
          <w:szCs w:val="20"/>
          <w:color w:val="auto"/>
        </w:rPr>
      </w:pPr>
    </w:p>
    <w:p>
      <w:pPr>
        <w:sectPr>
          <w:pgSz w:w="11880" w:h="15480" w:orient="portrait"/>
          <w:cols w:equalWidth="0" w:num="2">
            <w:col w:w="8900" w:space="100"/>
            <w:col w:w="1080"/>
          </w:cols>
          <w:pgMar w:left="920" w:top="746" w:right="8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56</w:t>
      </w:r>
    </w:p>
    <w:p>
      <w:pPr>
        <w:sectPr>
          <w:pgSz w:w="11880" w:h="15480" w:orient="portrait"/>
          <w:cols w:equalWidth="0" w:num="1">
            <w:col w:w="10080"/>
          </w:cols>
          <w:pgMar w:left="920" w:top="746" w:right="880" w:bottom="0" w:gutter="0" w:footer="0" w:header="0"/>
          <w:type w:val="continuous"/>
        </w:sectPr>
      </w:pPr>
    </w:p>
    <w:bookmarkStart w:id="58" w:name="page59"/>
    <w:bookmarkEnd w:id="58"/>
    <w:p>
      <w:pPr>
        <w:ind w:left="440"/>
        <w:spacing w:after="0"/>
        <w:rPr>
          <w:sz w:val="20"/>
          <w:szCs w:val="20"/>
          <w:color w:val="auto"/>
        </w:rPr>
      </w:pPr>
      <w:r>
        <w:rPr>
          <w:rFonts w:ascii="Arial" w:cs="Arial" w:eastAsia="Arial" w:hAnsi="Arial"/>
          <w:sz w:val="20"/>
          <w:szCs w:val="20"/>
          <w:b w:val="1"/>
          <w:bCs w:val="1"/>
          <w:i w:val="1"/>
          <w:iCs w:val="1"/>
          <w:color w:val="auto"/>
        </w:rPr>
        <w:t>Vivint Smart Home</w:t>
      </w:r>
      <w:r>
        <w:rPr>
          <w:rFonts w:ascii="Arial" w:cs="Arial" w:eastAsia="Arial" w:hAnsi="Arial"/>
          <w:sz w:val="25"/>
          <w:szCs w:val="25"/>
          <w:b w:val="1"/>
          <w:bCs w:val="1"/>
          <w:i w:val="1"/>
          <w:iCs w:val="1"/>
          <w:color w:val="auto"/>
          <w:vertAlign w:val="superscript"/>
        </w:rPr>
        <w:t>(a)</w:t>
      </w:r>
    </w:p>
    <w:p>
      <w:pPr>
        <w:spacing w:after="0" w:line="55" w:lineRule="exact"/>
        <w:rPr>
          <w:sz w:val="20"/>
          <w:szCs w:val="20"/>
          <w:color w:val="auto"/>
        </w:rPr>
      </w:pPr>
    </w:p>
    <w:tbl>
      <w:tblPr>
        <w:tblLayout w:type="fixed"/>
        <w:tblInd w:w="60" w:type="dxa"/>
        <w:tblCellMar>
          <w:top w:w="0" w:type="dxa"/>
          <w:left w:w="0" w:type="dxa"/>
          <w:bottom w:w="0" w:type="dxa"/>
          <w:right w:w="0" w:type="dxa"/>
        </w:tblCellMar>
      </w:tblPr>
      <w:tr>
        <w:trPr>
          <w:trHeight w:val="224"/>
        </w:trPr>
        <w:tc>
          <w:tcPr>
            <w:tcW w:w="8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b w:val="1"/>
                <w:bCs w:val="1"/>
                <w:color w:val="auto"/>
                <w:w w:val="91"/>
              </w:rPr>
              <w:t>(In millions)</w:t>
            </w:r>
          </w:p>
        </w:tc>
        <w:tc>
          <w:tcPr>
            <w:tcW w:w="0" w:type="dxa"/>
            <w:vAlign w:val="bottom"/>
          </w:tcPr>
          <w:p>
            <w:pPr>
              <w:spacing w:after="0"/>
              <w:rPr>
                <w:sz w:val="1"/>
                <w:szCs w:val="1"/>
                <w:color w:val="auto"/>
              </w:rPr>
            </w:pPr>
          </w:p>
        </w:tc>
      </w:tr>
      <w:tr>
        <w:trPr>
          <w:trHeight w:val="275"/>
        </w:trPr>
        <w:tc>
          <w:tcPr>
            <w:tcW w:w="8860" w:type="dxa"/>
            <w:vAlign w:val="bottom"/>
          </w:tcPr>
          <w:p>
            <w:pPr>
              <w:jc w:val="right"/>
              <w:spacing w:after="0"/>
              <w:rPr>
                <w:sz w:val="20"/>
                <w:szCs w:val="20"/>
                <w:color w:val="auto"/>
              </w:rPr>
            </w:pPr>
            <w:r>
              <w:rPr>
                <w:rFonts w:ascii="Arial" w:cs="Arial" w:eastAsia="Arial" w:hAnsi="Arial"/>
                <w:sz w:val="20"/>
                <w:szCs w:val="20"/>
                <w:color w:val="auto"/>
                <w:w w:val="89"/>
              </w:rPr>
              <w:t xml:space="preserve">Increase due to the acquisition of Vivint Smart Home </w:t>
            </w:r>
            <w:r>
              <w:rPr>
                <w:rFonts w:ascii="Arial" w:cs="Arial" w:eastAsia="Arial" w:hAnsi="Arial"/>
                <w:sz w:val="20"/>
                <w:szCs w:val="20"/>
                <w:color w:val="B4B4B4"/>
                <w:w w:val="89"/>
              </w:rPr>
              <w:t>. . . . . . . . . . . . . . . . . . . . . . . . . . . . . . . . . . . . . . . . . . . . . .</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289</w:t>
            </w:r>
          </w:p>
        </w:tc>
        <w:tc>
          <w:tcPr>
            <w:tcW w:w="0" w:type="dxa"/>
            <w:vAlign w:val="bottom"/>
          </w:tcPr>
          <w:p>
            <w:pPr>
              <w:spacing w:after="0"/>
              <w:rPr>
                <w:sz w:val="1"/>
                <w:szCs w:val="1"/>
                <w:color w:val="auto"/>
              </w:rPr>
            </w:pPr>
          </w:p>
        </w:tc>
      </w:tr>
      <w:tr>
        <w:trPr>
          <w:trHeight w:val="232"/>
        </w:trPr>
        <w:tc>
          <w:tcPr>
            <w:tcW w:w="8860" w:type="dxa"/>
            <w:vAlign w:val="bottom"/>
          </w:tcPr>
          <w:p>
            <w:pPr>
              <w:jc w:val="right"/>
              <w:ind w:right="641"/>
              <w:spacing w:after="0"/>
              <w:rPr>
                <w:sz w:val="20"/>
                <w:szCs w:val="20"/>
                <w:color w:val="auto"/>
              </w:rPr>
            </w:pPr>
            <w:r>
              <w:rPr>
                <w:rFonts w:ascii="Arial" w:cs="Arial" w:eastAsia="Arial" w:hAnsi="Arial"/>
                <w:sz w:val="20"/>
                <w:szCs w:val="20"/>
                <w:color w:val="auto"/>
                <w:w w:val="90"/>
              </w:rPr>
              <w:t>Higher gross margin driven by growth in subscribers, or $77 million, higher revenue rates of $1.55 per</w:t>
            </w:r>
          </w:p>
        </w:tc>
        <w:tc>
          <w:tcPr>
            <w:tcW w:w="14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r>
        <w:trPr>
          <w:trHeight w:val="258"/>
        </w:trPr>
        <w:tc>
          <w:tcPr>
            <w:tcW w:w="8860" w:type="dxa"/>
            <w:vAlign w:val="bottom"/>
          </w:tcPr>
          <w:p>
            <w:pPr>
              <w:jc w:val="right"/>
              <w:spacing w:after="0"/>
              <w:rPr>
                <w:sz w:val="20"/>
                <w:szCs w:val="20"/>
                <w:color w:val="auto"/>
              </w:rPr>
            </w:pPr>
            <w:r>
              <w:rPr>
                <w:rFonts w:ascii="Arial" w:cs="Arial" w:eastAsia="Arial" w:hAnsi="Arial"/>
                <w:sz w:val="20"/>
                <w:szCs w:val="20"/>
                <w:color w:val="auto"/>
                <w:w w:val="93"/>
              </w:rPr>
              <w:t xml:space="preserve">subscriber or $33 million, partially offset by lower non-recurring sales revenue of $37 million  </w:t>
            </w:r>
            <w:r>
              <w:rPr>
                <w:rFonts w:ascii="Arial" w:cs="Arial" w:eastAsia="Arial" w:hAnsi="Arial"/>
                <w:sz w:val="20"/>
                <w:szCs w:val="20"/>
                <w:color w:val="B4B4B4"/>
                <w:w w:val="93"/>
              </w:rPr>
              <w:t>. . . . . . . . . . .</w:t>
            </w:r>
          </w:p>
        </w:tc>
        <w:tc>
          <w:tcPr>
            <w:tcW w:w="14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860" w:type="dxa"/>
            <w:vAlign w:val="bottom"/>
          </w:tcPr>
          <w:p>
            <w:pPr>
              <w:jc w:val="right"/>
              <w:spacing w:after="0"/>
              <w:rPr>
                <w:sz w:val="20"/>
                <w:szCs w:val="20"/>
                <w:color w:val="auto"/>
              </w:rPr>
            </w:pPr>
            <w:r>
              <w:rPr>
                <w:rFonts w:ascii="Arial" w:cs="Arial" w:eastAsia="Arial" w:hAnsi="Arial"/>
                <w:sz w:val="20"/>
                <w:szCs w:val="20"/>
                <w:color w:val="auto"/>
                <w:w w:val="89"/>
              </w:rPr>
              <w:t xml:space="preserve">Lower gross margin due to recognition of fees associated with licensing products and services </w:t>
            </w:r>
            <w:r>
              <w:rPr>
                <w:rFonts w:ascii="Arial" w:cs="Arial" w:eastAsia="Arial" w:hAnsi="Arial"/>
                <w:sz w:val="20"/>
                <w:szCs w:val="20"/>
                <w:color w:val="B4B4B4"/>
                <w:w w:val="89"/>
              </w:rPr>
              <w:t>. . . . . . . . . . . . .</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99"/>
        </w:trPr>
        <w:tc>
          <w:tcPr>
            <w:tcW w:w="8860" w:type="dxa"/>
            <w:vAlign w:val="bottom"/>
          </w:tcPr>
          <w:p>
            <w:pPr>
              <w:jc w:val="right"/>
              <w:spacing w:after="0"/>
              <w:rPr>
                <w:sz w:val="20"/>
                <w:szCs w:val="20"/>
                <w:color w:val="auto"/>
              </w:rPr>
            </w:pPr>
            <w:r>
              <w:rPr>
                <w:rFonts w:ascii="Arial" w:cs="Arial" w:eastAsia="Arial" w:hAnsi="Arial"/>
                <w:sz w:val="20"/>
                <w:szCs w:val="20"/>
                <w:color w:val="auto"/>
                <w:w w:val="89"/>
              </w:rPr>
              <w:t xml:space="preserve">Other </w:t>
            </w:r>
            <w:r>
              <w:rPr>
                <w:rFonts w:ascii="Arial" w:cs="Arial" w:eastAsia="Arial" w:hAnsi="Arial"/>
                <w:sz w:val="20"/>
                <w:szCs w:val="20"/>
                <w:color w:val="B4B4B4"/>
                <w:w w:val="89"/>
              </w:rPr>
              <w:t>. . . . . . . . . . . . . . . . . . . . . . . . . . . . . . . . . . . . . . . . . . . . . . . . . . . . . . . . . . . . . . . . . . . . . . . . . . . . . . . . . . . .</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77"/>
        </w:trPr>
        <w:tc>
          <w:tcPr>
            <w:tcW w:w="8860" w:type="dxa"/>
            <w:vAlign w:val="bottom"/>
          </w:tcPr>
          <w:p>
            <w:pPr>
              <w:jc w:val="right"/>
              <w:spacing w:after="0"/>
              <w:rPr>
                <w:sz w:val="20"/>
                <w:szCs w:val="20"/>
                <w:color w:val="auto"/>
              </w:rPr>
            </w:pPr>
            <w:r>
              <w:rPr>
                <w:rFonts w:ascii="Arial" w:cs="Arial" w:eastAsia="Arial" w:hAnsi="Arial"/>
                <w:sz w:val="20"/>
                <w:szCs w:val="20"/>
                <w:b w:val="1"/>
                <w:bCs w:val="1"/>
                <w:color w:val="auto"/>
                <w:w w:val="90"/>
              </w:rPr>
              <w:t xml:space="preserve">Increase in economic gross margin </w:t>
            </w:r>
            <w:r>
              <w:rPr>
                <w:rFonts w:ascii="Arial" w:cs="Arial" w:eastAsia="Arial" w:hAnsi="Arial"/>
                <w:sz w:val="20"/>
                <w:szCs w:val="20"/>
                <w:b w:val="1"/>
                <w:bCs w:val="1"/>
                <w:color w:val="B4B4B4"/>
                <w:w w:val="90"/>
              </w:rPr>
              <w:t>. . . . . . . . . . . . . . . . . . . . . . . . . . . . . . . . . . . . . . . . . . . . . . . . . . . . . . . .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355</w:t>
            </w:r>
          </w:p>
        </w:tc>
        <w:tc>
          <w:tcPr>
            <w:tcW w:w="0" w:type="dxa"/>
            <w:vAlign w:val="bottom"/>
          </w:tcPr>
          <w:p>
            <w:pPr>
              <w:spacing w:after="0"/>
              <w:rPr>
                <w:sz w:val="1"/>
                <w:szCs w:val="1"/>
                <w:color w:val="auto"/>
              </w:rPr>
            </w:pPr>
          </w:p>
        </w:tc>
      </w:tr>
      <w:tr>
        <w:trPr>
          <w:trHeight w:val="277"/>
        </w:trPr>
        <w:tc>
          <w:tcPr>
            <w:tcW w:w="8860" w:type="dxa"/>
            <w:vAlign w:val="bottom"/>
          </w:tcPr>
          <w:p>
            <w:pPr>
              <w:jc w:val="right"/>
              <w:spacing w:after="0"/>
              <w:rPr>
                <w:sz w:val="20"/>
                <w:szCs w:val="20"/>
                <w:color w:val="auto"/>
              </w:rPr>
            </w:pPr>
            <w:r>
              <w:rPr>
                <w:rFonts w:ascii="Arial" w:cs="Arial" w:eastAsia="Arial" w:hAnsi="Arial"/>
                <w:sz w:val="20"/>
                <w:szCs w:val="20"/>
                <w:color w:val="auto"/>
                <w:w w:val="89"/>
              </w:rPr>
              <w:t xml:space="preserve">Increase in depreciation and amortization  </w:t>
            </w:r>
            <w:r>
              <w:rPr>
                <w:rFonts w:ascii="Arial" w:cs="Arial" w:eastAsia="Arial" w:hAnsi="Arial"/>
                <w:sz w:val="20"/>
                <w:szCs w:val="20"/>
                <w:color w:val="B4B4B4"/>
                <w:w w:val="89"/>
              </w:rPr>
              <w:t>. . . . . . . . . . . . . . . . . . . . . . . . . . . . . . . . . . . . . . . . . . . . . . . . . . . . . . .</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w:t>
            </w:r>
          </w:p>
        </w:tc>
        <w:tc>
          <w:tcPr>
            <w:tcW w:w="0" w:type="dxa"/>
            <w:vAlign w:val="bottom"/>
          </w:tcPr>
          <w:p>
            <w:pPr>
              <w:spacing w:after="0"/>
              <w:rPr>
                <w:sz w:val="1"/>
                <w:szCs w:val="1"/>
                <w:color w:val="auto"/>
              </w:rPr>
            </w:pPr>
          </w:p>
        </w:tc>
      </w:tr>
      <w:tr>
        <w:trPr>
          <w:trHeight w:val="242"/>
        </w:trPr>
        <w:tc>
          <w:tcPr>
            <w:tcW w:w="8860" w:type="dxa"/>
            <w:vAlign w:val="bottom"/>
          </w:tcPr>
          <w:p>
            <w:pPr>
              <w:jc w:val="right"/>
              <w:spacing w:after="0"/>
              <w:rPr>
                <w:sz w:val="20"/>
                <w:szCs w:val="20"/>
                <w:color w:val="auto"/>
              </w:rPr>
            </w:pPr>
            <w:r>
              <w:rPr>
                <w:rFonts w:ascii="Arial" w:cs="Arial" w:eastAsia="Arial" w:hAnsi="Arial"/>
                <w:sz w:val="20"/>
                <w:szCs w:val="20"/>
                <w:b w:val="1"/>
                <w:bCs w:val="1"/>
                <w:color w:val="B4B4B4"/>
                <w:w w:val="92"/>
              </w:rPr>
              <w:t>. . . . . . . . . . . . . . . . . . . . . . . . . . . . . . . . . . . . . . . . . . . . . . . . . . . . . . . . . . . . . . . . . .</w:t>
            </w:r>
            <w:r>
              <w:rPr>
                <w:rFonts w:ascii="Arial" w:cs="Arial" w:eastAsia="Arial" w:hAnsi="Arial"/>
                <w:sz w:val="20"/>
                <w:szCs w:val="20"/>
                <w:b w:val="1"/>
                <w:bCs w:val="1"/>
                <w:color w:val="000000"/>
                <w:w w:val="92"/>
              </w:rPr>
              <w:t>Increaseingrossmargin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233</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-1464310</wp:posOffset>
            </wp:positionV>
            <wp:extent cx="6475095" cy="14712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a:extLst>
                        <a:ext uri="{28A0092B-C50C-407E-A947-70E740481C1C}"/>
                      </a:extLst>
                    </a:blip>
                    <a:srcRect/>
                    <a:stretch>
                      <a:fillRect/>
                    </a:stretch>
                  </pic:blipFill>
                  <pic:spPr bwMode="auto">
                    <a:xfrm>
                      <a:off x="0" y="0"/>
                      <a:ext cx="6475095" cy="1471295"/>
                    </a:xfrm>
                    <a:prstGeom prst="rect">
                      <a:avLst/>
                    </a:prstGeom>
                    <a:noFill/>
                  </pic:spPr>
                </pic:pic>
              </a:graphicData>
            </a:graphic>
          </wp:anchor>
        </w:drawing>
      </w: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results of operations following the acquisition date of March 10, 2023</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Mark-to-market for Economic Hedging Activities</w:t>
      </w:r>
    </w:p>
    <w:p>
      <w:pPr>
        <w:spacing w:after="0" w:line="13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Mark-to-market for economic hedging activities includes asset-backed hedges that have not been designated as cash flow hedges. Total net mark-to-market results increased by $3.1 billion during the year ended December 31, 2024, compared to the same period in 2023.</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breakdown of gains and losses included in revenues and operating costs and expenses by segment is as follows:</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61"/>
              <w:spacing w:after="0"/>
              <w:rPr>
                <w:sz w:val="20"/>
                <w:szCs w:val="20"/>
                <w:color w:val="auto"/>
              </w:rPr>
            </w:pPr>
            <w:r>
              <w:rPr>
                <w:rFonts w:ascii="Arial" w:cs="Arial" w:eastAsia="Arial" w:hAnsi="Arial"/>
                <w:sz w:val="16"/>
                <w:szCs w:val="16"/>
                <w:b w:val="1"/>
                <w:bCs w:val="1"/>
                <w:color w:val="auto"/>
              </w:rPr>
              <w:t>Year Ended December 31, 2024</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right="86"/>
              <w:spacing w:after="0"/>
              <w:rPr>
                <w:sz w:val="20"/>
                <w:szCs w:val="20"/>
                <w:color w:val="auto"/>
              </w:rPr>
            </w:pPr>
            <w:r>
              <w:rPr>
                <w:rFonts w:ascii="Arial" w:cs="Arial" w:eastAsia="Arial" w:hAnsi="Arial"/>
                <w:sz w:val="16"/>
                <w:szCs w:val="16"/>
                <w:b w:val="1"/>
                <w:bCs w:val="1"/>
                <w:color w:val="auto"/>
                <w:w w:val="93"/>
              </w:rPr>
              <w:t>West/</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68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3"/>
                <w:szCs w:val="13"/>
                <w:color w:val="auto"/>
              </w:rPr>
            </w:pPr>
          </w:p>
        </w:tc>
        <w:tc>
          <w:tcPr>
            <w:tcW w:w="780" w:type="dxa"/>
            <w:vAlign w:val="bottom"/>
            <w:vMerge w:val="restart"/>
          </w:tcPr>
          <w:p>
            <w:pPr>
              <w:jc w:val="right"/>
              <w:ind w:right="203"/>
              <w:spacing w:after="0"/>
              <w:rPr>
                <w:sz w:val="20"/>
                <w:szCs w:val="20"/>
                <w:color w:val="auto"/>
              </w:rPr>
            </w:pPr>
            <w:r>
              <w:rPr>
                <w:rFonts w:ascii="Arial" w:cs="Arial" w:eastAsia="Arial" w:hAnsi="Arial"/>
                <w:sz w:val="16"/>
                <w:szCs w:val="16"/>
                <w:b w:val="1"/>
                <w:bCs w:val="1"/>
                <w:color w:val="auto"/>
              </w:rPr>
              <w:t>Texas</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vMerge w:val="restart"/>
          </w:tcPr>
          <w:p>
            <w:pPr>
              <w:jc w:val="right"/>
              <w:ind w:right="245"/>
              <w:spacing w:after="0"/>
              <w:rPr>
                <w:sz w:val="20"/>
                <w:szCs w:val="20"/>
                <w:color w:val="auto"/>
              </w:rPr>
            </w:pPr>
            <w:r>
              <w:rPr>
                <w:rFonts w:ascii="Arial" w:cs="Arial" w:eastAsia="Arial" w:hAnsi="Arial"/>
                <w:sz w:val="16"/>
                <w:szCs w:val="16"/>
                <w:b w:val="1"/>
                <w:bCs w:val="1"/>
                <w:color w:val="auto"/>
              </w:rPr>
              <w:t>East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86"/>
              <w:spacing w:after="0" w:line="158" w:lineRule="exact"/>
              <w:rPr>
                <w:sz w:val="20"/>
                <w:szCs w:val="20"/>
                <w:color w:val="auto"/>
              </w:rPr>
            </w:pPr>
            <w:r>
              <w:rPr>
                <w:rFonts w:ascii="Arial" w:cs="Arial" w:eastAsia="Arial" w:hAnsi="Arial"/>
                <w:sz w:val="16"/>
                <w:szCs w:val="16"/>
                <w:b w:val="1"/>
                <w:bCs w:val="1"/>
                <w:color w:val="auto"/>
                <w:w w:val="85"/>
              </w:rPr>
              <w:t>Services/</w:t>
            </w:r>
          </w:p>
        </w:tc>
        <w:tc>
          <w:tcPr>
            <w:tcW w:w="80" w:type="dxa"/>
            <w:vAlign w:val="bottom"/>
          </w:tcPr>
          <w:p>
            <w:pPr>
              <w:spacing w:after="0"/>
              <w:rPr>
                <w:sz w:val="13"/>
                <w:szCs w:val="13"/>
                <w:color w:val="auto"/>
              </w:rPr>
            </w:pPr>
          </w:p>
        </w:tc>
        <w:tc>
          <w:tcPr>
            <w:tcW w:w="1080" w:type="dxa"/>
            <w:vAlign w:val="bottom"/>
            <w:gridSpan w:val="2"/>
            <w:vMerge w:val="restart"/>
          </w:tcPr>
          <w:p>
            <w:pPr>
              <w:jc w:val="right"/>
              <w:ind w:right="1"/>
              <w:spacing w:after="0"/>
              <w:rPr>
                <w:sz w:val="20"/>
                <w:szCs w:val="20"/>
                <w:color w:val="auto"/>
              </w:rPr>
            </w:pPr>
            <w:r>
              <w:rPr>
                <w:rFonts w:ascii="Arial" w:cs="Arial" w:eastAsia="Arial" w:hAnsi="Arial"/>
                <w:sz w:val="16"/>
                <w:szCs w:val="16"/>
                <w:b w:val="1"/>
                <w:bCs w:val="1"/>
                <w:color w:val="auto"/>
              </w:rPr>
              <w:t>Eliminations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ind w:right="22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468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86"/>
              <w:spacing w:after="0"/>
              <w:rPr>
                <w:sz w:val="20"/>
                <w:szCs w:val="20"/>
                <w:color w:val="auto"/>
              </w:rPr>
            </w:pPr>
            <w:r>
              <w:rPr>
                <w:rFonts w:ascii="Arial" w:cs="Arial" w:eastAsia="Arial" w:hAnsi="Arial"/>
                <w:sz w:val="16"/>
                <w:szCs w:val="16"/>
                <w:b w:val="1"/>
                <w:bCs w:val="1"/>
                <w:color w:val="auto"/>
                <w:w w:val="93"/>
              </w:rPr>
              <w:t>Other</w:t>
            </w:r>
          </w:p>
        </w:tc>
        <w:tc>
          <w:tcPr>
            <w:tcW w:w="80" w:type="dxa"/>
            <w:vAlign w:val="bottom"/>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680" w:type="dxa"/>
            <w:vAlign w:val="bottom"/>
          </w:tcPr>
          <w:p>
            <w:pPr>
              <w:spacing w:after="0"/>
              <w:rPr>
                <w:sz w:val="20"/>
                <w:szCs w:val="20"/>
                <w:color w:val="auto"/>
              </w:rPr>
            </w:pPr>
            <w:r>
              <w:rPr>
                <w:rFonts w:ascii="Arial" w:cs="Arial" w:eastAsia="Arial" w:hAnsi="Arial"/>
                <w:sz w:val="20"/>
                <w:szCs w:val="20"/>
                <w:b w:val="1"/>
                <w:bCs w:val="1"/>
                <w:color w:val="auto"/>
              </w:rPr>
              <w:t>Mark-to-market results in revenues</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4680" w:type="dxa"/>
            <w:vAlign w:val="bottom"/>
          </w:tcPr>
          <w:p>
            <w:pPr>
              <w:spacing w:after="0"/>
              <w:rPr>
                <w:sz w:val="20"/>
                <w:szCs w:val="20"/>
                <w:color w:val="auto"/>
              </w:rPr>
            </w:pPr>
            <w:r>
              <w:rPr>
                <w:rFonts w:ascii="Arial" w:cs="Arial" w:eastAsia="Arial" w:hAnsi="Arial"/>
                <w:sz w:val="20"/>
                <w:szCs w:val="20"/>
                <w:color w:val="auto"/>
                <w:w w:val="94"/>
              </w:rPr>
              <w:t>Reversal of previously recognized unrealized (gains) on</w:t>
            </w: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(33)</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760" w:type="dxa"/>
            <w:vAlign w:val="bottom"/>
            <w:gridSpan w:val="2"/>
            <w:vMerge w:val="restart"/>
          </w:tcPr>
          <w:p>
            <w:pPr>
              <w:jc w:val="right"/>
              <w:ind w:right="441"/>
              <w:spacing w:after="0"/>
              <w:rPr>
                <w:sz w:val="20"/>
                <w:szCs w:val="20"/>
                <w:color w:val="auto"/>
              </w:rPr>
            </w:pPr>
            <w:r>
              <w:rPr>
                <w:rFonts w:ascii="Arial" w:cs="Arial" w:eastAsia="Arial" w:hAnsi="Arial"/>
                <w:sz w:val="20"/>
                <w:szCs w:val="20"/>
                <w:color w:val="auto"/>
              </w:rPr>
              <w:t>$</w:t>
            </w:r>
          </w:p>
        </w:tc>
        <w:tc>
          <w:tcPr>
            <w:tcW w:w="400" w:type="dxa"/>
            <w:vAlign w:val="bottom"/>
            <w:vMerge w:val="restart"/>
          </w:tcPr>
          <w:p>
            <w:pPr>
              <w:jc w:val="right"/>
              <w:spacing w:after="0"/>
              <w:rPr>
                <w:sz w:val="20"/>
                <w:szCs w:val="20"/>
                <w:color w:val="auto"/>
              </w:rPr>
            </w:pPr>
            <w:r>
              <w:rPr>
                <w:rFonts w:ascii="Arial" w:cs="Arial" w:eastAsia="Arial" w:hAnsi="Arial"/>
                <w:sz w:val="20"/>
                <w:szCs w:val="20"/>
                <w:color w:val="auto"/>
              </w:rPr>
              <w:t>4</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58"/>
        </w:trPr>
        <w:tc>
          <w:tcPr>
            <w:tcW w:w="4680" w:type="dxa"/>
            <w:vAlign w:val="bottom"/>
          </w:tcPr>
          <w:p>
            <w:pPr>
              <w:ind w:left="180"/>
              <w:spacing w:after="0"/>
              <w:rPr>
                <w:sz w:val="20"/>
                <w:szCs w:val="20"/>
                <w:color w:val="auto"/>
              </w:rPr>
            </w:pPr>
            <w:r>
              <w:rPr>
                <w:rFonts w:ascii="Arial" w:cs="Arial" w:eastAsia="Arial" w:hAnsi="Arial"/>
                <w:sz w:val="20"/>
                <w:szCs w:val="20"/>
                <w:color w:val="auto"/>
                <w:w w:val="90"/>
              </w:rPr>
              <w:t xml:space="preserve">settled positions related to economic hedges </w:t>
            </w:r>
            <w:r>
              <w:rPr>
                <w:rFonts w:ascii="Arial" w:cs="Arial" w:eastAsia="Arial" w:hAnsi="Arial"/>
                <w:sz w:val="20"/>
                <w:szCs w:val="20"/>
                <w:color w:val="B4B4B4"/>
                <w:w w:val="90"/>
              </w:rPr>
              <w:t>. . . . . . . . .</w:t>
            </w:r>
          </w:p>
        </w:tc>
        <w:tc>
          <w:tcPr>
            <w:tcW w:w="22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760" w:type="dxa"/>
            <w:vAlign w:val="bottom"/>
            <w:gridSpan w:val="2"/>
            <w:vMerge w:val="continue"/>
          </w:tcPr>
          <w:p>
            <w:pPr>
              <w:spacing w:after="0"/>
              <w:rPr>
                <w:sz w:val="22"/>
                <w:szCs w:val="22"/>
                <w:color w:val="auto"/>
              </w:rPr>
            </w:pPr>
          </w:p>
        </w:tc>
        <w:tc>
          <w:tcPr>
            <w:tcW w:w="40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680" w:type="dxa"/>
            <w:vAlign w:val="bottom"/>
          </w:tcPr>
          <w:p>
            <w:pPr>
              <w:spacing w:after="0"/>
              <w:rPr>
                <w:sz w:val="20"/>
                <w:szCs w:val="20"/>
                <w:color w:val="auto"/>
              </w:rPr>
            </w:pPr>
            <w:r>
              <w:rPr>
                <w:rFonts w:ascii="Arial" w:cs="Arial" w:eastAsia="Arial" w:hAnsi="Arial"/>
                <w:sz w:val="20"/>
                <w:szCs w:val="20"/>
                <w:color w:val="auto"/>
                <w:w w:val="92"/>
              </w:rPr>
              <w:t>Reversal of acquired (gain) positions related to economic</w:t>
            </w:r>
          </w:p>
        </w:tc>
        <w:tc>
          <w:tcPr>
            <w:tcW w:w="22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8"/>
        </w:trPr>
        <w:tc>
          <w:tcPr>
            <w:tcW w:w="4680" w:type="dxa"/>
            <w:vAlign w:val="bottom"/>
          </w:tcPr>
          <w:p>
            <w:pPr>
              <w:ind w:left="180"/>
              <w:spacing w:after="0"/>
              <w:rPr>
                <w:sz w:val="20"/>
                <w:szCs w:val="20"/>
                <w:color w:val="auto"/>
              </w:rPr>
            </w:pPr>
            <w:r>
              <w:rPr>
                <w:rFonts w:ascii="Arial" w:cs="Arial" w:eastAsia="Arial" w:hAnsi="Arial"/>
                <w:sz w:val="20"/>
                <w:szCs w:val="20"/>
                <w:color w:val="auto"/>
                <w:w w:val="89"/>
              </w:rPr>
              <w:t xml:space="preserve">hedges </w:t>
            </w:r>
            <w:r>
              <w:rPr>
                <w:rFonts w:ascii="Arial" w:cs="Arial" w:eastAsia="Arial" w:hAnsi="Arial"/>
                <w:sz w:val="20"/>
                <w:szCs w:val="20"/>
                <w:color w:val="B4B4B4"/>
                <w:w w:val="89"/>
              </w:rPr>
              <w:t>. . . . . . . . . . . . . . . . . . . . . . . . . . . . . . . . . . . . . . .</w:t>
            </w:r>
          </w:p>
        </w:tc>
        <w:tc>
          <w:tcPr>
            <w:tcW w:w="22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680" w:type="dxa"/>
            <w:vAlign w:val="bottom"/>
          </w:tcPr>
          <w:p>
            <w:pPr>
              <w:spacing w:after="0"/>
              <w:rPr>
                <w:sz w:val="20"/>
                <w:szCs w:val="20"/>
                <w:color w:val="auto"/>
              </w:rPr>
            </w:pPr>
            <w:r>
              <w:rPr>
                <w:rFonts w:ascii="Arial" w:cs="Arial" w:eastAsia="Arial" w:hAnsi="Arial"/>
                <w:sz w:val="20"/>
                <w:szCs w:val="20"/>
                <w:color w:val="auto"/>
              </w:rPr>
              <w:t>Net unrealized gains on open positions related to</w:t>
            </w:r>
          </w:p>
        </w:tc>
        <w:tc>
          <w:tcPr>
            <w:tcW w:w="22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17</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60"/>
        </w:trPr>
        <w:tc>
          <w:tcPr>
            <w:tcW w:w="4680" w:type="dxa"/>
            <w:vAlign w:val="bottom"/>
          </w:tcPr>
          <w:p>
            <w:pPr>
              <w:ind w:left="180"/>
              <w:spacing w:after="0"/>
              <w:rPr>
                <w:sz w:val="20"/>
                <w:szCs w:val="20"/>
                <w:color w:val="auto"/>
              </w:rPr>
            </w:pPr>
            <w:r>
              <w:rPr>
                <w:rFonts w:ascii="Arial" w:cs="Arial" w:eastAsia="Arial" w:hAnsi="Arial"/>
                <w:sz w:val="20"/>
                <w:szCs w:val="20"/>
                <w:color w:val="auto"/>
                <w:w w:val="89"/>
              </w:rPr>
              <w:t xml:space="preserve">economic hedges </w:t>
            </w:r>
            <w:r>
              <w:rPr>
                <w:rFonts w:ascii="Arial" w:cs="Arial" w:eastAsia="Arial" w:hAnsi="Arial"/>
                <w:sz w:val="20"/>
                <w:szCs w:val="20"/>
                <w:color w:val="B4B4B4"/>
                <w:w w:val="89"/>
              </w:rPr>
              <w:t>. . . . . . . . . . . . . . . . . . . . . . . . . . . . . . .</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0"/>
                <w:szCs w:val="20"/>
                <w:color w:val="auto"/>
              </w:rPr>
            </w:pPr>
            <w:r>
              <w:rPr>
                <w:rFonts w:ascii="Arial" w:cs="Arial" w:eastAsia="Arial" w:hAnsi="Arial"/>
                <w:sz w:val="20"/>
                <w:szCs w:val="20"/>
                <w:b w:val="1"/>
                <w:bCs w:val="1"/>
                <w:color w:val="auto"/>
                <w:w w:val="89"/>
              </w:rPr>
              <w:t xml:space="preserve">Total mark-to-market (losses)/gains in revenues </w:t>
            </w:r>
            <w:r>
              <w:rPr>
                <w:rFonts w:ascii="Arial" w:cs="Arial" w:eastAsia="Arial" w:hAnsi="Arial"/>
                <w:sz w:val="20"/>
                <w:szCs w:val="20"/>
                <w:b w:val="1"/>
                <w:bCs w:val="1"/>
                <w:color w:val="B4B4B4"/>
                <w:w w:val="89"/>
              </w:rPr>
              <w:t>.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(23)</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16</w:t>
            </w:r>
          </w:p>
        </w:tc>
        <w:tc>
          <w:tcPr>
            <w:tcW w:w="760" w:type="dxa"/>
            <w:vAlign w:val="bottom"/>
            <w:gridSpan w:val="2"/>
          </w:tcPr>
          <w:p>
            <w:pPr>
              <w:jc w:val="right"/>
              <w:ind w:right="441"/>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4</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20"/>
                <w:szCs w:val="20"/>
                <w:b w:val="1"/>
                <w:bCs w:val="1"/>
                <w:color w:val="auto"/>
              </w:rPr>
              <w:t>Mark-to-market results in operating costs and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680" w:type="dxa"/>
            <w:vAlign w:val="bottom"/>
          </w:tcPr>
          <w:p>
            <w:pPr>
              <w:ind w:left="180"/>
              <w:spacing w:after="0"/>
              <w:rPr>
                <w:sz w:val="20"/>
                <w:szCs w:val="20"/>
                <w:color w:val="auto"/>
              </w:rPr>
            </w:pPr>
            <w:r>
              <w:rPr>
                <w:rFonts w:ascii="Arial" w:cs="Arial" w:eastAsia="Arial" w:hAnsi="Arial"/>
                <w:sz w:val="20"/>
                <w:szCs w:val="20"/>
                <w:b w:val="1"/>
                <w:bCs w:val="1"/>
                <w:color w:val="auto"/>
              </w:rPr>
              <w:t>expenses</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680" w:type="dxa"/>
            <w:vAlign w:val="bottom"/>
          </w:tcPr>
          <w:p>
            <w:pPr>
              <w:spacing w:after="0" w:line="228" w:lineRule="exact"/>
              <w:rPr>
                <w:sz w:val="20"/>
                <w:szCs w:val="20"/>
                <w:color w:val="auto"/>
              </w:rPr>
            </w:pPr>
            <w:r>
              <w:rPr>
                <w:rFonts w:ascii="Arial" w:cs="Arial" w:eastAsia="Arial" w:hAnsi="Arial"/>
                <w:sz w:val="20"/>
                <w:szCs w:val="20"/>
                <w:color w:val="auto"/>
                <w:w w:val="99"/>
              </w:rPr>
              <w:t>Reversal of previously recognized unrealized (gains)/</w:t>
            </w: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(663)</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740</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63</w:t>
            </w:r>
          </w:p>
        </w:tc>
        <w:tc>
          <w:tcPr>
            <w:tcW w:w="760" w:type="dxa"/>
            <w:vAlign w:val="bottom"/>
            <w:gridSpan w:val="2"/>
            <w:vMerge w:val="restart"/>
          </w:tcPr>
          <w:p>
            <w:pPr>
              <w:jc w:val="right"/>
              <w:ind w:right="441"/>
              <w:spacing w:after="0"/>
              <w:rPr>
                <w:sz w:val="20"/>
                <w:szCs w:val="20"/>
                <w:color w:val="auto"/>
              </w:rPr>
            </w:pPr>
            <w:r>
              <w:rPr>
                <w:rFonts w:ascii="Arial" w:cs="Arial" w:eastAsia="Arial" w:hAnsi="Arial"/>
                <w:sz w:val="20"/>
                <w:szCs w:val="20"/>
                <w:color w:val="auto"/>
              </w:rPr>
              <w:t>$</w:t>
            </w:r>
          </w:p>
        </w:tc>
        <w:tc>
          <w:tcPr>
            <w:tcW w:w="400" w:type="dxa"/>
            <w:vAlign w:val="bottom"/>
            <w:vMerge w:val="restart"/>
          </w:tcPr>
          <w:p>
            <w:pPr>
              <w:jc w:val="right"/>
              <w:spacing w:after="0"/>
              <w:rPr>
                <w:sz w:val="20"/>
                <w:szCs w:val="20"/>
                <w:color w:val="auto"/>
              </w:rPr>
            </w:pPr>
            <w:r>
              <w:rPr>
                <w:rFonts w:ascii="Arial" w:cs="Arial" w:eastAsia="Arial" w:hAnsi="Arial"/>
                <w:sz w:val="20"/>
                <w:szCs w:val="20"/>
                <w:color w:val="auto"/>
              </w:rPr>
              <w:t>(4)</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136</w:t>
            </w:r>
          </w:p>
        </w:tc>
        <w:tc>
          <w:tcPr>
            <w:tcW w:w="0" w:type="dxa"/>
            <w:vAlign w:val="bottom"/>
          </w:tcPr>
          <w:p>
            <w:pPr>
              <w:spacing w:after="0"/>
              <w:rPr>
                <w:sz w:val="1"/>
                <w:szCs w:val="1"/>
                <w:color w:val="auto"/>
              </w:rPr>
            </w:pPr>
          </w:p>
        </w:tc>
      </w:tr>
      <w:tr>
        <w:trPr>
          <w:trHeight w:val="292"/>
        </w:trPr>
        <w:tc>
          <w:tcPr>
            <w:tcW w:w="4680" w:type="dxa"/>
            <w:vAlign w:val="bottom"/>
          </w:tcPr>
          <w:p>
            <w:pPr>
              <w:ind w:left="180"/>
              <w:spacing w:after="0"/>
              <w:rPr>
                <w:sz w:val="20"/>
                <w:szCs w:val="20"/>
                <w:color w:val="auto"/>
              </w:rPr>
            </w:pPr>
            <w:r>
              <w:rPr>
                <w:rFonts w:ascii="Arial" w:cs="Arial" w:eastAsia="Arial" w:hAnsi="Arial"/>
                <w:sz w:val="20"/>
                <w:szCs w:val="20"/>
                <w:color w:val="auto"/>
                <w:w w:val="88"/>
              </w:rPr>
              <w:t>losses on settled positions related to economic hedges</w:t>
            </w:r>
            <w:r>
              <w:rPr>
                <w:rFonts w:ascii="Arial" w:cs="Arial" w:eastAsia="Arial" w:hAnsi="Arial"/>
                <w:sz w:val="25"/>
                <w:szCs w:val="25"/>
                <w:color w:val="auto"/>
                <w:w w:val="88"/>
                <w:vertAlign w:val="superscript"/>
              </w:rPr>
              <w:t>(a)</w:t>
            </w:r>
          </w:p>
        </w:tc>
        <w:tc>
          <w:tcPr>
            <w:tcW w:w="220" w:type="dxa"/>
            <w:vAlign w:val="bottom"/>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680" w:type="dxa"/>
            <w:vAlign w:val="bottom"/>
          </w:tcPr>
          <w:p>
            <w:pPr>
              <w:spacing w:after="0" w:line="199" w:lineRule="exact"/>
              <w:rPr>
                <w:sz w:val="20"/>
                <w:szCs w:val="20"/>
                <w:color w:val="auto"/>
              </w:rPr>
            </w:pPr>
            <w:r>
              <w:rPr>
                <w:rFonts w:ascii="Arial" w:cs="Arial" w:eastAsia="Arial" w:hAnsi="Arial"/>
                <w:sz w:val="20"/>
                <w:szCs w:val="20"/>
                <w:color w:val="auto"/>
              </w:rPr>
              <w:t>Reversal of acquired loss/(gain) positions related to</w:t>
            </w:r>
          </w:p>
        </w:tc>
        <w:tc>
          <w:tcPr>
            <w:tcW w:w="2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9</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58"/>
        </w:trPr>
        <w:tc>
          <w:tcPr>
            <w:tcW w:w="4680" w:type="dxa"/>
            <w:vAlign w:val="bottom"/>
          </w:tcPr>
          <w:p>
            <w:pPr>
              <w:ind w:left="180"/>
              <w:spacing w:after="0"/>
              <w:rPr>
                <w:sz w:val="20"/>
                <w:szCs w:val="20"/>
                <w:color w:val="auto"/>
              </w:rPr>
            </w:pPr>
            <w:r>
              <w:rPr>
                <w:rFonts w:ascii="Arial" w:cs="Arial" w:eastAsia="Arial" w:hAnsi="Arial"/>
                <w:sz w:val="20"/>
                <w:szCs w:val="20"/>
                <w:color w:val="auto"/>
                <w:w w:val="89"/>
              </w:rPr>
              <w:t xml:space="preserve">economic hedges </w:t>
            </w:r>
            <w:r>
              <w:rPr>
                <w:rFonts w:ascii="Arial" w:cs="Arial" w:eastAsia="Arial" w:hAnsi="Arial"/>
                <w:sz w:val="20"/>
                <w:szCs w:val="20"/>
                <w:color w:val="B4B4B4"/>
                <w:w w:val="89"/>
              </w:rPr>
              <w:t>. . . . . . . . . . . . . . . . . . . . . . . . . . . . . . .</w:t>
            </w:r>
          </w:p>
        </w:tc>
        <w:tc>
          <w:tcPr>
            <w:tcW w:w="22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680" w:type="dxa"/>
            <w:vAlign w:val="bottom"/>
          </w:tcPr>
          <w:p>
            <w:pPr>
              <w:spacing w:after="0"/>
              <w:rPr>
                <w:sz w:val="20"/>
                <w:szCs w:val="20"/>
                <w:color w:val="auto"/>
              </w:rPr>
            </w:pPr>
            <w:r>
              <w:rPr>
                <w:rFonts w:ascii="Arial" w:cs="Arial" w:eastAsia="Arial" w:hAnsi="Arial"/>
                <w:sz w:val="20"/>
                <w:szCs w:val="20"/>
                <w:color w:val="auto"/>
                <w:w w:val="91"/>
              </w:rPr>
              <w:t>Net unrealized (losses)/gains on open positions related to</w:t>
            </w:r>
          </w:p>
        </w:tc>
        <w:tc>
          <w:tcPr>
            <w:tcW w:w="22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(30)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348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(251)</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260"/>
        </w:trPr>
        <w:tc>
          <w:tcPr>
            <w:tcW w:w="4680" w:type="dxa"/>
            <w:vAlign w:val="bottom"/>
          </w:tcPr>
          <w:p>
            <w:pPr>
              <w:ind w:left="180"/>
              <w:spacing w:after="0"/>
              <w:rPr>
                <w:sz w:val="20"/>
                <w:szCs w:val="20"/>
                <w:color w:val="auto"/>
              </w:rPr>
            </w:pPr>
            <w:r>
              <w:rPr>
                <w:rFonts w:ascii="Arial" w:cs="Arial" w:eastAsia="Arial" w:hAnsi="Arial"/>
                <w:sz w:val="20"/>
                <w:szCs w:val="20"/>
                <w:color w:val="auto"/>
                <w:w w:val="89"/>
              </w:rPr>
              <w:t xml:space="preserve">economic hedges </w:t>
            </w:r>
            <w:r>
              <w:rPr>
                <w:rFonts w:ascii="Arial" w:cs="Arial" w:eastAsia="Arial" w:hAnsi="Arial"/>
                <w:sz w:val="20"/>
                <w:szCs w:val="20"/>
                <w:color w:val="B4B4B4"/>
                <w:w w:val="89"/>
              </w:rPr>
              <w:t>. . . . . . . . . . . . . . . . . . . . . . . . . . . . . . .</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line="209" w:lineRule="exact"/>
              <w:rPr>
                <w:sz w:val="20"/>
                <w:szCs w:val="20"/>
                <w:color w:val="auto"/>
              </w:rPr>
            </w:pPr>
            <w:r>
              <w:rPr>
                <w:rFonts w:ascii="Arial" w:cs="Arial" w:eastAsia="Arial" w:hAnsi="Arial"/>
                <w:sz w:val="20"/>
                <w:szCs w:val="20"/>
                <w:b w:val="1"/>
                <w:bCs w:val="1"/>
                <w:color w:val="auto"/>
                <w:w w:val="90"/>
              </w:rPr>
              <w:t>Total mark-to-market (losses)/gains in operating costs</w:t>
            </w: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(684)</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1,083</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(186)</w:t>
            </w:r>
          </w:p>
        </w:tc>
        <w:tc>
          <w:tcPr>
            <w:tcW w:w="760" w:type="dxa"/>
            <w:vAlign w:val="bottom"/>
            <w:gridSpan w:val="2"/>
            <w:vMerge w:val="restart"/>
          </w:tcPr>
          <w:p>
            <w:pPr>
              <w:jc w:val="right"/>
              <w:ind w:right="441"/>
              <w:spacing w:after="0"/>
              <w:rPr>
                <w:sz w:val="20"/>
                <w:szCs w:val="20"/>
                <w:color w:val="auto"/>
              </w:rPr>
            </w:pPr>
            <w:r>
              <w:rPr>
                <w:rFonts w:ascii="Arial" w:cs="Arial" w:eastAsia="Arial" w:hAnsi="Arial"/>
                <w:sz w:val="20"/>
                <w:szCs w:val="20"/>
                <w:color w:val="auto"/>
              </w:rPr>
              <w:t>$</w:t>
            </w:r>
          </w:p>
        </w:tc>
        <w:tc>
          <w:tcPr>
            <w:tcW w:w="400" w:type="dxa"/>
            <w:vAlign w:val="bottom"/>
            <w:vMerge w:val="restart"/>
          </w:tcPr>
          <w:p>
            <w:pPr>
              <w:jc w:val="right"/>
              <w:spacing w:after="0"/>
              <w:rPr>
                <w:sz w:val="20"/>
                <w:szCs w:val="20"/>
                <w:color w:val="auto"/>
              </w:rPr>
            </w:pPr>
            <w:r>
              <w:rPr>
                <w:rFonts w:ascii="Arial" w:cs="Arial" w:eastAsia="Arial" w:hAnsi="Arial"/>
                <w:sz w:val="20"/>
                <w:szCs w:val="20"/>
                <w:color w:val="auto"/>
              </w:rPr>
              <w:t>(4)</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209</w:t>
            </w:r>
          </w:p>
        </w:tc>
        <w:tc>
          <w:tcPr>
            <w:tcW w:w="0" w:type="dxa"/>
            <w:vAlign w:val="bottom"/>
          </w:tcPr>
          <w:p>
            <w:pPr>
              <w:spacing w:after="0"/>
              <w:rPr>
                <w:sz w:val="1"/>
                <w:szCs w:val="1"/>
                <w:color w:val="auto"/>
              </w:rPr>
            </w:pPr>
          </w:p>
        </w:tc>
      </w:tr>
      <w:tr>
        <w:trPr>
          <w:trHeight w:val="240"/>
        </w:trPr>
        <w:tc>
          <w:tcPr>
            <w:tcW w:w="4680" w:type="dxa"/>
            <w:vAlign w:val="bottom"/>
          </w:tcPr>
          <w:p>
            <w:pPr>
              <w:ind w:left="180"/>
              <w:spacing w:after="0"/>
              <w:rPr>
                <w:sz w:val="20"/>
                <w:szCs w:val="20"/>
                <w:color w:val="auto"/>
              </w:rPr>
            </w:pPr>
            <w:r>
              <w:rPr>
                <w:rFonts w:ascii="Arial" w:cs="Arial" w:eastAsia="Arial" w:hAnsi="Arial"/>
                <w:sz w:val="20"/>
                <w:szCs w:val="20"/>
                <w:b w:val="1"/>
                <w:bCs w:val="1"/>
                <w:color w:val="auto"/>
                <w:w w:val="89"/>
              </w:rPr>
              <w:t xml:space="preserve">and expenses </w:t>
            </w:r>
            <w:r>
              <w:rPr>
                <w:rFonts w:ascii="Arial" w:cs="Arial" w:eastAsia="Arial" w:hAnsi="Arial"/>
                <w:sz w:val="20"/>
                <w:szCs w:val="20"/>
                <w:b w:val="1"/>
                <w:bCs w:val="1"/>
                <w:color w:val="B4B4B4"/>
                <w:w w:val="89"/>
              </w:rPr>
              <w:t>. . . . . . . . . . . . . . . . . . . . . . . . . . . . . . . . .</w:t>
            </w:r>
          </w:p>
        </w:tc>
        <w:tc>
          <w:tcPr>
            <w:tcW w:w="22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-2897505</wp:posOffset>
            </wp:positionV>
            <wp:extent cx="6456680" cy="29044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3">
                      <a:extLst>
                        <a:ext uri="{28A0092B-C50C-407E-A947-70E740481C1C}"/>
                      </a:extLst>
                    </a:blip>
                    <a:srcRect/>
                    <a:stretch>
                      <a:fillRect/>
                    </a:stretch>
                  </pic:blipFill>
                  <pic:spPr bwMode="auto">
                    <a:xfrm>
                      <a:off x="0" y="0"/>
                      <a:ext cx="6456680" cy="2904490"/>
                    </a:xfrm>
                    <a:prstGeom prst="rect">
                      <a:avLst/>
                    </a:prstGeom>
                    <a:noFill/>
                  </pic:spPr>
                </pic:pic>
              </a:graphicData>
            </a:graphic>
          </wp:anchor>
        </w:drawing>
      </w:r>
    </w:p>
    <w:p>
      <w:pPr>
        <w:spacing w:after="0" w:line="41" w:lineRule="exact"/>
        <w:rPr>
          <w:sz w:val="20"/>
          <w:szCs w:val="20"/>
          <w:color w:val="auto"/>
        </w:rPr>
      </w:pPr>
    </w:p>
    <w:p>
      <w:pPr>
        <w:ind w:left="440" w:hanging="439"/>
        <w:spacing w:after="0" w:line="352" w:lineRule="auto"/>
        <w:tabs>
          <w:tab w:leader="none" w:pos="4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Includes $37 million, within the Texas segment, related to derivative contracts that were elected as NPNS on October 1, 2024 and are no longer valued at fair value on a recurring basis. For further discussion, see Item 15 — Note 6, </w:t>
      </w:r>
      <w:r>
        <w:rPr>
          <w:rFonts w:ascii="Arial" w:cs="Arial" w:eastAsia="Arial" w:hAnsi="Arial"/>
          <w:sz w:val="14"/>
          <w:szCs w:val="14"/>
          <w:b w:val="1"/>
          <w:bCs w:val="1"/>
          <w:i w:val="1"/>
          <w:iCs w:val="1"/>
          <w:color w:val="auto"/>
        </w:rPr>
        <w:t>Accounting for Derivative Instruments and Hedging Activities</w:t>
      </w:r>
    </w:p>
    <w:p>
      <w:pPr>
        <w:sectPr>
          <w:pgSz w:w="11880" w:h="15480" w:orient="portrait"/>
          <w:cols w:equalWidth="0" w:num="1">
            <w:col w:w="10160"/>
          </w:cols>
          <w:pgMar w:left="860" w:top="487"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880" w:h="15480" w:orient="portrait"/>
          <w:cols w:equalWidth="0" w:num="1">
            <w:col w:w="10160"/>
          </w:cols>
          <w:pgMar w:left="860" w:top="487" w:right="860" w:bottom="0" w:gutter="0" w:footer="0" w:header="0"/>
          <w:type w:val="continuous"/>
        </w:sectPr>
      </w:pPr>
    </w:p>
    <w:bookmarkStart w:id="59" w:name="page60"/>
    <w:bookmarkEnd w:id="59"/>
    <w:tbl>
      <w:tblPr>
        <w:tblLayout w:type="fixed"/>
        <w:tblInd w:w="6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21"/>
              <w:spacing w:after="0"/>
              <w:rPr>
                <w:sz w:val="20"/>
                <w:szCs w:val="20"/>
                <w:color w:val="auto"/>
              </w:rPr>
            </w:pPr>
            <w:r>
              <w:rPr>
                <w:rFonts w:ascii="Arial" w:cs="Arial" w:eastAsia="Arial" w:hAnsi="Arial"/>
                <w:sz w:val="16"/>
                <w:szCs w:val="16"/>
                <w:b w:val="1"/>
                <w:bCs w:val="1"/>
                <w:color w:val="auto"/>
              </w:rPr>
              <w:t>Year Ended December 31, 2023</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right="86"/>
              <w:spacing w:after="0"/>
              <w:rPr>
                <w:sz w:val="20"/>
                <w:szCs w:val="20"/>
                <w:color w:val="auto"/>
              </w:rPr>
            </w:pPr>
            <w:r>
              <w:rPr>
                <w:rFonts w:ascii="Arial" w:cs="Arial" w:eastAsia="Arial" w:hAnsi="Arial"/>
                <w:sz w:val="16"/>
                <w:szCs w:val="16"/>
                <w:b w:val="1"/>
                <w:bCs w:val="1"/>
                <w:color w:val="auto"/>
                <w:w w:val="93"/>
              </w:rPr>
              <w:t>West/</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56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03"/>
              <w:spacing w:after="0"/>
              <w:rPr>
                <w:sz w:val="20"/>
                <w:szCs w:val="20"/>
                <w:color w:val="auto"/>
              </w:rPr>
            </w:pPr>
            <w:r>
              <w:rPr>
                <w:rFonts w:ascii="Arial" w:cs="Arial" w:eastAsia="Arial" w:hAnsi="Arial"/>
                <w:sz w:val="16"/>
                <w:szCs w:val="16"/>
                <w:b w:val="1"/>
                <w:bCs w:val="1"/>
                <w:color w:val="auto"/>
              </w:rPr>
              <w:t>Texas</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vMerge w:val="restart"/>
          </w:tcPr>
          <w:p>
            <w:pPr>
              <w:jc w:val="right"/>
              <w:ind w:right="245"/>
              <w:spacing w:after="0"/>
              <w:rPr>
                <w:sz w:val="20"/>
                <w:szCs w:val="20"/>
                <w:color w:val="auto"/>
              </w:rPr>
            </w:pPr>
            <w:r>
              <w:rPr>
                <w:rFonts w:ascii="Arial" w:cs="Arial" w:eastAsia="Arial" w:hAnsi="Arial"/>
                <w:sz w:val="16"/>
                <w:szCs w:val="16"/>
                <w:b w:val="1"/>
                <w:bCs w:val="1"/>
                <w:color w:val="auto"/>
              </w:rPr>
              <w:t>East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86"/>
              <w:spacing w:after="0" w:line="158" w:lineRule="exact"/>
              <w:rPr>
                <w:sz w:val="20"/>
                <w:szCs w:val="20"/>
                <w:color w:val="auto"/>
              </w:rPr>
            </w:pPr>
            <w:r>
              <w:rPr>
                <w:rFonts w:ascii="Arial" w:cs="Arial" w:eastAsia="Arial" w:hAnsi="Arial"/>
                <w:sz w:val="16"/>
                <w:szCs w:val="16"/>
                <w:b w:val="1"/>
                <w:bCs w:val="1"/>
                <w:color w:val="auto"/>
                <w:w w:val="85"/>
              </w:rPr>
              <w:t>Services/</w:t>
            </w:r>
          </w:p>
        </w:tc>
        <w:tc>
          <w:tcPr>
            <w:tcW w:w="80" w:type="dxa"/>
            <w:vAlign w:val="bottom"/>
          </w:tcPr>
          <w:p>
            <w:pPr>
              <w:spacing w:after="0"/>
              <w:rPr>
                <w:sz w:val="13"/>
                <w:szCs w:val="13"/>
                <w:color w:val="auto"/>
              </w:rPr>
            </w:pPr>
          </w:p>
        </w:tc>
        <w:tc>
          <w:tcPr>
            <w:tcW w:w="1080" w:type="dxa"/>
            <w:vAlign w:val="bottom"/>
            <w:gridSpan w:val="2"/>
            <w:vMerge w:val="restart"/>
          </w:tcPr>
          <w:p>
            <w:pPr>
              <w:jc w:val="right"/>
              <w:ind w:right="1"/>
              <w:spacing w:after="0"/>
              <w:rPr>
                <w:sz w:val="20"/>
                <w:szCs w:val="20"/>
                <w:color w:val="auto"/>
              </w:rPr>
            </w:pPr>
            <w:r>
              <w:rPr>
                <w:rFonts w:ascii="Arial" w:cs="Arial" w:eastAsia="Arial" w:hAnsi="Arial"/>
                <w:sz w:val="16"/>
                <w:szCs w:val="16"/>
                <w:b w:val="1"/>
                <w:bCs w:val="1"/>
                <w:color w:val="auto"/>
              </w:rPr>
              <w:t>Eliminations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ind w:right="22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4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86"/>
              <w:spacing w:after="0"/>
              <w:rPr>
                <w:sz w:val="20"/>
                <w:szCs w:val="20"/>
                <w:color w:val="auto"/>
              </w:rPr>
            </w:pPr>
            <w:r>
              <w:rPr>
                <w:rFonts w:ascii="Arial" w:cs="Arial" w:eastAsia="Arial" w:hAnsi="Arial"/>
                <w:sz w:val="16"/>
                <w:szCs w:val="16"/>
                <w:b w:val="1"/>
                <w:bCs w:val="1"/>
                <w:color w:val="auto"/>
                <w:w w:val="93"/>
              </w:rPr>
              <w:t>Other</w:t>
            </w:r>
          </w:p>
        </w:tc>
        <w:tc>
          <w:tcPr>
            <w:tcW w:w="80" w:type="dxa"/>
            <w:vAlign w:val="bottom"/>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560" w:type="dxa"/>
            <w:vAlign w:val="bottom"/>
          </w:tcPr>
          <w:p>
            <w:pPr>
              <w:spacing w:after="0"/>
              <w:rPr>
                <w:sz w:val="20"/>
                <w:szCs w:val="20"/>
                <w:color w:val="auto"/>
              </w:rPr>
            </w:pPr>
            <w:r>
              <w:rPr>
                <w:rFonts w:ascii="Arial" w:cs="Arial" w:eastAsia="Arial" w:hAnsi="Arial"/>
                <w:sz w:val="20"/>
                <w:szCs w:val="20"/>
                <w:b w:val="1"/>
                <w:bCs w:val="1"/>
                <w:color w:val="auto"/>
              </w:rPr>
              <w:t>Mark-to-market results in revenues</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4560" w:type="dxa"/>
            <w:vAlign w:val="bottom"/>
          </w:tcPr>
          <w:p>
            <w:pPr>
              <w:spacing w:after="0"/>
              <w:rPr>
                <w:sz w:val="20"/>
                <w:szCs w:val="20"/>
                <w:color w:val="auto"/>
              </w:rPr>
            </w:pPr>
            <w:r>
              <w:rPr>
                <w:rFonts w:ascii="Arial" w:cs="Arial" w:eastAsia="Arial" w:hAnsi="Arial"/>
                <w:sz w:val="20"/>
                <w:szCs w:val="20"/>
                <w:color w:val="auto"/>
                <w:w w:val="96"/>
              </w:rPr>
              <w:t>Reversal of previously recognized unrealized (gains)/</w:t>
            </w:r>
          </w:p>
        </w:tc>
        <w:tc>
          <w:tcPr>
            <w:tcW w:w="340" w:type="dxa"/>
            <w:vAlign w:val="bottom"/>
            <w:gridSpan w:val="2"/>
            <w:vMerge w:val="restart"/>
          </w:tcPr>
          <w:p>
            <w:pPr>
              <w:spacing w:after="0"/>
              <w:rPr>
                <w:sz w:val="20"/>
                <w:szCs w:val="20"/>
                <w:color w:val="auto"/>
              </w:rPr>
            </w:pPr>
            <w:r>
              <w:rPr>
                <w:rFonts w:ascii="Arial" w:cs="Arial" w:eastAsia="Arial" w:hAnsi="Arial"/>
                <w:sz w:val="20"/>
                <w:szCs w:val="20"/>
                <w:color w:val="B4B4B4"/>
              </w:rPr>
              <w:t xml:space="preserve">. </w:t>
            </w:r>
            <w:r>
              <w:rPr>
                <w:rFonts w:ascii="Arial" w:cs="Arial" w:eastAsia="Arial" w:hAnsi="Arial"/>
                <w:sz w:val="20"/>
                <w:szCs w:val="20"/>
                <w:color w:val="000000"/>
              </w:rPr>
              <w:t>$</w:t>
            </w: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(25)</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56</w:t>
            </w:r>
          </w:p>
        </w:tc>
        <w:tc>
          <w:tcPr>
            <w:tcW w:w="720" w:type="dxa"/>
            <w:vAlign w:val="bottom"/>
            <w:gridSpan w:val="2"/>
            <w:vMerge w:val="restart"/>
          </w:tcPr>
          <w:p>
            <w:pPr>
              <w:jc w:val="right"/>
              <w:ind w:right="401"/>
              <w:spacing w:after="0"/>
              <w:rPr>
                <w:sz w:val="20"/>
                <w:szCs w:val="20"/>
                <w:color w:val="auto"/>
              </w:rPr>
            </w:pPr>
            <w:r>
              <w:rPr>
                <w:rFonts w:ascii="Arial" w:cs="Arial" w:eastAsia="Arial" w:hAnsi="Arial"/>
                <w:sz w:val="20"/>
                <w:szCs w:val="20"/>
                <w:color w:val="auto"/>
              </w:rPr>
              <w:t>$</w:t>
            </w:r>
          </w:p>
        </w:tc>
        <w:tc>
          <w:tcPr>
            <w:tcW w:w="440" w:type="dxa"/>
            <w:vAlign w:val="bottom"/>
            <w:vMerge w:val="restart"/>
          </w:tcPr>
          <w:p>
            <w:pPr>
              <w:jc w:val="right"/>
              <w:spacing w:after="0"/>
              <w:rPr>
                <w:sz w:val="20"/>
                <w:szCs w:val="20"/>
                <w:color w:val="auto"/>
              </w:rPr>
            </w:pPr>
            <w:r>
              <w:rPr>
                <w:rFonts w:ascii="Arial" w:cs="Arial" w:eastAsia="Arial" w:hAnsi="Arial"/>
                <w:sz w:val="20"/>
                <w:szCs w:val="20"/>
                <w:color w:val="auto"/>
              </w:rPr>
              <w:t>(12)</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58"/>
        </w:trPr>
        <w:tc>
          <w:tcPr>
            <w:tcW w:w="4560" w:type="dxa"/>
            <w:vAlign w:val="bottom"/>
          </w:tcPr>
          <w:p>
            <w:pPr>
              <w:ind w:left="180"/>
              <w:spacing w:after="0"/>
              <w:rPr>
                <w:sz w:val="20"/>
                <w:szCs w:val="20"/>
                <w:color w:val="auto"/>
              </w:rPr>
            </w:pPr>
            <w:r>
              <w:rPr>
                <w:rFonts w:ascii="Arial" w:cs="Arial" w:eastAsia="Arial" w:hAnsi="Arial"/>
                <w:sz w:val="20"/>
                <w:szCs w:val="20"/>
                <w:color w:val="auto"/>
                <w:w w:val="89"/>
              </w:rPr>
              <w:t>losses on settled positions related to economic hedges</w:t>
            </w:r>
          </w:p>
        </w:tc>
        <w:tc>
          <w:tcPr>
            <w:tcW w:w="340" w:type="dxa"/>
            <w:vAlign w:val="bottom"/>
            <w:gridSpan w:val="2"/>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720" w:type="dxa"/>
            <w:vAlign w:val="bottom"/>
            <w:gridSpan w:val="2"/>
            <w:vMerge w:val="continue"/>
          </w:tcPr>
          <w:p>
            <w:pPr>
              <w:spacing w:after="0"/>
              <w:rPr>
                <w:sz w:val="22"/>
                <w:szCs w:val="22"/>
                <w:color w:val="auto"/>
              </w:rPr>
            </w:pPr>
          </w:p>
        </w:tc>
        <w:tc>
          <w:tcPr>
            <w:tcW w:w="44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560" w:type="dxa"/>
            <w:vAlign w:val="bottom"/>
          </w:tcPr>
          <w:p>
            <w:pPr>
              <w:spacing w:after="0"/>
              <w:rPr>
                <w:sz w:val="20"/>
                <w:szCs w:val="20"/>
                <w:color w:val="auto"/>
              </w:rPr>
            </w:pPr>
            <w:r>
              <w:rPr>
                <w:rFonts w:ascii="Arial" w:cs="Arial" w:eastAsia="Arial" w:hAnsi="Arial"/>
                <w:sz w:val="20"/>
                <w:szCs w:val="20"/>
                <w:color w:val="auto"/>
                <w:w w:val="89"/>
              </w:rPr>
              <w:t>Reversal of acquired (gain) positions related to economic</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58"/>
        </w:trPr>
        <w:tc>
          <w:tcPr>
            <w:tcW w:w="4560" w:type="dxa"/>
            <w:vAlign w:val="bottom"/>
          </w:tcPr>
          <w:p>
            <w:pPr>
              <w:ind w:left="180"/>
              <w:spacing w:after="0"/>
              <w:rPr>
                <w:sz w:val="20"/>
                <w:szCs w:val="20"/>
                <w:color w:val="auto"/>
              </w:rPr>
            </w:pPr>
            <w:r>
              <w:rPr>
                <w:rFonts w:ascii="Arial" w:cs="Arial" w:eastAsia="Arial" w:hAnsi="Arial"/>
                <w:sz w:val="20"/>
                <w:szCs w:val="20"/>
                <w:color w:val="auto"/>
                <w:w w:val="89"/>
              </w:rPr>
              <w:t xml:space="preserve">hedges </w:t>
            </w:r>
            <w:r>
              <w:rPr>
                <w:rFonts w:ascii="Arial" w:cs="Arial" w:eastAsia="Arial" w:hAnsi="Arial"/>
                <w:sz w:val="20"/>
                <w:szCs w:val="20"/>
                <w:color w:val="B4B4B4"/>
                <w:w w:val="89"/>
              </w:rPr>
              <w:t>. . . . . . . . . . . . . . . . . . . . . . . . . . . . . . . . . . . . . .</w:t>
            </w:r>
          </w:p>
        </w:tc>
        <w:tc>
          <w:tcPr>
            <w:tcW w:w="120" w:type="dxa"/>
            <w:vAlign w:val="bottom"/>
          </w:tcPr>
          <w:p>
            <w:pPr>
              <w:ind w:left="20"/>
              <w:spacing w:after="0"/>
              <w:rPr>
                <w:sz w:val="20"/>
                <w:szCs w:val="20"/>
                <w:color w:val="auto"/>
              </w:rPr>
            </w:pPr>
            <w:r>
              <w:rPr>
                <w:rFonts w:ascii="Arial" w:cs="Arial" w:eastAsia="Arial" w:hAnsi="Arial"/>
                <w:sz w:val="20"/>
                <w:szCs w:val="20"/>
                <w:color w:val="B4B4B4"/>
              </w:rPr>
              <w:t>.</w:t>
            </w:r>
          </w:p>
        </w:tc>
        <w:tc>
          <w:tcPr>
            <w:tcW w:w="22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560" w:type="dxa"/>
            <w:vAlign w:val="bottom"/>
          </w:tcPr>
          <w:p>
            <w:pPr>
              <w:spacing w:after="0"/>
              <w:rPr>
                <w:sz w:val="20"/>
                <w:szCs w:val="20"/>
                <w:color w:val="auto"/>
              </w:rPr>
            </w:pPr>
            <w:r>
              <w:rPr>
                <w:rFonts w:ascii="Arial" w:cs="Arial" w:eastAsia="Arial" w:hAnsi="Arial"/>
                <w:sz w:val="20"/>
                <w:szCs w:val="20"/>
                <w:color w:val="auto"/>
              </w:rPr>
              <w:t>Net unrealized gains on open positions related to</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84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47</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vMerge w:val="restart"/>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127</w:t>
            </w:r>
          </w:p>
        </w:tc>
        <w:tc>
          <w:tcPr>
            <w:tcW w:w="0" w:type="dxa"/>
            <w:vAlign w:val="bottom"/>
          </w:tcPr>
          <w:p>
            <w:pPr>
              <w:spacing w:after="0"/>
              <w:rPr>
                <w:sz w:val="1"/>
                <w:szCs w:val="1"/>
                <w:color w:val="auto"/>
              </w:rPr>
            </w:pPr>
          </w:p>
        </w:tc>
      </w:tr>
      <w:tr>
        <w:trPr>
          <w:trHeight w:val="260"/>
        </w:trPr>
        <w:tc>
          <w:tcPr>
            <w:tcW w:w="4560" w:type="dxa"/>
            <w:vAlign w:val="bottom"/>
          </w:tcPr>
          <w:p>
            <w:pPr>
              <w:ind w:left="180"/>
              <w:spacing w:after="0"/>
              <w:rPr>
                <w:sz w:val="20"/>
                <w:szCs w:val="20"/>
                <w:color w:val="auto"/>
              </w:rPr>
            </w:pPr>
            <w:r>
              <w:rPr>
                <w:rFonts w:ascii="Arial" w:cs="Arial" w:eastAsia="Arial" w:hAnsi="Arial"/>
                <w:sz w:val="20"/>
                <w:szCs w:val="20"/>
                <w:color w:val="auto"/>
                <w:w w:val="88"/>
              </w:rPr>
              <w:t xml:space="preserve">economic hedges </w:t>
            </w:r>
            <w:r>
              <w:rPr>
                <w:rFonts w:ascii="Arial" w:cs="Arial" w:eastAsia="Arial" w:hAnsi="Arial"/>
                <w:sz w:val="20"/>
                <w:szCs w:val="20"/>
                <w:color w:val="B4B4B4"/>
                <w:w w:val="88"/>
              </w:rPr>
              <w:t>. . . . . . . . . . . . . . . . . . . . . . . . . . . . . .</w:t>
            </w:r>
          </w:p>
        </w:tc>
        <w:tc>
          <w:tcPr>
            <w:tcW w:w="120" w:type="dxa"/>
            <w:vAlign w:val="bottom"/>
          </w:tcPr>
          <w:p>
            <w:pPr>
              <w:ind w:left="20"/>
              <w:spacing w:after="0"/>
              <w:rPr>
                <w:sz w:val="20"/>
                <w:szCs w:val="20"/>
                <w:color w:val="auto"/>
              </w:rPr>
            </w:pPr>
            <w:r>
              <w:rPr>
                <w:rFonts w:ascii="Arial" w:cs="Arial" w:eastAsia="Arial" w:hAnsi="Arial"/>
                <w:sz w:val="20"/>
                <w:szCs w:val="20"/>
                <w:color w:val="B4B4B4"/>
              </w:rPr>
              <w:t>.</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60" w:type="dxa"/>
            <w:vAlign w:val="bottom"/>
          </w:tcPr>
          <w:p>
            <w:pPr>
              <w:spacing w:after="0"/>
              <w:rPr>
                <w:sz w:val="20"/>
                <w:szCs w:val="20"/>
                <w:color w:val="auto"/>
              </w:rPr>
            </w:pPr>
            <w:r>
              <w:rPr>
                <w:rFonts w:ascii="Arial" w:cs="Arial" w:eastAsia="Arial" w:hAnsi="Arial"/>
                <w:sz w:val="20"/>
                <w:szCs w:val="20"/>
                <w:b w:val="1"/>
                <w:bCs w:val="1"/>
                <w:color w:val="auto"/>
                <w:w w:val="91"/>
              </w:rPr>
              <w:t xml:space="preserve">Total mark-to-market gains in revenues </w:t>
            </w:r>
            <w:r>
              <w:rPr>
                <w:rFonts w:ascii="Arial" w:cs="Arial" w:eastAsia="Arial" w:hAnsi="Arial"/>
                <w:sz w:val="20"/>
                <w:szCs w:val="20"/>
                <w:b w:val="1"/>
                <w:bCs w:val="1"/>
                <w:color w:val="B4B4B4"/>
                <w:w w:val="91"/>
              </w:rPr>
              <w:t>. . . . . . . . . . .</w:t>
            </w:r>
          </w:p>
        </w:tc>
        <w:tc>
          <w:tcPr>
            <w:tcW w:w="340" w:type="dxa"/>
            <w:vAlign w:val="bottom"/>
            <w:gridSpan w:val="2"/>
          </w:tcPr>
          <w:p>
            <w:pPr>
              <w:ind w:left="20"/>
              <w:spacing w:after="0"/>
              <w:rPr>
                <w:sz w:val="20"/>
                <w:szCs w:val="20"/>
                <w:color w:val="auto"/>
              </w:rPr>
            </w:pPr>
            <w:r>
              <w:rPr>
                <w:rFonts w:ascii="Arial" w:cs="Arial" w:eastAsia="Arial" w:hAnsi="Arial"/>
                <w:sz w:val="20"/>
                <w:szCs w:val="20"/>
                <w:b w:val="1"/>
                <w:bCs w:val="1"/>
                <w:color w:val="B4B4B4"/>
              </w:rPr>
              <w:t xml:space="preserve">. </w:t>
            </w:r>
            <w:r>
              <w:rPr>
                <w:rFonts w:ascii="Arial" w:cs="Arial" w:eastAsia="Arial" w:hAnsi="Arial"/>
                <w:sz w:val="20"/>
                <w:szCs w:val="20"/>
                <w:color w:val="000000"/>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57</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103</w:t>
            </w:r>
          </w:p>
        </w:tc>
        <w:tc>
          <w:tcPr>
            <w:tcW w:w="720" w:type="dxa"/>
            <w:vAlign w:val="bottom"/>
            <w:gridSpan w:val="2"/>
          </w:tcPr>
          <w:p>
            <w:pPr>
              <w:jc w:val="right"/>
              <w:ind w:right="401"/>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(16)</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144</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20"/>
                <w:szCs w:val="20"/>
                <w:b w:val="1"/>
                <w:bCs w:val="1"/>
                <w:color w:val="auto"/>
              </w:rPr>
              <w:t>Mark-to-market results in operating costs and</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560" w:type="dxa"/>
            <w:vAlign w:val="bottom"/>
          </w:tcPr>
          <w:p>
            <w:pPr>
              <w:ind w:left="180"/>
              <w:spacing w:after="0"/>
              <w:rPr>
                <w:sz w:val="20"/>
                <w:szCs w:val="20"/>
                <w:color w:val="auto"/>
              </w:rPr>
            </w:pPr>
            <w:r>
              <w:rPr>
                <w:rFonts w:ascii="Arial" w:cs="Arial" w:eastAsia="Arial" w:hAnsi="Arial"/>
                <w:sz w:val="20"/>
                <w:szCs w:val="20"/>
                <w:b w:val="1"/>
                <w:bCs w:val="1"/>
                <w:color w:val="auto"/>
              </w:rPr>
              <w:t>expenses</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560" w:type="dxa"/>
            <w:vAlign w:val="bottom"/>
          </w:tcPr>
          <w:p>
            <w:pPr>
              <w:spacing w:after="0" w:line="228" w:lineRule="exact"/>
              <w:rPr>
                <w:sz w:val="20"/>
                <w:szCs w:val="20"/>
                <w:color w:val="auto"/>
              </w:rPr>
            </w:pPr>
            <w:r>
              <w:rPr>
                <w:rFonts w:ascii="Arial" w:cs="Arial" w:eastAsia="Arial" w:hAnsi="Arial"/>
                <w:sz w:val="20"/>
                <w:szCs w:val="20"/>
                <w:color w:val="auto"/>
                <w:w w:val="92"/>
              </w:rPr>
              <w:t>Reversal of previously recognized unrealized (gains) on</w:t>
            </w:r>
          </w:p>
        </w:tc>
        <w:tc>
          <w:tcPr>
            <w:tcW w:w="340" w:type="dxa"/>
            <w:vAlign w:val="bottom"/>
            <w:gridSpan w:val="2"/>
            <w:vMerge w:val="restart"/>
          </w:tcPr>
          <w:p>
            <w:pPr>
              <w:ind w:left="20"/>
              <w:spacing w:after="0"/>
              <w:rPr>
                <w:sz w:val="20"/>
                <w:szCs w:val="20"/>
                <w:color w:val="auto"/>
              </w:rPr>
            </w:pPr>
            <w:r>
              <w:rPr>
                <w:rFonts w:ascii="Arial" w:cs="Arial" w:eastAsia="Arial" w:hAnsi="Arial"/>
                <w:sz w:val="20"/>
                <w:szCs w:val="20"/>
                <w:color w:val="B4B4B4"/>
              </w:rPr>
              <w:t xml:space="preserve">. </w:t>
            </w:r>
            <w:r>
              <w:rPr>
                <w:rFonts w:ascii="Arial" w:cs="Arial" w:eastAsia="Arial" w:hAnsi="Arial"/>
                <w:sz w:val="20"/>
                <w:szCs w:val="20"/>
                <w:color w:val="000000"/>
              </w:rPr>
              <w:t>$</w:t>
            </w: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(473)</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(812)</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(480)</w:t>
            </w:r>
          </w:p>
        </w:tc>
        <w:tc>
          <w:tcPr>
            <w:tcW w:w="720" w:type="dxa"/>
            <w:vAlign w:val="bottom"/>
            <w:gridSpan w:val="2"/>
            <w:vMerge w:val="restart"/>
          </w:tcPr>
          <w:p>
            <w:pPr>
              <w:jc w:val="right"/>
              <w:ind w:right="401"/>
              <w:spacing w:after="0"/>
              <w:rPr>
                <w:sz w:val="20"/>
                <w:szCs w:val="20"/>
                <w:color w:val="auto"/>
              </w:rPr>
            </w:pPr>
            <w:r>
              <w:rPr>
                <w:rFonts w:ascii="Arial" w:cs="Arial" w:eastAsia="Arial" w:hAnsi="Arial"/>
                <w:sz w:val="20"/>
                <w:szCs w:val="20"/>
                <w:color w:val="auto"/>
              </w:rPr>
              <w:t>$</w:t>
            </w:r>
          </w:p>
        </w:tc>
        <w:tc>
          <w:tcPr>
            <w:tcW w:w="440" w:type="dxa"/>
            <w:vAlign w:val="bottom"/>
            <w:vMerge w:val="restart"/>
          </w:tcPr>
          <w:p>
            <w:pPr>
              <w:jc w:val="right"/>
              <w:spacing w:after="0"/>
              <w:rPr>
                <w:sz w:val="20"/>
                <w:szCs w:val="20"/>
                <w:color w:val="auto"/>
              </w:rPr>
            </w:pPr>
            <w:r>
              <w:rPr>
                <w:rFonts w:ascii="Arial" w:cs="Arial" w:eastAsia="Arial" w:hAnsi="Arial"/>
                <w:sz w:val="20"/>
                <w:szCs w:val="20"/>
                <w:color w:val="auto"/>
              </w:rPr>
              <w:t>12</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(1,753)</w:t>
            </w:r>
          </w:p>
        </w:tc>
        <w:tc>
          <w:tcPr>
            <w:tcW w:w="0" w:type="dxa"/>
            <w:vAlign w:val="bottom"/>
          </w:tcPr>
          <w:p>
            <w:pPr>
              <w:spacing w:after="0"/>
              <w:rPr>
                <w:sz w:val="1"/>
                <w:szCs w:val="1"/>
                <w:color w:val="auto"/>
              </w:rPr>
            </w:pPr>
          </w:p>
        </w:tc>
      </w:tr>
      <w:tr>
        <w:trPr>
          <w:trHeight w:val="258"/>
        </w:trPr>
        <w:tc>
          <w:tcPr>
            <w:tcW w:w="4560" w:type="dxa"/>
            <w:vAlign w:val="bottom"/>
          </w:tcPr>
          <w:p>
            <w:pPr>
              <w:ind w:left="180"/>
              <w:spacing w:after="0"/>
              <w:rPr>
                <w:sz w:val="20"/>
                <w:szCs w:val="20"/>
                <w:color w:val="auto"/>
              </w:rPr>
            </w:pPr>
            <w:r>
              <w:rPr>
                <w:rFonts w:ascii="Arial" w:cs="Arial" w:eastAsia="Arial" w:hAnsi="Arial"/>
                <w:sz w:val="20"/>
                <w:szCs w:val="20"/>
                <w:color w:val="auto"/>
                <w:w w:val="90"/>
              </w:rPr>
              <w:t xml:space="preserve">settled positions related to economic hedges </w:t>
            </w:r>
            <w:r>
              <w:rPr>
                <w:rFonts w:ascii="Arial" w:cs="Arial" w:eastAsia="Arial" w:hAnsi="Arial"/>
                <w:sz w:val="20"/>
                <w:szCs w:val="20"/>
                <w:color w:val="B4B4B4"/>
                <w:w w:val="90"/>
              </w:rPr>
              <w:t>. . . . . . . .</w:t>
            </w:r>
          </w:p>
        </w:tc>
        <w:tc>
          <w:tcPr>
            <w:tcW w:w="340" w:type="dxa"/>
            <w:vAlign w:val="bottom"/>
            <w:gridSpan w:val="2"/>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720" w:type="dxa"/>
            <w:vAlign w:val="bottom"/>
            <w:gridSpan w:val="2"/>
            <w:vMerge w:val="continue"/>
          </w:tcPr>
          <w:p>
            <w:pPr>
              <w:spacing w:after="0"/>
              <w:rPr>
                <w:sz w:val="22"/>
                <w:szCs w:val="22"/>
                <w:color w:val="auto"/>
              </w:rPr>
            </w:pPr>
          </w:p>
        </w:tc>
        <w:tc>
          <w:tcPr>
            <w:tcW w:w="44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560" w:type="dxa"/>
            <w:vAlign w:val="bottom"/>
          </w:tcPr>
          <w:p>
            <w:pPr>
              <w:spacing w:after="0"/>
              <w:rPr>
                <w:sz w:val="20"/>
                <w:szCs w:val="20"/>
                <w:color w:val="auto"/>
              </w:rPr>
            </w:pPr>
            <w:r>
              <w:rPr>
                <w:rFonts w:ascii="Arial" w:cs="Arial" w:eastAsia="Arial" w:hAnsi="Arial"/>
                <w:sz w:val="20"/>
                <w:szCs w:val="20"/>
                <w:color w:val="auto"/>
                <w:w w:val="99"/>
              </w:rPr>
              <w:t>Reversal of acquired loss/(gain) positions related to</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17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58"/>
        </w:trPr>
        <w:tc>
          <w:tcPr>
            <w:tcW w:w="4560" w:type="dxa"/>
            <w:vAlign w:val="bottom"/>
          </w:tcPr>
          <w:p>
            <w:pPr>
              <w:ind w:left="180"/>
              <w:spacing w:after="0"/>
              <w:rPr>
                <w:sz w:val="20"/>
                <w:szCs w:val="20"/>
                <w:color w:val="auto"/>
              </w:rPr>
            </w:pPr>
            <w:r>
              <w:rPr>
                <w:rFonts w:ascii="Arial" w:cs="Arial" w:eastAsia="Arial" w:hAnsi="Arial"/>
                <w:sz w:val="20"/>
                <w:szCs w:val="20"/>
                <w:color w:val="auto"/>
                <w:w w:val="88"/>
              </w:rPr>
              <w:t xml:space="preserve">economic hedges </w:t>
            </w:r>
            <w:r>
              <w:rPr>
                <w:rFonts w:ascii="Arial" w:cs="Arial" w:eastAsia="Arial" w:hAnsi="Arial"/>
                <w:sz w:val="20"/>
                <w:szCs w:val="20"/>
                <w:color w:val="B4B4B4"/>
                <w:w w:val="88"/>
              </w:rPr>
              <w:t>. . . . . . . . . . . . . . . . . . . . . . . . . . . . . .</w:t>
            </w:r>
          </w:p>
        </w:tc>
        <w:tc>
          <w:tcPr>
            <w:tcW w:w="120" w:type="dxa"/>
            <w:vAlign w:val="bottom"/>
          </w:tcPr>
          <w:p>
            <w:pPr>
              <w:ind w:left="20"/>
              <w:spacing w:after="0"/>
              <w:rPr>
                <w:sz w:val="20"/>
                <w:szCs w:val="20"/>
                <w:color w:val="auto"/>
              </w:rPr>
            </w:pPr>
            <w:r>
              <w:rPr>
                <w:rFonts w:ascii="Arial" w:cs="Arial" w:eastAsia="Arial" w:hAnsi="Arial"/>
                <w:sz w:val="20"/>
                <w:szCs w:val="20"/>
                <w:color w:val="B4B4B4"/>
              </w:rPr>
              <w:t>.</w:t>
            </w:r>
          </w:p>
        </w:tc>
        <w:tc>
          <w:tcPr>
            <w:tcW w:w="22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560" w:type="dxa"/>
            <w:vAlign w:val="bottom"/>
          </w:tcPr>
          <w:p>
            <w:pPr>
              <w:spacing w:after="0"/>
              <w:rPr>
                <w:sz w:val="20"/>
                <w:szCs w:val="20"/>
                <w:color w:val="auto"/>
              </w:rPr>
            </w:pPr>
            <w:r>
              <w:rPr>
                <w:rFonts w:ascii="Arial" w:cs="Arial" w:eastAsia="Arial" w:hAnsi="Arial"/>
                <w:sz w:val="20"/>
                <w:szCs w:val="20"/>
                <w:color w:val="auto"/>
                <w:w w:val="89"/>
              </w:rPr>
              <w:t>Net unrealized gains/(losses) on open positions related to</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771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(1,670)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(381)</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vMerge w:val="restart"/>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(1,276)</w:t>
            </w:r>
          </w:p>
        </w:tc>
        <w:tc>
          <w:tcPr>
            <w:tcW w:w="0" w:type="dxa"/>
            <w:vAlign w:val="bottom"/>
          </w:tcPr>
          <w:p>
            <w:pPr>
              <w:spacing w:after="0"/>
              <w:rPr>
                <w:sz w:val="1"/>
                <w:szCs w:val="1"/>
                <w:color w:val="auto"/>
              </w:rPr>
            </w:pPr>
          </w:p>
        </w:tc>
      </w:tr>
      <w:tr>
        <w:trPr>
          <w:trHeight w:val="260"/>
        </w:trPr>
        <w:tc>
          <w:tcPr>
            <w:tcW w:w="4560" w:type="dxa"/>
            <w:vAlign w:val="bottom"/>
          </w:tcPr>
          <w:p>
            <w:pPr>
              <w:ind w:left="180"/>
              <w:spacing w:after="0"/>
              <w:rPr>
                <w:sz w:val="20"/>
                <w:szCs w:val="20"/>
                <w:color w:val="auto"/>
              </w:rPr>
            </w:pPr>
            <w:r>
              <w:rPr>
                <w:rFonts w:ascii="Arial" w:cs="Arial" w:eastAsia="Arial" w:hAnsi="Arial"/>
                <w:sz w:val="20"/>
                <w:szCs w:val="20"/>
                <w:color w:val="auto"/>
                <w:w w:val="88"/>
              </w:rPr>
              <w:t xml:space="preserve">economic hedges </w:t>
            </w:r>
            <w:r>
              <w:rPr>
                <w:rFonts w:ascii="Arial" w:cs="Arial" w:eastAsia="Arial" w:hAnsi="Arial"/>
                <w:sz w:val="20"/>
                <w:szCs w:val="20"/>
                <w:color w:val="B4B4B4"/>
                <w:w w:val="88"/>
              </w:rPr>
              <w:t>. . . . . . . . . . . . . . . . . . . . . . . . . . . . . .</w:t>
            </w:r>
          </w:p>
        </w:tc>
        <w:tc>
          <w:tcPr>
            <w:tcW w:w="120" w:type="dxa"/>
            <w:vAlign w:val="bottom"/>
          </w:tcPr>
          <w:p>
            <w:pPr>
              <w:ind w:left="20"/>
              <w:spacing w:after="0"/>
              <w:rPr>
                <w:sz w:val="20"/>
                <w:szCs w:val="20"/>
                <w:color w:val="auto"/>
              </w:rPr>
            </w:pPr>
            <w:r>
              <w:rPr>
                <w:rFonts w:ascii="Arial" w:cs="Arial" w:eastAsia="Arial" w:hAnsi="Arial"/>
                <w:sz w:val="20"/>
                <w:szCs w:val="20"/>
                <w:color w:val="B4B4B4"/>
              </w:rPr>
              <w:t>.</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line="209" w:lineRule="exact"/>
              <w:rPr>
                <w:sz w:val="20"/>
                <w:szCs w:val="20"/>
                <w:color w:val="auto"/>
              </w:rPr>
            </w:pPr>
            <w:r>
              <w:rPr>
                <w:rFonts w:ascii="Arial" w:cs="Arial" w:eastAsia="Arial" w:hAnsi="Arial"/>
                <w:sz w:val="20"/>
                <w:szCs w:val="20"/>
                <w:b w:val="1"/>
                <w:bCs w:val="1"/>
                <w:color w:val="auto"/>
                <w:w w:val="88"/>
              </w:rPr>
              <w:t>Total mark-to-market gains/(losses) in operating costs</w:t>
            </w:r>
          </w:p>
        </w:tc>
        <w:tc>
          <w:tcPr>
            <w:tcW w:w="340" w:type="dxa"/>
            <w:vAlign w:val="bottom"/>
            <w:gridSpan w:val="2"/>
            <w:vMerge w:val="restart"/>
          </w:tcPr>
          <w:p>
            <w:pPr>
              <w:spacing w:after="0"/>
              <w:rPr>
                <w:sz w:val="20"/>
                <w:szCs w:val="20"/>
                <w:color w:val="auto"/>
              </w:rPr>
            </w:pPr>
            <w:r>
              <w:rPr>
                <w:rFonts w:ascii="Arial" w:cs="Arial" w:eastAsia="Arial" w:hAnsi="Arial"/>
                <w:sz w:val="20"/>
                <w:szCs w:val="20"/>
                <w:b w:val="1"/>
                <w:bCs w:val="1"/>
                <w:color w:val="B4B4B4"/>
              </w:rPr>
              <w:t xml:space="preserve">. </w:t>
            </w:r>
            <w:r>
              <w:rPr>
                <w:rFonts w:ascii="Arial" w:cs="Arial" w:eastAsia="Arial" w:hAnsi="Arial"/>
                <w:sz w:val="20"/>
                <w:szCs w:val="20"/>
                <w:color w:val="000000"/>
              </w:rPr>
              <w:t>$</w:t>
            </w: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315</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(2,471)</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(867)</w:t>
            </w:r>
          </w:p>
        </w:tc>
        <w:tc>
          <w:tcPr>
            <w:tcW w:w="720" w:type="dxa"/>
            <w:vAlign w:val="bottom"/>
            <w:gridSpan w:val="2"/>
            <w:vMerge w:val="restart"/>
          </w:tcPr>
          <w:p>
            <w:pPr>
              <w:jc w:val="right"/>
              <w:ind w:right="401"/>
              <w:spacing w:after="0"/>
              <w:rPr>
                <w:sz w:val="20"/>
                <w:szCs w:val="20"/>
                <w:color w:val="auto"/>
              </w:rPr>
            </w:pPr>
            <w:r>
              <w:rPr>
                <w:rFonts w:ascii="Arial" w:cs="Arial" w:eastAsia="Arial" w:hAnsi="Arial"/>
                <w:sz w:val="20"/>
                <w:szCs w:val="20"/>
                <w:color w:val="auto"/>
              </w:rPr>
              <w:t>$</w:t>
            </w:r>
          </w:p>
        </w:tc>
        <w:tc>
          <w:tcPr>
            <w:tcW w:w="440" w:type="dxa"/>
            <w:vAlign w:val="bottom"/>
            <w:vMerge w:val="restart"/>
          </w:tcPr>
          <w:p>
            <w:pPr>
              <w:jc w:val="right"/>
              <w:spacing w:after="0"/>
              <w:rPr>
                <w:sz w:val="20"/>
                <w:szCs w:val="20"/>
                <w:color w:val="auto"/>
              </w:rPr>
            </w:pPr>
            <w:r>
              <w:rPr>
                <w:rFonts w:ascii="Arial" w:cs="Arial" w:eastAsia="Arial" w:hAnsi="Arial"/>
                <w:sz w:val="20"/>
                <w:szCs w:val="20"/>
                <w:color w:val="auto"/>
              </w:rPr>
              <w:t>16</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(3,007)</w:t>
            </w:r>
          </w:p>
        </w:tc>
        <w:tc>
          <w:tcPr>
            <w:tcW w:w="0" w:type="dxa"/>
            <w:vAlign w:val="bottom"/>
          </w:tcPr>
          <w:p>
            <w:pPr>
              <w:spacing w:after="0"/>
              <w:rPr>
                <w:sz w:val="1"/>
                <w:szCs w:val="1"/>
                <w:color w:val="auto"/>
              </w:rPr>
            </w:pPr>
          </w:p>
        </w:tc>
      </w:tr>
      <w:tr>
        <w:trPr>
          <w:trHeight w:val="240"/>
        </w:trPr>
        <w:tc>
          <w:tcPr>
            <w:tcW w:w="4560" w:type="dxa"/>
            <w:vAlign w:val="bottom"/>
          </w:tcPr>
          <w:p>
            <w:pPr>
              <w:ind w:left="180"/>
              <w:spacing w:after="0"/>
              <w:rPr>
                <w:sz w:val="20"/>
                <w:szCs w:val="20"/>
                <w:color w:val="auto"/>
              </w:rPr>
            </w:pPr>
            <w:r>
              <w:rPr>
                <w:rFonts w:ascii="Arial" w:cs="Arial" w:eastAsia="Arial" w:hAnsi="Arial"/>
                <w:sz w:val="20"/>
                <w:szCs w:val="20"/>
                <w:b w:val="1"/>
                <w:bCs w:val="1"/>
                <w:color w:val="auto"/>
                <w:w w:val="89"/>
              </w:rPr>
              <w:t xml:space="preserve">and expenses </w:t>
            </w:r>
            <w:r>
              <w:rPr>
                <w:rFonts w:ascii="Arial" w:cs="Arial" w:eastAsia="Arial" w:hAnsi="Arial"/>
                <w:sz w:val="20"/>
                <w:szCs w:val="20"/>
                <w:b w:val="1"/>
                <w:bCs w:val="1"/>
                <w:color w:val="B4B4B4"/>
                <w:w w:val="89"/>
              </w:rPr>
              <w:t>. . . . . . . . . . . . . . . . . . . . . . . . . . . . . . . .</w:t>
            </w:r>
          </w:p>
        </w:tc>
        <w:tc>
          <w:tcPr>
            <w:tcW w:w="340" w:type="dxa"/>
            <w:vAlign w:val="bottom"/>
            <w:gridSpan w:val="2"/>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-2897505</wp:posOffset>
            </wp:positionV>
            <wp:extent cx="6456680" cy="29044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a:extLst>
                        <a:ext uri="{28A0092B-C50C-407E-A947-70E740481C1C}"/>
                      </a:extLst>
                    </a:blip>
                    <a:srcRect/>
                    <a:stretch>
                      <a:fillRect/>
                    </a:stretch>
                  </pic:blipFill>
                  <pic:spPr bwMode="auto">
                    <a:xfrm>
                      <a:off x="0" y="0"/>
                      <a:ext cx="6456680" cy="2904490"/>
                    </a:xfrm>
                    <a:prstGeom prst="rect">
                      <a:avLst/>
                    </a:prstGeom>
                    <a:noFill/>
                  </pic:spPr>
                </pic:pic>
              </a:graphicData>
            </a:graphic>
          </wp:anchor>
        </w:drawing>
      </w:r>
    </w:p>
    <w:p>
      <w:pPr>
        <w:spacing w:after="0" w:line="10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Mark-to-market results consist of unrealized gains and losses on contracts that are yet to be settled. The settlement of these transactions is reflected in the same revenue or cost caption as the items being hedged.</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The reversals of acquired gain or loss positions were valued based upon the forward prices on the acquisition date.</w:t>
      </w:r>
    </w:p>
    <w:p>
      <w:pPr>
        <w:spacing w:after="0" w:line="13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9"/>
          <w:szCs w:val="19"/>
          <w:color w:val="auto"/>
        </w:rPr>
        <w:t>For the year ended December 31, 2024, the $3 million loss in revenues from economic hedge positions was driven by the reversal of previously recognized unrealized gains on contracts that settled during the period, largely offset by an increase in the value of open positions as a result of decreases in New York capacity and MISO power prices. The $209 million gain in operating costs and expenses from economic hedge positions was driven primarily by the reversal of previously recognized unrealized losses on contracts that settled during the period, as well as an increase in the value of open positions as a result of increases in natural gas and Northeast power prices. This was partially offset by a decrease in the value of open positions as a result of decreases in CAISO and Alberta power prices.</w:t>
      </w:r>
    </w:p>
    <w:p>
      <w:pPr>
        <w:spacing w:after="0" w:line="7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color w:val="auto"/>
        </w:rPr>
        <w:t>For the year ended December 31, 2023, the $144 million gain in revenues from economic hedge positions was driven by an increase in the value of open positions as a result of decreases in power prices. The $3.0 billion loss in operating costs and expenses from economic hedge positions was driven primarily by the reversal of previously recognized unrealized gains on contracts that settled during the period, as well as a decrease in the value of East and West/Other open positions as a result of decreases in natural gas and power prices. This was partially offset by an increase in the value of Texas open positions as a result of increases in ERCOT power prices.</w:t>
      </w:r>
    </w:p>
    <w:p>
      <w:pPr>
        <w:spacing w:after="0" w:line="7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In accordance with ASC 815, the following table represents the results of the Company's financial and physical trading of energy commodities for the years ended December 31, 2024 and 2023. The realized and unrealized financial and physical trading results are included in revenue. The Company's trading activities are subject to limits within the Company's Risk Management Policy.</w:t>
      </w:r>
    </w:p>
    <w:p>
      <w:pPr>
        <w:spacing w:after="0" w:line="28"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Year ended December 31,</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760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8"/>
                <w:szCs w:val="18"/>
                <w:b w:val="1"/>
                <w:bCs w:val="1"/>
                <w:color w:val="auto"/>
              </w:rPr>
              <w:t>2023</w:t>
            </w:r>
          </w:p>
        </w:tc>
      </w:tr>
      <w:tr>
        <w:trPr>
          <w:trHeight w:val="275"/>
        </w:trPr>
        <w:tc>
          <w:tcPr>
            <w:tcW w:w="7600" w:type="dxa"/>
            <w:vAlign w:val="bottom"/>
          </w:tcPr>
          <w:p>
            <w:pPr>
              <w:spacing w:after="0"/>
              <w:rPr>
                <w:sz w:val="20"/>
                <w:szCs w:val="20"/>
                <w:color w:val="auto"/>
              </w:rPr>
            </w:pPr>
            <w:r>
              <w:rPr>
                <w:rFonts w:ascii="Arial" w:cs="Arial" w:eastAsia="Arial" w:hAnsi="Arial"/>
                <w:sz w:val="20"/>
                <w:szCs w:val="20"/>
                <w:color w:val="auto"/>
              </w:rPr>
              <w:t>Trading gains</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97"/>
        </w:trPr>
        <w:tc>
          <w:tcPr>
            <w:tcW w:w="7600" w:type="dxa"/>
            <w:vAlign w:val="bottom"/>
          </w:tcPr>
          <w:p>
            <w:pPr>
              <w:jc w:val="right"/>
              <w:spacing w:after="0"/>
              <w:rPr>
                <w:sz w:val="20"/>
                <w:szCs w:val="20"/>
                <w:color w:val="auto"/>
              </w:rPr>
            </w:pPr>
            <w:r>
              <w:rPr>
                <w:rFonts w:ascii="Arial" w:cs="Arial" w:eastAsia="Arial" w:hAnsi="Arial"/>
                <w:sz w:val="20"/>
                <w:szCs w:val="20"/>
                <w:color w:val="auto"/>
                <w:w w:val="90"/>
              </w:rPr>
              <w:t xml:space="preserve">Realized </w:t>
            </w:r>
            <w:r>
              <w:rPr>
                <w:rFonts w:ascii="Arial" w:cs="Arial" w:eastAsia="Arial" w:hAnsi="Arial"/>
                <w:sz w:val="20"/>
                <w:szCs w:val="20"/>
                <w:color w:val="B4B4B4"/>
                <w:w w:val="90"/>
              </w:rPr>
              <w:t>. . . . . . . . . . . . . . . . . . . . . . . . . . . . . . . . . . . . . . . . . . . . . . . . . . . . . . . . . . . . . . . . . . . .</w:t>
            </w:r>
          </w:p>
        </w:tc>
        <w:tc>
          <w:tcPr>
            <w:tcW w:w="2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31</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99"/>
        </w:trPr>
        <w:tc>
          <w:tcPr>
            <w:tcW w:w="7600" w:type="dxa"/>
            <w:vAlign w:val="bottom"/>
          </w:tcPr>
          <w:p>
            <w:pPr>
              <w:jc w:val="right"/>
              <w:spacing w:after="0"/>
              <w:rPr>
                <w:sz w:val="20"/>
                <w:szCs w:val="20"/>
                <w:color w:val="auto"/>
              </w:rPr>
            </w:pPr>
            <w:r>
              <w:rPr>
                <w:rFonts w:ascii="Arial" w:cs="Arial" w:eastAsia="Arial" w:hAnsi="Arial"/>
                <w:sz w:val="20"/>
                <w:szCs w:val="20"/>
                <w:color w:val="auto"/>
                <w:w w:val="90"/>
              </w:rPr>
              <w:t xml:space="preserve">Unrealized </w:t>
            </w:r>
            <w:r>
              <w:rPr>
                <w:rFonts w:ascii="Arial" w:cs="Arial" w:eastAsia="Arial" w:hAnsi="Arial"/>
                <w:sz w:val="20"/>
                <w:szCs w:val="20"/>
                <w:color w:val="B4B4B4"/>
                <w:w w:val="90"/>
              </w:rPr>
              <w:t>. . . . . . . . . . . . . . . . . . . . . . . . . . . . . . . . . . . . . . . . . . . . . . . . . . . . . . . . . . . . . . . . . .</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w:t>
            </w:r>
          </w:p>
        </w:tc>
      </w:tr>
      <w:tr>
        <w:trPr>
          <w:trHeight w:val="257"/>
        </w:trPr>
        <w:tc>
          <w:tcPr>
            <w:tcW w:w="7600" w:type="dxa"/>
            <w:vAlign w:val="bottom"/>
          </w:tcPr>
          <w:p>
            <w:pPr>
              <w:jc w:val="right"/>
              <w:spacing w:after="0"/>
              <w:rPr>
                <w:sz w:val="20"/>
                <w:szCs w:val="20"/>
                <w:color w:val="auto"/>
              </w:rPr>
            </w:pPr>
            <w:r>
              <w:rPr>
                <w:rFonts w:ascii="Arial" w:cs="Arial" w:eastAsia="Arial" w:hAnsi="Arial"/>
                <w:sz w:val="20"/>
                <w:szCs w:val="20"/>
                <w:color w:val="auto"/>
                <w:w w:val="89"/>
              </w:rPr>
              <w:t xml:space="preserve">Total trading gains </w:t>
            </w:r>
            <w:r>
              <w:rPr>
                <w:rFonts w:ascii="Arial" w:cs="Arial" w:eastAsia="Arial" w:hAnsi="Arial"/>
                <w:sz w:val="20"/>
                <w:szCs w:val="20"/>
                <w:color w:val="B4B4B4"/>
                <w:w w:val="89"/>
              </w:rPr>
              <w:t>. . . . . . . . . . . . . . . . . . . . . . . . . . . . . . . . . . . . . . . . . . . . . . . . . . . . . . . . . . . . .</w:t>
            </w:r>
          </w:p>
        </w:tc>
        <w:tc>
          <w:tcPr>
            <w:tcW w:w="2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32</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0"/>
        </w:trPr>
        <w:tc>
          <w:tcPr>
            <w:tcW w:w="7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-785495</wp:posOffset>
            </wp:positionV>
            <wp:extent cx="6466205" cy="792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
                      <a:extLst>
                        <a:ext uri="{28A0092B-C50C-407E-A947-70E740481C1C}"/>
                      </a:extLst>
                    </a:blip>
                    <a:srcRect/>
                    <a:stretch>
                      <a:fillRect/>
                    </a:stretch>
                  </pic:blipFill>
                  <pic:spPr bwMode="auto">
                    <a:xfrm>
                      <a:off x="0" y="0"/>
                      <a:ext cx="6466205" cy="792480"/>
                    </a:xfrm>
                    <a:prstGeom prst="rect">
                      <a:avLst/>
                    </a:prstGeom>
                    <a:noFill/>
                  </pic:spPr>
                </pic:pic>
              </a:graphicData>
            </a:graphic>
          </wp:anchor>
        </w:drawing>
      </w:r>
    </w:p>
    <w:p>
      <w:pPr>
        <w:sectPr>
          <w:pgSz w:w="11880" w:h="15480" w:orient="portrait"/>
          <w:cols w:equalWidth="0" w:num="1">
            <w:col w:w="10160"/>
          </w:cols>
          <w:pgMar w:left="860" w:top="60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880" w:h="15480" w:orient="portrait"/>
          <w:cols w:equalWidth="0" w:num="1">
            <w:col w:w="10160"/>
          </w:cols>
          <w:pgMar w:left="860" w:top="601" w:right="860" w:bottom="0" w:gutter="0" w:footer="0" w:header="0"/>
          <w:type w:val="continuous"/>
        </w:sectPr>
      </w:pPr>
    </w:p>
    <w:bookmarkStart w:id="60" w:name="page61"/>
    <w:bookmarkEnd w:id="60"/>
    <w:p>
      <w:pPr>
        <w:ind w:left="440"/>
        <w:spacing w:after="0"/>
        <w:rPr>
          <w:sz w:val="20"/>
          <w:szCs w:val="20"/>
          <w:color w:val="auto"/>
        </w:rPr>
      </w:pPr>
      <w:r>
        <w:rPr>
          <w:rFonts w:ascii="Arial" w:cs="Arial" w:eastAsia="Arial" w:hAnsi="Arial"/>
          <w:sz w:val="20"/>
          <w:szCs w:val="20"/>
          <w:b w:val="1"/>
          <w:bCs w:val="1"/>
          <w:i w:val="1"/>
          <w:iCs w:val="1"/>
          <w:color w:val="auto"/>
        </w:rPr>
        <w:t>Operations and Maintenance Expenses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Operations and maintenance expenses are comprised of the following:</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right="93"/>
              <w:spacing w:after="0"/>
              <w:rPr>
                <w:sz w:val="20"/>
                <w:szCs w:val="20"/>
                <w:color w:val="auto"/>
              </w:rPr>
            </w:pPr>
            <w:r>
              <w:rPr>
                <w:rFonts w:ascii="Arial" w:cs="Arial" w:eastAsia="Arial" w:hAnsi="Arial"/>
                <w:sz w:val="16"/>
                <w:szCs w:val="16"/>
                <w:b w:val="1"/>
                <w:bCs w:val="1"/>
                <w:color w:val="auto"/>
                <w:w w:val="93"/>
              </w:rPr>
              <w:t>West/</w:t>
            </w:r>
          </w:p>
        </w:tc>
        <w:tc>
          <w:tcPr>
            <w:tcW w:w="8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8"/>
              </w:rPr>
              <w:t>Vivint Smart</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70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vMerge w:val="restart"/>
          </w:tcPr>
          <w:p>
            <w:pPr>
              <w:spacing w:after="0"/>
              <w:rPr>
                <w:sz w:val="13"/>
                <w:szCs w:val="13"/>
                <w:color w:val="auto"/>
              </w:rPr>
            </w:pPr>
          </w:p>
        </w:tc>
        <w:tc>
          <w:tcPr>
            <w:tcW w:w="780" w:type="dxa"/>
            <w:vAlign w:val="bottom"/>
            <w:vMerge w:val="restart"/>
          </w:tcPr>
          <w:p>
            <w:pPr>
              <w:jc w:val="right"/>
              <w:ind w:right="208"/>
              <w:spacing w:after="0"/>
              <w:rPr>
                <w:sz w:val="20"/>
                <w:szCs w:val="20"/>
                <w:color w:val="auto"/>
              </w:rPr>
            </w:pPr>
            <w:r>
              <w:rPr>
                <w:rFonts w:ascii="Arial" w:cs="Arial" w:eastAsia="Arial" w:hAnsi="Arial"/>
                <w:sz w:val="16"/>
                <w:szCs w:val="16"/>
                <w:b w:val="1"/>
                <w:bCs w:val="1"/>
                <w:color w:val="auto"/>
              </w:rPr>
              <w:t>Texas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6"/>
                <w:szCs w:val="16"/>
                <w:b w:val="1"/>
                <w:bCs w:val="1"/>
                <w:color w:val="auto"/>
              </w:rPr>
              <w:t>East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93"/>
              <w:spacing w:after="0" w:line="158" w:lineRule="exact"/>
              <w:rPr>
                <w:sz w:val="20"/>
                <w:szCs w:val="20"/>
                <w:color w:val="auto"/>
              </w:rPr>
            </w:pPr>
            <w:r>
              <w:rPr>
                <w:rFonts w:ascii="Arial" w:cs="Arial" w:eastAsia="Arial" w:hAnsi="Arial"/>
                <w:sz w:val="16"/>
                <w:szCs w:val="16"/>
                <w:b w:val="1"/>
                <w:bCs w:val="1"/>
                <w:color w:val="auto"/>
                <w:w w:val="85"/>
              </w:rPr>
              <w:t>Services/</w:t>
            </w:r>
          </w:p>
        </w:tc>
        <w:tc>
          <w:tcPr>
            <w:tcW w:w="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vMerge w:val="restart"/>
          </w:tcPr>
          <w:p>
            <w:pPr>
              <w:jc w:val="right"/>
              <w:ind w:right="41"/>
              <w:spacing w:after="0"/>
              <w:rPr>
                <w:sz w:val="20"/>
                <w:szCs w:val="20"/>
                <w:color w:val="auto"/>
              </w:rPr>
            </w:pPr>
            <w:r>
              <w:rPr>
                <w:rFonts w:ascii="Arial" w:cs="Arial" w:eastAsia="Arial" w:hAnsi="Arial"/>
                <w:sz w:val="16"/>
                <w:szCs w:val="16"/>
                <w:b w:val="1"/>
                <w:bCs w:val="1"/>
                <w:color w:val="auto"/>
              </w:rPr>
              <w:t>Corporate</w:t>
            </w:r>
          </w:p>
        </w:tc>
        <w:tc>
          <w:tcPr>
            <w:tcW w:w="80" w:type="dxa"/>
            <w:vAlign w:val="bottom"/>
          </w:tcPr>
          <w:p>
            <w:pPr>
              <w:spacing w:after="0"/>
              <w:rPr>
                <w:sz w:val="13"/>
                <w:szCs w:val="13"/>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4"/>
              </w:rPr>
              <w:t>Eliminations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ind w:right="228"/>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700" w:type="dxa"/>
            <w:vAlign w:val="bottom"/>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3"/>
              </w:rPr>
              <w:t>Other</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28"/>
              <w:spacing w:after="0" w:line="212" w:lineRule="exact"/>
              <w:rPr>
                <w:sz w:val="20"/>
                <w:szCs w:val="20"/>
                <w:color w:val="auto"/>
              </w:rPr>
            </w:pPr>
            <w:r>
              <w:rPr>
                <w:rFonts w:ascii="Arial" w:cs="Arial" w:eastAsia="Arial" w:hAnsi="Arial"/>
                <w:sz w:val="16"/>
                <w:szCs w:val="16"/>
                <w:b w:val="1"/>
                <w:bCs w:val="1"/>
                <w:color w:val="auto"/>
                <w:w w:val="92"/>
              </w:rPr>
              <w:t>Home</w:t>
            </w:r>
            <w:r>
              <w:rPr>
                <w:rFonts w:ascii="Arial" w:cs="Arial" w:eastAsia="Arial" w:hAnsi="Arial"/>
                <w:sz w:val="20"/>
                <w:szCs w:val="20"/>
                <w:b w:val="1"/>
                <w:bCs w:val="1"/>
                <w:color w:val="auto"/>
                <w:w w:val="92"/>
                <w:vertAlign w:val="superscript"/>
              </w:rPr>
              <w:t>(a)</w:t>
            </w:r>
          </w:p>
        </w:tc>
        <w:tc>
          <w:tcPr>
            <w:tcW w:w="60" w:type="dxa"/>
            <w:vAlign w:val="bottom"/>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920" w:type="dxa"/>
            <w:vAlign w:val="bottom"/>
            <w:gridSpan w:val="2"/>
          </w:tcPr>
          <w:p>
            <w:pPr>
              <w:spacing w:after="0"/>
              <w:rPr>
                <w:sz w:val="20"/>
                <w:szCs w:val="20"/>
                <w:color w:val="auto"/>
              </w:rPr>
            </w:pPr>
            <w:r>
              <w:rPr>
                <w:rFonts w:ascii="Arial" w:cs="Arial" w:eastAsia="Arial" w:hAnsi="Arial"/>
                <w:sz w:val="20"/>
                <w:szCs w:val="20"/>
                <w:color w:val="auto"/>
                <w:w w:val="92"/>
              </w:rPr>
              <w:t xml:space="preserve">Year Ended December 31, 2024 </w:t>
            </w:r>
            <w:r>
              <w:rPr>
                <w:rFonts w:ascii="Arial" w:cs="Arial" w:eastAsia="Arial" w:hAnsi="Arial"/>
                <w:sz w:val="20"/>
                <w:szCs w:val="20"/>
                <w:color w:val="B4B4B4"/>
                <w:w w:val="92"/>
              </w:rPr>
              <w:t>.</w:t>
            </w:r>
            <w:r>
              <w:rPr>
                <w:rFonts w:ascii="Arial" w:cs="Arial" w:eastAsia="Arial" w:hAnsi="Arial"/>
                <w:sz w:val="20"/>
                <w:szCs w:val="20"/>
                <w:color w:val="auto"/>
                <w:w w:val="92"/>
              </w:rPr>
              <w:t xml:space="preserve"> $</w:t>
            </w:r>
          </w:p>
        </w:tc>
        <w:tc>
          <w:tcPr>
            <w:tcW w:w="780" w:type="dxa"/>
            <w:vAlign w:val="bottom"/>
          </w:tcPr>
          <w:p>
            <w:pPr>
              <w:jc w:val="right"/>
              <w:spacing w:after="0"/>
              <w:rPr>
                <w:sz w:val="20"/>
                <w:szCs w:val="20"/>
                <w:color w:val="auto"/>
              </w:rPr>
            </w:pPr>
            <w:r>
              <w:rPr>
                <w:rFonts w:ascii="Arial" w:cs="Arial" w:eastAsia="Arial" w:hAnsi="Arial"/>
                <w:sz w:val="20"/>
                <w:szCs w:val="20"/>
                <w:color w:val="auto"/>
              </w:rPr>
              <w:t>783</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364</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216</w:t>
            </w:r>
          </w:p>
        </w:tc>
        <w:tc>
          <w:tcPr>
            <w:tcW w:w="26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247</w:t>
            </w:r>
          </w:p>
        </w:tc>
        <w:tc>
          <w:tcPr>
            <w:tcW w:w="500" w:type="dxa"/>
            <w:vAlign w:val="bottom"/>
            <w:gridSpan w:val="2"/>
          </w:tcPr>
          <w:p>
            <w:pPr>
              <w:jc w:val="right"/>
              <w:ind w:right="201"/>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7</w:t>
            </w:r>
          </w:p>
        </w:tc>
        <w:tc>
          <w:tcPr>
            <w:tcW w:w="48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(10)</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1,607</w:t>
            </w:r>
          </w:p>
        </w:tc>
        <w:tc>
          <w:tcPr>
            <w:tcW w:w="0" w:type="dxa"/>
            <w:vAlign w:val="bottom"/>
          </w:tcPr>
          <w:p>
            <w:pPr>
              <w:spacing w:after="0"/>
              <w:rPr>
                <w:sz w:val="1"/>
                <w:szCs w:val="1"/>
                <w:color w:val="auto"/>
              </w:rPr>
            </w:pPr>
          </w:p>
        </w:tc>
      </w:tr>
      <w:tr>
        <w:trPr>
          <w:trHeight w:val="297"/>
        </w:trPr>
        <w:tc>
          <w:tcPr>
            <w:tcW w:w="2920" w:type="dxa"/>
            <w:vAlign w:val="bottom"/>
            <w:gridSpan w:val="2"/>
          </w:tcPr>
          <w:p>
            <w:pPr>
              <w:spacing w:after="0"/>
              <w:rPr>
                <w:sz w:val="20"/>
                <w:szCs w:val="20"/>
                <w:color w:val="auto"/>
              </w:rPr>
            </w:pPr>
            <w:r>
              <w:rPr>
                <w:rFonts w:ascii="Arial" w:cs="Arial" w:eastAsia="Arial" w:hAnsi="Arial"/>
                <w:sz w:val="20"/>
                <w:szCs w:val="20"/>
                <w:color w:val="auto"/>
                <w:w w:val="97"/>
              </w:rPr>
              <w:t xml:space="preserve">Year Ended December 31, 2023 </w:t>
            </w:r>
            <w:r>
              <w:rPr>
                <w:rFonts w:ascii="Arial" w:cs="Arial" w:eastAsia="Arial" w:hAnsi="Arial"/>
                <w:sz w:val="20"/>
                <w:szCs w:val="20"/>
                <w:color w:val="B4B4B4"/>
                <w:w w:val="97"/>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620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343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245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187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1,391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-381635</wp:posOffset>
            </wp:positionV>
            <wp:extent cx="6475095" cy="402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6">
                      <a:extLst>
                        <a:ext uri="{28A0092B-C50C-407E-A947-70E740481C1C}"/>
                      </a:extLst>
                    </a:blip>
                    <a:srcRect/>
                    <a:stretch>
                      <a:fillRect/>
                    </a:stretch>
                  </pic:blipFill>
                  <pic:spPr bwMode="auto">
                    <a:xfrm>
                      <a:off x="0" y="0"/>
                      <a:ext cx="6475095" cy="402590"/>
                    </a:xfrm>
                    <a:prstGeom prst="rect">
                      <a:avLst/>
                    </a:prstGeom>
                    <a:noFill/>
                  </pic:spPr>
                </pic:pic>
              </a:graphicData>
            </a:graphic>
          </wp:anchor>
        </w:drawing>
      </w:r>
    </w:p>
    <w:p>
      <w:pPr>
        <w:spacing w:after="0" w:line="4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results of operations following the acquisition date of March 10, 2023</w:t>
      </w:r>
    </w:p>
    <w:p>
      <w:pPr>
        <w:spacing w:after="0" w:line="173" w:lineRule="exact"/>
        <w:rPr>
          <w:sz w:val="20"/>
          <w:szCs w:val="20"/>
          <w:color w:val="auto"/>
        </w:rPr>
      </w:pPr>
    </w:p>
    <w:p>
      <w:pPr>
        <w:ind w:right="120" w:firstLine="445"/>
        <w:spacing w:after="0" w:line="277" w:lineRule="auto"/>
        <w:rPr>
          <w:sz w:val="20"/>
          <w:szCs w:val="20"/>
          <w:color w:val="auto"/>
        </w:rPr>
      </w:pPr>
      <w:r>
        <w:rPr>
          <w:rFonts w:ascii="Arial" w:cs="Arial" w:eastAsia="Arial" w:hAnsi="Arial"/>
          <w:sz w:val="20"/>
          <w:szCs w:val="20"/>
          <w:color w:val="auto"/>
        </w:rPr>
        <w:t>Operations and maintenance expenses increased by $216 million for the year ended December 31, 2024, compared to the same period in 2023, due to the following:</w:t>
      </w:r>
    </w:p>
    <w:p>
      <w:pPr>
        <w:spacing w:after="0" w:line="3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w w:val="93"/>
              </w:rPr>
              <w:t>(In millions)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920" w:type="dxa"/>
            <w:vAlign w:val="bottom"/>
            <w:gridSpan w:val="14"/>
          </w:tcPr>
          <w:p>
            <w:pPr>
              <w:spacing w:after="0"/>
              <w:rPr>
                <w:sz w:val="20"/>
                <w:szCs w:val="20"/>
                <w:color w:val="auto"/>
              </w:rPr>
            </w:pPr>
            <w:r>
              <w:rPr>
                <w:rFonts w:ascii="Arial" w:cs="Arial" w:eastAsia="Arial" w:hAnsi="Arial"/>
                <w:sz w:val="20"/>
                <w:szCs w:val="20"/>
                <w:color w:val="auto"/>
                <w:w w:val="91"/>
              </w:rPr>
              <w:t>Increase primarily due to the prior year partial property insurance claim for the extended outage at W.A. Parish</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164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8680" w:type="dxa"/>
            <w:vAlign w:val="bottom"/>
            <w:gridSpan w:val="12"/>
          </w:tcPr>
          <w:p>
            <w:pPr>
              <w:spacing w:after="0"/>
              <w:rPr>
                <w:sz w:val="20"/>
                <w:szCs w:val="20"/>
                <w:color w:val="auto"/>
              </w:rPr>
            </w:pPr>
            <w:r>
              <w:rPr>
                <w:rFonts w:ascii="Arial" w:cs="Arial" w:eastAsia="Arial" w:hAnsi="Arial"/>
                <w:sz w:val="20"/>
                <w:szCs w:val="20"/>
                <w:color w:val="auto"/>
                <w:w w:val="88"/>
              </w:rPr>
              <w:t>Increase in planned major maintenance expenditures associated with the scope and duration of outages at the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340" w:type="dxa"/>
            <w:vAlign w:val="bottom"/>
            <w:gridSpan w:val="3"/>
          </w:tcPr>
          <w:p>
            <w:pPr>
              <w:ind w:left="180"/>
              <w:spacing w:after="0"/>
              <w:rPr>
                <w:sz w:val="20"/>
                <w:szCs w:val="20"/>
                <w:color w:val="auto"/>
              </w:rPr>
            </w:pPr>
            <w:r>
              <w:rPr>
                <w:rFonts w:ascii="Arial" w:cs="Arial" w:eastAsia="Arial" w:hAnsi="Arial"/>
                <w:sz w:val="20"/>
                <w:szCs w:val="20"/>
                <w:color w:val="auto"/>
                <w:w w:val="89"/>
              </w:rPr>
              <w:t xml:space="preserve">Texas coal and gas facilities, and Powerton </w:t>
            </w:r>
            <w:r>
              <w:rPr>
                <w:rFonts w:ascii="Arial" w:cs="Arial" w:eastAsia="Arial" w:hAnsi="Arial"/>
                <w:sz w:val="20"/>
                <w:szCs w:val="20"/>
                <w:color w:val="B4B4B4"/>
                <w:w w:val="89"/>
              </w:rPr>
              <w:t>. . . . . . .</w:t>
            </w:r>
          </w:p>
        </w:tc>
        <w:tc>
          <w:tcPr>
            <w:tcW w:w="80" w:type="dxa"/>
            <w:vAlign w:val="bottom"/>
          </w:tcPr>
          <w:p>
            <w:pPr>
              <w:jc w:val="right"/>
              <w:spacing w:after="0"/>
              <w:rPr>
                <w:sz w:val="20"/>
                <w:szCs w:val="20"/>
                <w:color w:val="auto"/>
              </w:rPr>
            </w:pPr>
            <w:r>
              <w:rPr>
                <w:rFonts w:ascii="Arial" w:cs="Arial" w:eastAsia="Arial" w:hAnsi="Arial"/>
                <w:sz w:val="20"/>
                <w:szCs w:val="20"/>
                <w:color w:val="B4B4B4"/>
                <w:w w:val="71"/>
              </w:rPr>
              <w:t>.</w:t>
            </w:r>
          </w:p>
        </w:tc>
        <w:tc>
          <w:tcPr>
            <w:tcW w:w="520" w:type="dxa"/>
            <w:vAlign w:val="bottom"/>
          </w:tcPr>
          <w:p>
            <w:pPr>
              <w:jc w:val="right"/>
              <w:spacing w:after="0"/>
              <w:rPr>
                <w:sz w:val="20"/>
                <w:szCs w:val="20"/>
                <w:color w:val="auto"/>
              </w:rPr>
            </w:pPr>
            <w:r>
              <w:rPr>
                <w:rFonts w:ascii="Arial" w:cs="Arial" w:eastAsia="Arial" w:hAnsi="Arial"/>
                <w:sz w:val="20"/>
                <w:szCs w:val="20"/>
                <w:color w:val="B4B4B4"/>
                <w:w w:val="91"/>
              </w:rPr>
              <w:t>. . . . .</w:t>
            </w:r>
          </w:p>
        </w:tc>
        <w:tc>
          <w:tcPr>
            <w:tcW w:w="1080" w:type="dxa"/>
            <w:vAlign w:val="bottom"/>
            <w:gridSpan w:val="3"/>
          </w:tcPr>
          <w:p>
            <w:pPr>
              <w:jc w:val="right"/>
              <w:ind w:right="40"/>
              <w:spacing w:after="0"/>
              <w:rPr>
                <w:sz w:val="20"/>
                <w:szCs w:val="20"/>
                <w:color w:val="auto"/>
              </w:rPr>
            </w:pPr>
            <w:r>
              <w:rPr>
                <w:rFonts w:ascii="Arial" w:cs="Arial" w:eastAsia="Arial" w:hAnsi="Arial"/>
                <w:sz w:val="20"/>
                <w:szCs w:val="20"/>
                <w:color w:val="B4B4B4"/>
                <w:w w:val="87"/>
              </w:rPr>
              <w:t>. . . . . . . . . . .</w:t>
            </w:r>
          </w:p>
        </w:tc>
        <w:tc>
          <w:tcPr>
            <w:tcW w:w="1280" w:type="dxa"/>
            <w:vAlign w:val="bottom"/>
            <w:gridSpan w:val="2"/>
          </w:tcPr>
          <w:p>
            <w:pPr>
              <w:ind w:left="20"/>
              <w:spacing w:after="0"/>
              <w:rPr>
                <w:sz w:val="20"/>
                <w:szCs w:val="20"/>
                <w:color w:val="auto"/>
              </w:rPr>
            </w:pPr>
            <w:r>
              <w:rPr>
                <w:rFonts w:ascii="Arial" w:cs="Arial" w:eastAsia="Arial" w:hAnsi="Arial"/>
                <w:sz w:val="20"/>
                <w:szCs w:val="20"/>
                <w:color w:val="B4B4B4"/>
                <w:w w:val="89"/>
              </w:rPr>
              <w:t>. . . . . . . . . . . . .</w:t>
            </w:r>
          </w:p>
        </w:tc>
        <w:tc>
          <w:tcPr>
            <w:tcW w:w="1180" w:type="dxa"/>
            <w:vAlign w:val="bottom"/>
          </w:tcPr>
          <w:p>
            <w:pPr>
              <w:jc w:val="right"/>
              <w:spacing w:after="0"/>
              <w:rPr>
                <w:sz w:val="20"/>
                <w:szCs w:val="20"/>
                <w:color w:val="auto"/>
              </w:rPr>
            </w:pPr>
            <w:r>
              <w:rPr>
                <w:rFonts w:ascii="Arial" w:cs="Arial" w:eastAsia="Arial" w:hAnsi="Arial"/>
                <w:sz w:val="20"/>
                <w:szCs w:val="20"/>
                <w:color w:val="B4B4B4"/>
                <w:w w:val="89"/>
              </w:rPr>
              <w:t>. . . . . . . . . . . .</w:t>
            </w:r>
          </w:p>
        </w:tc>
        <w:tc>
          <w:tcPr>
            <w:tcW w:w="200" w:type="dxa"/>
            <w:vAlign w:val="bottom"/>
          </w:tcPr>
          <w:p>
            <w:pPr>
              <w:ind w:left="40"/>
              <w:spacing w:after="0"/>
              <w:rPr>
                <w:sz w:val="20"/>
                <w:szCs w:val="20"/>
                <w:color w:val="auto"/>
              </w:rPr>
            </w:pPr>
            <w:r>
              <w:rPr>
                <w:rFonts w:ascii="Arial" w:cs="Arial" w:eastAsia="Arial" w:hAnsi="Arial"/>
                <w:sz w:val="20"/>
                <w:szCs w:val="20"/>
                <w:color w:val="B4B4B4"/>
                <w:w w:val="83"/>
              </w:rPr>
              <w:t>. .</w:t>
            </w:r>
          </w:p>
        </w:tc>
        <w:tc>
          <w:tcPr>
            <w:tcW w:w="240" w:type="dxa"/>
            <w:vAlign w:val="bottom"/>
            <w:gridSpan w:val="2"/>
          </w:tcPr>
          <w:p>
            <w:pPr>
              <w:jc w:val="right"/>
              <w:ind w:right="60"/>
              <w:spacing w:after="0"/>
              <w:rPr>
                <w:sz w:val="20"/>
                <w:szCs w:val="20"/>
                <w:color w:val="auto"/>
              </w:rPr>
            </w:pPr>
            <w:r>
              <w:rPr>
                <w:rFonts w:ascii="Arial" w:cs="Arial" w:eastAsia="Arial" w:hAnsi="Arial"/>
                <w:sz w:val="20"/>
                <w:szCs w:val="20"/>
                <w:color w:val="B4B4B4"/>
                <w:w w:val="95"/>
              </w:rPr>
              <w:t>. .</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020" w:type="dxa"/>
            <w:vAlign w:val="bottom"/>
            <w:gridSpan w:val="8"/>
          </w:tcPr>
          <w:p>
            <w:pPr>
              <w:spacing w:after="0"/>
              <w:rPr>
                <w:sz w:val="20"/>
                <w:szCs w:val="20"/>
                <w:color w:val="auto"/>
              </w:rPr>
            </w:pPr>
            <w:r>
              <w:rPr>
                <w:rFonts w:ascii="Arial" w:cs="Arial" w:eastAsia="Arial" w:hAnsi="Arial"/>
                <w:sz w:val="20"/>
                <w:szCs w:val="20"/>
                <w:color w:val="auto"/>
                <w:w w:val="91"/>
              </w:rPr>
              <w:t xml:space="preserve">Increase due to the acquisition of Vivint Smart Home in March 2023 </w:t>
            </w:r>
            <w:r>
              <w:rPr>
                <w:rFonts w:ascii="Arial" w:cs="Arial" w:eastAsia="Arial" w:hAnsi="Arial"/>
                <w:sz w:val="20"/>
                <w:szCs w:val="20"/>
                <w:color w:val="B4B4B4"/>
                <w:w w:val="91"/>
              </w:rPr>
              <w:t>. . . . .</w:t>
            </w:r>
          </w:p>
        </w:tc>
        <w:tc>
          <w:tcPr>
            <w:tcW w:w="1280" w:type="dxa"/>
            <w:vAlign w:val="bottom"/>
            <w:gridSpan w:val="2"/>
          </w:tcPr>
          <w:p>
            <w:pPr>
              <w:ind w:left="20"/>
              <w:spacing w:after="0"/>
              <w:rPr>
                <w:sz w:val="20"/>
                <w:szCs w:val="20"/>
                <w:color w:val="auto"/>
              </w:rPr>
            </w:pPr>
            <w:r>
              <w:rPr>
                <w:rFonts w:ascii="Arial" w:cs="Arial" w:eastAsia="Arial" w:hAnsi="Arial"/>
                <w:sz w:val="20"/>
                <w:szCs w:val="20"/>
                <w:color w:val="B4B4B4"/>
                <w:w w:val="89"/>
              </w:rPr>
              <w:t>. . . . . . . . . . . . .</w:t>
            </w:r>
          </w:p>
        </w:tc>
        <w:tc>
          <w:tcPr>
            <w:tcW w:w="1180" w:type="dxa"/>
            <w:vAlign w:val="bottom"/>
          </w:tcPr>
          <w:p>
            <w:pPr>
              <w:jc w:val="right"/>
              <w:spacing w:after="0"/>
              <w:rPr>
                <w:sz w:val="20"/>
                <w:szCs w:val="20"/>
                <w:color w:val="auto"/>
              </w:rPr>
            </w:pPr>
            <w:r>
              <w:rPr>
                <w:rFonts w:ascii="Arial" w:cs="Arial" w:eastAsia="Arial" w:hAnsi="Arial"/>
                <w:sz w:val="20"/>
                <w:szCs w:val="20"/>
                <w:color w:val="B4B4B4"/>
                <w:w w:val="89"/>
              </w:rPr>
              <w:t>. . . . . . . . . . . .</w:t>
            </w:r>
          </w:p>
        </w:tc>
        <w:tc>
          <w:tcPr>
            <w:tcW w:w="200" w:type="dxa"/>
            <w:vAlign w:val="bottom"/>
          </w:tcPr>
          <w:p>
            <w:pPr>
              <w:ind w:left="20"/>
              <w:spacing w:after="0"/>
              <w:rPr>
                <w:sz w:val="20"/>
                <w:szCs w:val="20"/>
                <w:color w:val="auto"/>
              </w:rPr>
            </w:pPr>
            <w:r>
              <w:rPr>
                <w:rFonts w:ascii="Arial" w:cs="Arial" w:eastAsia="Arial" w:hAnsi="Arial"/>
                <w:sz w:val="20"/>
                <w:szCs w:val="20"/>
                <w:color w:val="B4B4B4"/>
                <w:w w:val="95"/>
              </w:rPr>
              <w:t>. .</w:t>
            </w:r>
          </w:p>
        </w:tc>
        <w:tc>
          <w:tcPr>
            <w:tcW w:w="240" w:type="dxa"/>
            <w:vAlign w:val="bottom"/>
            <w:gridSpan w:val="2"/>
          </w:tcPr>
          <w:p>
            <w:pPr>
              <w:jc w:val="right"/>
              <w:ind w:right="60"/>
              <w:spacing w:after="0"/>
              <w:rPr>
                <w:sz w:val="20"/>
                <w:szCs w:val="20"/>
                <w:color w:val="auto"/>
              </w:rPr>
            </w:pPr>
            <w:r>
              <w:rPr>
                <w:rFonts w:ascii="Arial" w:cs="Arial" w:eastAsia="Arial" w:hAnsi="Arial"/>
                <w:sz w:val="20"/>
                <w:szCs w:val="20"/>
                <w:color w:val="B4B4B4"/>
                <w:w w:val="95"/>
              </w:rPr>
              <w:t>. .</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40" w:type="dxa"/>
            <w:vAlign w:val="bottom"/>
            <w:gridSpan w:val="5"/>
          </w:tcPr>
          <w:p>
            <w:pPr>
              <w:spacing w:after="0"/>
              <w:rPr>
                <w:sz w:val="20"/>
                <w:szCs w:val="20"/>
                <w:color w:val="auto"/>
              </w:rPr>
            </w:pPr>
            <w:r>
              <w:rPr>
                <w:rFonts w:ascii="Arial" w:cs="Arial" w:eastAsia="Arial" w:hAnsi="Arial"/>
                <w:sz w:val="20"/>
                <w:szCs w:val="20"/>
                <w:color w:val="auto"/>
                <w:w w:val="89"/>
              </w:rPr>
              <w:t>Increase driven by higher Vivint Smart Home operations costs</w:t>
            </w:r>
          </w:p>
        </w:tc>
        <w:tc>
          <w:tcPr>
            <w:tcW w:w="1080" w:type="dxa"/>
            <w:vAlign w:val="bottom"/>
            <w:gridSpan w:val="3"/>
          </w:tcPr>
          <w:p>
            <w:pPr>
              <w:jc w:val="right"/>
              <w:ind w:right="40"/>
              <w:spacing w:after="0"/>
              <w:rPr>
                <w:sz w:val="20"/>
                <w:szCs w:val="20"/>
                <w:color w:val="auto"/>
              </w:rPr>
            </w:pPr>
            <w:r>
              <w:rPr>
                <w:rFonts w:ascii="Arial" w:cs="Arial" w:eastAsia="Arial" w:hAnsi="Arial"/>
                <w:sz w:val="20"/>
                <w:szCs w:val="20"/>
                <w:color w:val="B4B4B4"/>
                <w:w w:val="96"/>
              </w:rPr>
              <w:t>. . . . . . . . . .</w:t>
            </w:r>
          </w:p>
        </w:tc>
        <w:tc>
          <w:tcPr>
            <w:tcW w:w="1280" w:type="dxa"/>
            <w:vAlign w:val="bottom"/>
            <w:gridSpan w:val="2"/>
          </w:tcPr>
          <w:p>
            <w:pPr>
              <w:ind w:left="20"/>
              <w:spacing w:after="0"/>
              <w:rPr>
                <w:sz w:val="20"/>
                <w:szCs w:val="20"/>
                <w:color w:val="auto"/>
              </w:rPr>
            </w:pPr>
            <w:r>
              <w:rPr>
                <w:rFonts w:ascii="Arial" w:cs="Arial" w:eastAsia="Arial" w:hAnsi="Arial"/>
                <w:sz w:val="20"/>
                <w:szCs w:val="20"/>
                <w:color w:val="B4B4B4"/>
                <w:w w:val="89"/>
              </w:rPr>
              <w:t>. . . . . . . . . . . . .</w:t>
            </w:r>
          </w:p>
        </w:tc>
        <w:tc>
          <w:tcPr>
            <w:tcW w:w="1180" w:type="dxa"/>
            <w:vAlign w:val="bottom"/>
          </w:tcPr>
          <w:p>
            <w:pPr>
              <w:jc w:val="right"/>
              <w:spacing w:after="0"/>
              <w:rPr>
                <w:sz w:val="20"/>
                <w:szCs w:val="20"/>
                <w:color w:val="auto"/>
              </w:rPr>
            </w:pPr>
            <w:r>
              <w:rPr>
                <w:rFonts w:ascii="Arial" w:cs="Arial" w:eastAsia="Arial" w:hAnsi="Arial"/>
                <w:sz w:val="20"/>
                <w:szCs w:val="20"/>
                <w:color w:val="B4B4B4"/>
                <w:w w:val="89"/>
              </w:rPr>
              <w:t>. . . . . . . . . . . .</w:t>
            </w:r>
          </w:p>
        </w:tc>
        <w:tc>
          <w:tcPr>
            <w:tcW w:w="200" w:type="dxa"/>
            <w:vAlign w:val="bottom"/>
          </w:tcPr>
          <w:p>
            <w:pPr>
              <w:ind w:left="20"/>
              <w:spacing w:after="0"/>
              <w:rPr>
                <w:sz w:val="20"/>
                <w:szCs w:val="20"/>
                <w:color w:val="auto"/>
              </w:rPr>
            </w:pPr>
            <w:r>
              <w:rPr>
                <w:rFonts w:ascii="Arial" w:cs="Arial" w:eastAsia="Arial" w:hAnsi="Arial"/>
                <w:sz w:val="20"/>
                <w:szCs w:val="20"/>
                <w:color w:val="B4B4B4"/>
                <w:w w:val="95"/>
              </w:rPr>
              <w:t>. .</w:t>
            </w:r>
          </w:p>
        </w:tc>
        <w:tc>
          <w:tcPr>
            <w:tcW w:w="240" w:type="dxa"/>
            <w:vAlign w:val="bottom"/>
            <w:gridSpan w:val="2"/>
          </w:tcPr>
          <w:p>
            <w:pPr>
              <w:jc w:val="right"/>
              <w:ind w:right="60"/>
              <w:spacing w:after="0"/>
              <w:rPr>
                <w:sz w:val="20"/>
                <w:szCs w:val="20"/>
                <w:color w:val="auto"/>
              </w:rPr>
            </w:pPr>
            <w:r>
              <w:rPr>
                <w:rFonts w:ascii="Arial" w:cs="Arial" w:eastAsia="Arial" w:hAnsi="Arial"/>
                <w:sz w:val="20"/>
                <w:szCs w:val="20"/>
                <w:color w:val="B4B4B4"/>
                <w:w w:val="95"/>
              </w:rPr>
              <w:t>. .</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40" w:type="dxa"/>
            <w:vAlign w:val="bottom"/>
            <w:gridSpan w:val="3"/>
          </w:tcPr>
          <w:p>
            <w:pPr>
              <w:spacing w:after="0"/>
              <w:rPr>
                <w:sz w:val="20"/>
                <w:szCs w:val="20"/>
                <w:color w:val="auto"/>
              </w:rPr>
            </w:pPr>
            <w:r>
              <w:rPr>
                <w:rFonts w:ascii="Arial" w:cs="Arial" w:eastAsia="Arial" w:hAnsi="Arial"/>
                <w:sz w:val="20"/>
                <w:szCs w:val="20"/>
                <w:color w:val="auto"/>
                <w:w w:val="89"/>
              </w:rPr>
              <w:t xml:space="preserve">Increase driven by higher retail operations costs </w:t>
            </w:r>
            <w:r>
              <w:rPr>
                <w:rFonts w:ascii="Arial" w:cs="Arial" w:eastAsia="Arial" w:hAnsi="Arial"/>
                <w:sz w:val="20"/>
                <w:szCs w:val="20"/>
                <w:color w:val="B4B4B4"/>
                <w:w w:val="89"/>
              </w:rPr>
              <w:t>. . . . .</w:t>
            </w:r>
          </w:p>
        </w:tc>
        <w:tc>
          <w:tcPr>
            <w:tcW w:w="80" w:type="dxa"/>
            <w:vAlign w:val="bottom"/>
          </w:tcPr>
          <w:p>
            <w:pPr>
              <w:jc w:val="right"/>
              <w:spacing w:after="0"/>
              <w:rPr>
                <w:sz w:val="20"/>
                <w:szCs w:val="20"/>
                <w:color w:val="auto"/>
              </w:rPr>
            </w:pPr>
            <w:r>
              <w:rPr>
                <w:rFonts w:ascii="Arial" w:cs="Arial" w:eastAsia="Arial" w:hAnsi="Arial"/>
                <w:sz w:val="20"/>
                <w:szCs w:val="20"/>
                <w:color w:val="B4B4B4"/>
                <w:w w:val="71"/>
              </w:rPr>
              <w:t>.</w:t>
            </w:r>
          </w:p>
        </w:tc>
        <w:tc>
          <w:tcPr>
            <w:tcW w:w="520" w:type="dxa"/>
            <w:vAlign w:val="bottom"/>
          </w:tcPr>
          <w:p>
            <w:pPr>
              <w:jc w:val="right"/>
              <w:spacing w:after="0"/>
              <w:rPr>
                <w:sz w:val="20"/>
                <w:szCs w:val="20"/>
                <w:color w:val="auto"/>
              </w:rPr>
            </w:pPr>
            <w:r>
              <w:rPr>
                <w:rFonts w:ascii="Arial" w:cs="Arial" w:eastAsia="Arial" w:hAnsi="Arial"/>
                <w:sz w:val="20"/>
                <w:szCs w:val="20"/>
                <w:color w:val="B4B4B4"/>
                <w:w w:val="91"/>
              </w:rPr>
              <w:t>. . . . .</w:t>
            </w:r>
          </w:p>
        </w:tc>
        <w:tc>
          <w:tcPr>
            <w:tcW w:w="1080" w:type="dxa"/>
            <w:vAlign w:val="bottom"/>
            <w:gridSpan w:val="3"/>
          </w:tcPr>
          <w:p>
            <w:pPr>
              <w:jc w:val="right"/>
              <w:ind w:right="40"/>
              <w:spacing w:after="0"/>
              <w:rPr>
                <w:sz w:val="20"/>
                <w:szCs w:val="20"/>
                <w:color w:val="auto"/>
              </w:rPr>
            </w:pPr>
            <w:r>
              <w:rPr>
                <w:rFonts w:ascii="Arial" w:cs="Arial" w:eastAsia="Arial" w:hAnsi="Arial"/>
                <w:sz w:val="20"/>
                <w:szCs w:val="20"/>
                <w:color w:val="B4B4B4"/>
                <w:w w:val="87"/>
              </w:rPr>
              <w:t>. . . . . . . . . . .</w:t>
            </w:r>
          </w:p>
        </w:tc>
        <w:tc>
          <w:tcPr>
            <w:tcW w:w="1280" w:type="dxa"/>
            <w:vAlign w:val="bottom"/>
            <w:gridSpan w:val="2"/>
          </w:tcPr>
          <w:p>
            <w:pPr>
              <w:ind w:left="20"/>
              <w:spacing w:after="0"/>
              <w:rPr>
                <w:sz w:val="20"/>
                <w:szCs w:val="20"/>
                <w:color w:val="auto"/>
              </w:rPr>
            </w:pPr>
            <w:r>
              <w:rPr>
                <w:rFonts w:ascii="Arial" w:cs="Arial" w:eastAsia="Arial" w:hAnsi="Arial"/>
                <w:sz w:val="20"/>
                <w:szCs w:val="20"/>
                <w:color w:val="B4B4B4"/>
                <w:w w:val="89"/>
              </w:rPr>
              <w:t>. . . . . . . . . . . . .</w:t>
            </w:r>
          </w:p>
        </w:tc>
        <w:tc>
          <w:tcPr>
            <w:tcW w:w="1180" w:type="dxa"/>
            <w:vAlign w:val="bottom"/>
          </w:tcPr>
          <w:p>
            <w:pPr>
              <w:jc w:val="right"/>
              <w:spacing w:after="0"/>
              <w:rPr>
                <w:sz w:val="20"/>
                <w:szCs w:val="20"/>
                <w:color w:val="auto"/>
              </w:rPr>
            </w:pPr>
            <w:r>
              <w:rPr>
                <w:rFonts w:ascii="Arial" w:cs="Arial" w:eastAsia="Arial" w:hAnsi="Arial"/>
                <w:sz w:val="20"/>
                <w:szCs w:val="20"/>
                <w:color w:val="B4B4B4"/>
                <w:w w:val="89"/>
              </w:rPr>
              <w:t>. . . . . . . . . . . .</w:t>
            </w:r>
          </w:p>
        </w:tc>
        <w:tc>
          <w:tcPr>
            <w:tcW w:w="200" w:type="dxa"/>
            <w:vAlign w:val="bottom"/>
          </w:tcPr>
          <w:p>
            <w:pPr>
              <w:ind w:left="20"/>
              <w:spacing w:after="0"/>
              <w:rPr>
                <w:sz w:val="20"/>
                <w:szCs w:val="20"/>
                <w:color w:val="auto"/>
              </w:rPr>
            </w:pPr>
            <w:r>
              <w:rPr>
                <w:rFonts w:ascii="Arial" w:cs="Arial" w:eastAsia="Arial" w:hAnsi="Arial"/>
                <w:sz w:val="20"/>
                <w:szCs w:val="20"/>
                <w:color w:val="B4B4B4"/>
                <w:w w:val="95"/>
              </w:rPr>
              <w:t>. .</w:t>
            </w:r>
          </w:p>
        </w:tc>
        <w:tc>
          <w:tcPr>
            <w:tcW w:w="240" w:type="dxa"/>
            <w:vAlign w:val="bottom"/>
            <w:gridSpan w:val="2"/>
          </w:tcPr>
          <w:p>
            <w:pPr>
              <w:jc w:val="right"/>
              <w:ind w:right="60"/>
              <w:spacing w:after="0"/>
              <w:rPr>
                <w:sz w:val="20"/>
                <w:szCs w:val="20"/>
                <w:color w:val="auto"/>
              </w:rPr>
            </w:pPr>
            <w:r>
              <w:rPr>
                <w:rFonts w:ascii="Arial" w:cs="Arial" w:eastAsia="Arial" w:hAnsi="Arial"/>
                <w:sz w:val="20"/>
                <w:szCs w:val="20"/>
                <w:color w:val="B4B4B4"/>
                <w:w w:val="95"/>
              </w:rPr>
              <w:t>. .</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40" w:type="dxa"/>
            <w:vAlign w:val="bottom"/>
            <w:gridSpan w:val="5"/>
          </w:tcPr>
          <w:p>
            <w:pPr>
              <w:spacing w:after="0"/>
              <w:rPr>
                <w:sz w:val="20"/>
                <w:szCs w:val="20"/>
                <w:color w:val="auto"/>
              </w:rPr>
            </w:pPr>
            <w:r>
              <w:rPr>
                <w:rFonts w:ascii="Arial" w:cs="Arial" w:eastAsia="Arial" w:hAnsi="Arial"/>
                <w:sz w:val="20"/>
                <w:szCs w:val="20"/>
                <w:color w:val="auto"/>
                <w:w w:val="91"/>
              </w:rPr>
              <w:t>Decrease primarily due to the sale of STP in November 2023</w:t>
            </w:r>
          </w:p>
        </w:tc>
        <w:tc>
          <w:tcPr>
            <w:tcW w:w="1080" w:type="dxa"/>
            <w:vAlign w:val="bottom"/>
            <w:gridSpan w:val="3"/>
          </w:tcPr>
          <w:p>
            <w:pPr>
              <w:jc w:val="right"/>
              <w:ind w:right="40"/>
              <w:spacing w:after="0"/>
              <w:rPr>
                <w:sz w:val="20"/>
                <w:szCs w:val="20"/>
                <w:color w:val="auto"/>
              </w:rPr>
            </w:pPr>
            <w:r>
              <w:rPr>
                <w:rFonts w:ascii="Arial" w:cs="Arial" w:eastAsia="Arial" w:hAnsi="Arial"/>
                <w:sz w:val="20"/>
                <w:szCs w:val="20"/>
                <w:color w:val="B4B4B4"/>
                <w:w w:val="87"/>
              </w:rPr>
              <w:t>. . . . . . . . . . .</w:t>
            </w:r>
          </w:p>
        </w:tc>
        <w:tc>
          <w:tcPr>
            <w:tcW w:w="1280" w:type="dxa"/>
            <w:vAlign w:val="bottom"/>
            <w:gridSpan w:val="2"/>
          </w:tcPr>
          <w:p>
            <w:pPr>
              <w:ind w:left="20"/>
              <w:spacing w:after="0"/>
              <w:rPr>
                <w:sz w:val="20"/>
                <w:szCs w:val="20"/>
                <w:color w:val="auto"/>
              </w:rPr>
            </w:pPr>
            <w:r>
              <w:rPr>
                <w:rFonts w:ascii="Arial" w:cs="Arial" w:eastAsia="Arial" w:hAnsi="Arial"/>
                <w:sz w:val="20"/>
                <w:szCs w:val="20"/>
                <w:color w:val="B4B4B4"/>
                <w:w w:val="89"/>
              </w:rPr>
              <w:t>. . . . . . . . . . . . .</w:t>
            </w:r>
          </w:p>
        </w:tc>
        <w:tc>
          <w:tcPr>
            <w:tcW w:w="1180" w:type="dxa"/>
            <w:vAlign w:val="bottom"/>
          </w:tcPr>
          <w:p>
            <w:pPr>
              <w:jc w:val="right"/>
              <w:spacing w:after="0"/>
              <w:rPr>
                <w:sz w:val="20"/>
                <w:szCs w:val="20"/>
                <w:color w:val="auto"/>
              </w:rPr>
            </w:pPr>
            <w:r>
              <w:rPr>
                <w:rFonts w:ascii="Arial" w:cs="Arial" w:eastAsia="Arial" w:hAnsi="Arial"/>
                <w:sz w:val="20"/>
                <w:szCs w:val="20"/>
                <w:color w:val="B4B4B4"/>
                <w:w w:val="89"/>
              </w:rPr>
              <w:t>. . . . . . . . . . . .</w:t>
            </w:r>
          </w:p>
        </w:tc>
        <w:tc>
          <w:tcPr>
            <w:tcW w:w="200" w:type="dxa"/>
            <w:vAlign w:val="bottom"/>
          </w:tcPr>
          <w:p>
            <w:pPr>
              <w:ind w:left="20"/>
              <w:spacing w:after="0"/>
              <w:rPr>
                <w:sz w:val="20"/>
                <w:szCs w:val="20"/>
                <w:color w:val="auto"/>
              </w:rPr>
            </w:pPr>
            <w:r>
              <w:rPr>
                <w:rFonts w:ascii="Arial" w:cs="Arial" w:eastAsia="Arial" w:hAnsi="Arial"/>
                <w:sz w:val="20"/>
                <w:szCs w:val="20"/>
                <w:color w:val="B4B4B4"/>
                <w:w w:val="95"/>
              </w:rPr>
              <w:t>. .</w:t>
            </w:r>
          </w:p>
        </w:tc>
        <w:tc>
          <w:tcPr>
            <w:tcW w:w="240" w:type="dxa"/>
            <w:vAlign w:val="bottom"/>
            <w:gridSpan w:val="2"/>
          </w:tcPr>
          <w:p>
            <w:pPr>
              <w:jc w:val="right"/>
              <w:ind w:right="60"/>
              <w:spacing w:after="0"/>
              <w:rPr>
                <w:sz w:val="20"/>
                <w:szCs w:val="20"/>
                <w:color w:val="auto"/>
              </w:rPr>
            </w:pPr>
            <w:r>
              <w:rPr>
                <w:rFonts w:ascii="Arial" w:cs="Arial" w:eastAsia="Arial" w:hAnsi="Arial"/>
                <w:sz w:val="20"/>
                <w:szCs w:val="20"/>
                <w:color w:val="B4B4B4"/>
                <w:w w:val="95"/>
              </w:rPr>
              <w:t>. .</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80" w:type="dxa"/>
            <w:vAlign w:val="bottom"/>
            <w:gridSpan w:val="11"/>
          </w:tcPr>
          <w:p>
            <w:pPr>
              <w:spacing w:after="0"/>
              <w:rPr>
                <w:sz w:val="20"/>
                <w:szCs w:val="20"/>
                <w:color w:val="auto"/>
              </w:rPr>
            </w:pPr>
            <w:r>
              <w:rPr>
                <w:rFonts w:ascii="Arial" w:cs="Arial" w:eastAsia="Arial" w:hAnsi="Arial"/>
                <w:sz w:val="20"/>
                <w:szCs w:val="20"/>
                <w:color w:val="auto"/>
                <w:w w:val="90"/>
              </w:rPr>
              <w:t xml:space="preserve">Decrease driven by a reduction in deactivation and asset retirement expenditures primarily in the East  </w:t>
            </w:r>
            <w:r>
              <w:rPr>
                <w:rFonts w:ascii="Arial" w:cs="Arial" w:eastAsia="Arial" w:hAnsi="Arial"/>
                <w:sz w:val="20"/>
                <w:szCs w:val="20"/>
                <w:color w:val="B4B4B4"/>
                <w:w w:val="90"/>
              </w:rPr>
              <w:t>. . .</w:t>
            </w:r>
          </w:p>
        </w:tc>
        <w:tc>
          <w:tcPr>
            <w:tcW w:w="200" w:type="dxa"/>
            <w:vAlign w:val="bottom"/>
          </w:tcPr>
          <w:p>
            <w:pPr>
              <w:ind w:left="20"/>
              <w:spacing w:after="0"/>
              <w:rPr>
                <w:sz w:val="20"/>
                <w:szCs w:val="20"/>
                <w:color w:val="auto"/>
              </w:rPr>
            </w:pPr>
            <w:r>
              <w:rPr>
                <w:rFonts w:ascii="Arial" w:cs="Arial" w:eastAsia="Arial" w:hAnsi="Arial"/>
                <w:sz w:val="20"/>
                <w:szCs w:val="20"/>
                <w:color w:val="B4B4B4"/>
                <w:w w:val="95"/>
              </w:rPr>
              <w:t>. .</w:t>
            </w:r>
          </w:p>
        </w:tc>
        <w:tc>
          <w:tcPr>
            <w:tcW w:w="240" w:type="dxa"/>
            <w:vAlign w:val="bottom"/>
            <w:gridSpan w:val="2"/>
          </w:tcPr>
          <w:p>
            <w:pPr>
              <w:jc w:val="right"/>
              <w:ind w:right="60"/>
              <w:spacing w:after="0"/>
              <w:rPr>
                <w:sz w:val="20"/>
                <w:szCs w:val="20"/>
                <w:color w:val="auto"/>
              </w:rPr>
            </w:pPr>
            <w:r>
              <w:rPr>
                <w:rFonts w:ascii="Arial" w:cs="Arial" w:eastAsia="Arial" w:hAnsi="Arial"/>
                <w:sz w:val="20"/>
                <w:szCs w:val="20"/>
                <w:color w:val="B4B4B4"/>
                <w:w w:val="95"/>
              </w:rPr>
              <w:t>. .</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40" w:type="dxa"/>
            <w:vAlign w:val="bottom"/>
            <w:gridSpan w:val="3"/>
          </w:tcPr>
          <w:p>
            <w:pPr>
              <w:spacing w:after="0"/>
              <w:rPr>
                <w:sz w:val="20"/>
                <w:szCs w:val="20"/>
                <w:color w:val="auto"/>
              </w:rPr>
            </w:pPr>
            <w:r>
              <w:rPr>
                <w:rFonts w:ascii="Arial" w:cs="Arial" w:eastAsia="Arial" w:hAnsi="Arial"/>
                <w:sz w:val="20"/>
                <w:szCs w:val="20"/>
                <w:color w:val="auto"/>
                <w:w w:val="89"/>
              </w:rPr>
              <w:t>Decrease due to the sale of Airtron in September 2024</w:t>
            </w:r>
          </w:p>
        </w:tc>
        <w:tc>
          <w:tcPr>
            <w:tcW w:w="80" w:type="dxa"/>
            <w:vAlign w:val="bottom"/>
          </w:tcPr>
          <w:p>
            <w:pPr>
              <w:jc w:val="right"/>
              <w:spacing w:after="0"/>
              <w:rPr>
                <w:sz w:val="20"/>
                <w:szCs w:val="20"/>
                <w:color w:val="auto"/>
              </w:rPr>
            </w:pPr>
            <w:r>
              <w:rPr>
                <w:rFonts w:ascii="Arial" w:cs="Arial" w:eastAsia="Arial" w:hAnsi="Arial"/>
                <w:sz w:val="20"/>
                <w:szCs w:val="20"/>
                <w:color w:val="B4B4B4"/>
                <w:w w:val="71"/>
              </w:rPr>
              <w:t>.</w:t>
            </w:r>
          </w:p>
        </w:tc>
        <w:tc>
          <w:tcPr>
            <w:tcW w:w="520" w:type="dxa"/>
            <w:vAlign w:val="bottom"/>
          </w:tcPr>
          <w:p>
            <w:pPr>
              <w:jc w:val="right"/>
              <w:spacing w:after="0"/>
              <w:rPr>
                <w:sz w:val="20"/>
                <w:szCs w:val="20"/>
                <w:color w:val="auto"/>
              </w:rPr>
            </w:pPr>
            <w:r>
              <w:rPr>
                <w:rFonts w:ascii="Arial" w:cs="Arial" w:eastAsia="Arial" w:hAnsi="Arial"/>
                <w:sz w:val="20"/>
                <w:szCs w:val="20"/>
                <w:color w:val="B4B4B4"/>
                <w:w w:val="91"/>
              </w:rPr>
              <w:t>. . . . .</w:t>
            </w:r>
          </w:p>
        </w:tc>
        <w:tc>
          <w:tcPr>
            <w:tcW w:w="1080" w:type="dxa"/>
            <w:vAlign w:val="bottom"/>
            <w:gridSpan w:val="3"/>
          </w:tcPr>
          <w:p>
            <w:pPr>
              <w:jc w:val="right"/>
              <w:ind w:right="40"/>
              <w:spacing w:after="0"/>
              <w:rPr>
                <w:sz w:val="20"/>
                <w:szCs w:val="20"/>
                <w:color w:val="auto"/>
              </w:rPr>
            </w:pPr>
            <w:r>
              <w:rPr>
                <w:rFonts w:ascii="Arial" w:cs="Arial" w:eastAsia="Arial" w:hAnsi="Arial"/>
                <w:sz w:val="20"/>
                <w:szCs w:val="20"/>
                <w:color w:val="B4B4B4"/>
                <w:w w:val="87"/>
              </w:rPr>
              <w:t>. . . . . . . . . . .</w:t>
            </w:r>
          </w:p>
        </w:tc>
        <w:tc>
          <w:tcPr>
            <w:tcW w:w="1280" w:type="dxa"/>
            <w:vAlign w:val="bottom"/>
            <w:gridSpan w:val="2"/>
          </w:tcPr>
          <w:p>
            <w:pPr>
              <w:ind w:left="20"/>
              <w:spacing w:after="0"/>
              <w:rPr>
                <w:sz w:val="20"/>
                <w:szCs w:val="20"/>
                <w:color w:val="auto"/>
              </w:rPr>
            </w:pPr>
            <w:r>
              <w:rPr>
                <w:rFonts w:ascii="Arial" w:cs="Arial" w:eastAsia="Arial" w:hAnsi="Arial"/>
                <w:sz w:val="20"/>
                <w:szCs w:val="20"/>
                <w:color w:val="B4B4B4"/>
                <w:w w:val="89"/>
              </w:rPr>
              <w:t>. . . . . . . . . . . . .</w:t>
            </w:r>
          </w:p>
        </w:tc>
        <w:tc>
          <w:tcPr>
            <w:tcW w:w="1180" w:type="dxa"/>
            <w:vAlign w:val="bottom"/>
          </w:tcPr>
          <w:p>
            <w:pPr>
              <w:jc w:val="right"/>
              <w:spacing w:after="0"/>
              <w:rPr>
                <w:sz w:val="20"/>
                <w:szCs w:val="20"/>
                <w:color w:val="auto"/>
              </w:rPr>
            </w:pPr>
            <w:r>
              <w:rPr>
                <w:rFonts w:ascii="Arial" w:cs="Arial" w:eastAsia="Arial" w:hAnsi="Arial"/>
                <w:sz w:val="20"/>
                <w:szCs w:val="20"/>
                <w:color w:val="B4B4B4"/>
                <w:w w:val="89"/>
              </w:rPr>
              <w:t>. . . . . . . . . . . .</w:t>
            </w:r>
          </w:p>
        </w:tc>
        <w:tc>
          <w:tcPr>
            <w:tcW w:w="200" w:type="dxa"/>
            <w:vAlign w:val="bottom"/>
          </w:tcPr>
          <w:p>
            <w:pPr>
              <w:ind w:left="40"/>
              <w:spacing w:after="0"/>
              <w:rPr>
                <w:sz w:val="20"/>
                <w:szCs w:val="20"/>
                <w:color w:val="auto"/>
              </w:rPr>
            </w:pPr>
            <w:r>
              <w:rPr>
                <w:rFonts w:ascii="Arial" w:cs="Arial" w:eastAsia="Arial" w:hAnsi="Arial"/>
                <w:sz w:val="20"/>
                <w:szCs w:val="20"/>
                <w:color w:val="B4B4B4"/>
                <w:w w:val="83"/>
              </w:rPr>
              <w:t>. .</w:t>
            </w:r>
          </w:p>
        </w:tc>
        <w:tc>
          <w:tcPr>
            <w:tcW w:w="240" w:type="dxa"/>
            <w:vAlign w:val="bottom"/>
            <w:gridSpan w:val="2"/>
          </w:tcPr>
          <w:p>
            <w:pPr>
              <w:jc w:val="right"/>
              <w:ind w:right="60"/>
              <w:spacing w:after="0"/>
              <w:rPr>
                <w:sz w:val="20"/>
                <w:szCs w:val="20"/>
                <w:color w:val="auto"/>
              </w:rPr>
            </w:pPr>
            <w:r>
              <w:rPr>
                <w:rFonts w:ascii="Arial" w:cs="Arial" w:eastAsia="Arial" w:hAnsi="Arial"/>
                <w:sz w:val="20"/>
                <w:szCs w:val="20"/>
                <w:color w:val="B4B4B4"/>
                <w:w w:val="95"/>
              </w:rPr>
              <w:t>. .</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340" w:type="dxa"/>
            <w:vAlign w:val="bottom"/>
            <w:gridSpan w:val="3"/>
          </w:tcPr>
          <w:p>
            <w:pPr>
              <w:spacing w:after="0"/>
              <w:rPr>
                <w:sz w:val="20"/>
                <w:szCs w:val="20"/>
                <w:color w:val="auto"/>
              </w:rPr>
            </w:pPr>
            <w:r>
              <w:rPr>
                <w:rFonts w:ascii="Arial" w:cs="Arial" w:eastAsia="Arial" w:hAnsi="Arial"/>
                <w:sz w:val="20"/>
                <w:szCs w:val="20"/>
                <w:color w:val="auto"/>
                <w:w w:val="90"/>
              </w:rPr>
              <w:t xml:space="preserve">Other  </w:t>
            </w:r>
            <w:r>
              <w:rPr>
                <w:rFonts w:ascii="Arial" w:cs="Arial" w:eastAsia="Arial" w:hAnsi="Arial"/>
                <w:sz w:val="20"/>
                <w:szCs w:val="20"/>
                <w:color w:val="B4B4B4"/>
                <w:w w:val="90"/>
              </w:rPr>
              <w:t>. . . . . . . . . . . . . . . . . . . . . . . . . . . . . . . . . . . . . .</w:t>
            </w:r>
          </w:p>
        </w:tc>
        <w:tc>
          <w:tcPr>
            <w:tcW w:w="80" w:type="dxa"/>
            <w:vAlign w:val="bottom"/>
          </w:tcPr>
          <w:p>
            <w:pPr>
              <w:jc w:val="right"/>
              <w:spacing w:after="0"/>
              <w:rPr>
                <w:sz w:val="20"/>
                <w:szCs w:val="20"/>
                <w:color w:val="auto"/>
              </w:rPr>
            </w:pPr>
            <w:r>
              <w:rPr>
                <w:rFonts w:ascii="Arial" w:cs="Arial" w:eastAsia="Arial" w:hAnsi="Arial"/>
                <w:sz w:val="20"/>
                <w:szCs w:val="20"/>
                <w:color w:val="B4B4B4"/>
                <w:w w:val="71"/>
              </w:rPr>
              <w:t>.</w:t>
            </w:r>
          </w:p>
        </w:tc>
        <w:tc>
          <w:tcPr>
            <w:tcW w:w="520" w:type="dxa"/>
            <w:vAlign w:val="bottom"/>
          </w:tcPr>
          <w:p>
            <w:pPr>
              <w:jc w:val="right"/>
              <w:spacing w:after="0"/>
              <w:rPr>
                <w:sz w:val="20"/>
                <w:szCs w:val="20"/>
                <w:color w:val="auto"/>
              </w:rPr>
            </w:pPr>
            <w:r>
              <w:rPr>
                <w:rFonts w:ascii="Arial" w:cs="Arial" w:eastAsia="Arial" w:hAnsi="Arial"/>
                <w:sz w:val="20"/>
                <w:szCs w:val="20"/>
                <w:color w:val="B4B4B4"/>
                <w:w w:val="87"/>
              </w:rPr>
              <w:t>. . . . .</w:t>
            </w:r>
          </w:p>
        </w:tc>
        <w:tc>
          <w:tcPr>
            <w:tcW w:w="1080" w:type="dxa"/>
            <w:vAlign w:val="bottom"/>
            <w:gridSpan w:val="3"/>
          </w:tcPr>
          <w:p>
            <w:pPr>
              <w:jc w:val="right"/>
              <w:ind w:right="40"/>
              <w:spacing w:after="0"/>
              <w:rPr>
                <w:sz w:val="20"/>
                <w:szCs w:val="20"/>
                <w:color w:val="auto"/>
              </w:rPr>
            </w:pPr>
            <w:r>
              <w:rPr>
                <w:rFonts w:ascii="Arial" w:cs="Arial" w:eastAsia="Arial" w:hAnsi="Arial"/>
                <w:sz w:val="20"/>
                <w:szCs w:val="20"/>
                <w:color w:val="B4B4B4"/>
                <w:w w:val="87"/>
              </w:rPr>
              <w:t>. . . . . . . . . . .</w:t>
            </w:r>
          </w:p>
        </w:tc>
        <w:tc>
          <w:tcPr>
            <w:tcW w:w="1280" w:type="dxa"/>
            <w:vAlign w:val="bottom"/>
            <w:gridSpan w:val="2"/>
          </w:tcPr>
          <w:p>
            <w:pPr>
              <w:spacing w:after="0"/>
              <w:rPr>
                <w:sz w:val="20"/>
                <w:szCs w:val="20"/>
                <w:color w:val="auto"/>
              </w:rPr>
            </w:pPr>
            <w:r>
              <w:rPr>
                <w:rFonts w:ascii="Arial" w:cs="Arial" w:eastAsia="Arial" w:hAnsi="Arial"/>
                <w:sz w:val="20"/>
                <w:szCs w:val="20"/>
                <w:color w:val="B4B4B4"/>
                <w:w w:val="90"/>
              </w:rPr>
              <w:t>. . . . . . . . . . . . .</w:t>
            </w:r>
          </w:p>
        </w:tc>
        <w:tc>
          <w:tcPr>
            <w:tcW w:w="1180" w:type="dxa"/>
            <w:vAlign w:val="bottom"/>
          </w:tcPr>
          <w:p>
            <w:pPr>
              <w:jc w:val="right"/>
              <w:spacing w:after="0"/>
              <w:rPr>
                <w:sz w:val="20"/>
                <w:szCs w:val="20"/>
                <w:color w:val="auto"/>
              </w:rPr>
            </w:pPr>
            <w:r>
              <w:rPr>
                <w:rFonts w:ascii="Arial" w:cs="Arial" w:eastAsia="Arial" w:hAnsi="Arial"/>
                <w:sz w:val="20"/>
                <w:szCs w:val="20"/>
                <w:color w:val="B4B4B4"/>
                <w:w w:val="89"/>
              </w:rPr>
              <w:t>. . . . . . . . . . . .</w:t>
            </w:r>
          </w:p>
        </w:tc>
        <w:tc>
          <w:tcPr>
            <w:tcW w:w="200" w:type="dxa"/>
            <w:vAlign w:val="bottom"/>
          </w:tcPr>
          <w:p>
            <w:pPr>
              <w:ind w:left="20"/>
              <w:spacing w:after="0"/>
              <w:rPr>
                <w:sz w:val="20"/>
                <w:szCs w:val="20"/>
                <w:color w:val="auto"/>
              </w:rPr>
            </w:pPr>
            <w:r>
              <w:rPr>
                <w:rFonts w:ascii="Arial" w:cs="Arial" w:eastAsia="Arial" w:hAnsi="Arial"/>
                <w:sz w:val="20"/>
                <w:szCs w:val="20"/>
                <w:color w:val="B4B4B4"/>
                <w:w w:val="95"/>
              </w:rPr>
              <w:t>. .</w:t>
            </w:r>
          </w:p>
        </w:tc>
        <w:tc>
          <w:tcPr>
            <w:tcW w:w="240" w:type="dxa"/>
            <w:vAlign w:val="bottom"/>
            <w:gridSpan w:val="2"/>
          </w:tcPr>
          <w:p>
            <w:pPr>
              <w:jc w:val="right"/>
              <w:ind w:right="80"/>
              <w:spacing w:after="0"/>
              <w:rPr>
                <w:sz w:val="20"/>
                <w:szCs w:val="20"/>
                <w:color w:val="auto"/>
              </w:rPr>
            </w:pPr>
            <w:r>
              <w:rPr>
                <w:rFonts w:ascii="Arial" w:cs="Arial" w:eastAsia="Arial" w:hAnsi="Arial"/>
                <w:sz w:val="20"/>
                <w:szCs w:val="20"/>
                <w:color w:val="B4B4B4"/>
                <w:w w:val="83"/>
              </w:rPr>
              <w:t>. .</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340" w:type="dxa"/>
            <w:vAlign w:val="bottom"/>
            <w:gridSpan w:val="3"/>
          </w:tcPr>
          <w:p>
            <w:pPr>
              <w:ind w:left="180"/>
              <w:spacing w:after="0"/>
              <w:rPr>
                <w:sz w:val="20"/>
                <w:szCs w:val="20"/>
                <w:color w:val="auto"/>
              </w:rPr>
            </w:pPr>
            <w:r>
              <w:rPr>
                <w:rFonts w:ascii="Arial" w:cs="Arial" w:eastAsia="Arial" w:hAnsi="Arial"/>
                <w:sz w:val="20"/>
                <w:szCs w:val="20"/>
                <w:color w:val="auto"/>
                <w:w w:val="88"/>
              </w:rPr>
              <w:t xml:space="preserve">Increase in operations and maintenance expense </w:t>
            </w:r>
            <w:r>
              <w:rPr>
                <w:rFonts w:ascii="Arial" w:cs="Arial" w:eastAsia="Arial" w:hAnsi="Arial"/>
                <w:sz w:val="20"/>
                <w:szCs w:val="20"/>
                <w:color w:val="B4B4B4"/>
                <w:w w:val="88"/>
              </w:rPr>
              <w:t>. . .</w:t>
            </w:r>
          </w:p>
        </w:tc>
        <w:tc>
          <w:tcPr>
            <w:tcW w:w="80" w:type="dxa"/>
            <w:vAlign w:val="bottom"/>
          </w:tcPr>
          <w:p>
            <w:pPr>
              <w:jc w:val="right"/>
              <w:spacing w:after="0"/>
              <w:rPr>
                <w:sz w:val="20"/>
                <w:szCs w:val="20"/>
                <w:color w:val="auto"/>
              </w:rPr>
            </w:pPr>
            <w:r>
              <w:rPr>
                <w:rFonts w:ascii="Arial" w:cs="Arial" w:eastAsia="Arial" w:hAnsi="Arial"/>
                <w:sz w:val="20"/>
                <w:szCs w:val="20"/>
                <w:color w:val="B4B4B4"/>
                <w:w w:val="71"/>
              </w:rPr>
              <w:t>.</w:t>
            </w:r>
          </w:p>
        </w:tc>
        <w:tc>
          <w:tcPr>
            <w:tcW w:w="520" w:type="dxa"/>
            <w:vAlign w:val="bottom"/>
          </w:tcPr>
          <w:p>
            <w:pPr>
              <w:jc w:val="right"/>
              <w:spacing w:after="0"/>
              <w:rPr>
                <w:sz w:val="20"/>
                <w:szCs w:val="20"/>
                <w:color w:val="auto"/>
              </w:rPr>
            </w:pPr>
            <w:r>
              <w:rPr>
                <w:rFonts w:ascii="Arial" w:cs="Arial" w:eastAsia="Arial" w:hAnsi="Arial"/>
                <w:sz w:val="20"/>
                <w:szCs w:val="20"/>
                <w:color w:val="B4B4B4"/>
                <w:w w:val="91"/>
              </w:rPr>
              <w:t>. . . . .</w:t>
            </w:r>
          </w:p>
        </w:tc>
        <w:tc>
          <w:tcPr>
            <w:tcW w:w="1080" w:type="dxa"/>
            <w:vAlign w:val="bottom"/>
            <w:gridSpan w:val="3"/>
          </w:tcPr>
          <w:p>
            <w:pPr>
              <w:jc w:val="right"/>
              <w:ind w:right="40"/>
              <w:spacing w:after="0"/>
              <w:rPr>
                <w:sz w:val="20"/>
                <w:szCs w:val="20"/>
                <w:color w:val="auto"/>
              </w:rPr>
            </w:pPr>
            <w:r>
              <w:rPr>
                <w:rFonts w:ascii="Arial" w:cs="Arial" w:eastAsia="Arial" w:hAnsi="Arial"/>
                <w:sz w:val="20"/>
                <w:szCs w:val="20"/>
                <w:color w:val="B4B4B4"/>
                <w:w w:val="87"/>
              </w:rPr>
              <w:t>. . . . . . . . . . .</w:t>
            </w:r>
          </w:p>
        </w:tc>
        <w:tc>
          <w:tcPr>
            <w:tcW w:w="1280" w:type="dxa"/>
            <w:vAlign w:val="bottom"/>
            <w:gridSpan w:val="2"/>
          </w:tcPr>
          <w:p>
            <w:pPr>
              <w:ind w:left="20"/>
              <w:spacing w:after="0"/>
              <w:rPr>
                <w:sz w:val="20"/>
                <w:szCs w:val="20"/>
                <w:color w:val="auto"/>
              </w:rPr>
            </w:pPr>
            <w:r>
              <w:rPr>
                <w:rFonts w:ascii="Arial" w:cs="Arial" w:eastAsia="Arial" w:hAnsi="Arial"/>
                <w:sz w:val="20"/>
                <w:szCs w:val="20"/>
                <w:color w:val="B4B4B4"/>
                <w:w w:val="89"/>
              </w:rPr>
              <w:t>. . . . . . . . . . . . .</w:t>
            </w:r>
          </w:p>
        </w:tc>
        <w:tc>
          <w:tcPr>
            <w:tcW w:w="1180" w:type="dxa"/>
            <w:vAlign w:val="bottom"/>
          </w:tcPr>
          <w:p>
            <w:pPr>
              <w:jc w:val="right"/>
              <w:spacing w:after="0"/>
              <w:rPr>
                <w:sz w:val="20"/>
                <w:szCs w:val="20"/>
                <w:color w:val="auto"/>
              </w:rPr>
            </w:pPr>
            <w:r>
              <w:rPr>
                <w:rFonts w:ascii="Arial" w:cs="Arial" w:eastAsia="Arial" w:hAnsi="Arial"/>
                <w:sz w:val="20"/>
                <w:szCs w:val="20"/>
                <w:color w:val="B4B4B4"/>
                <w:w w:val="89"/>
              </w:rPr>
              <w:t>. . . . . . . . . . . .</w:t>
            </w:r>
          </w:p>
        </w:tc>
        <w:tc>
          <w:tcPr>
            <w:tcW w:w="200" w:type="dxa"/>
            <w:vAlign w:val="bottom"/>
          </w:tcPr>
          <w:p>
            <w:pPr>
              <w:ind w:left="20"/>
              <w:spacing w:after="0"/>
              <w:rPr>
                <w:sz w:val="20"/>
                <w:szCs w:val="20"/>
                <w:color w:val="auto"/>
              </w:rPr>
            </w:pPr>
            <w:r>
              <w:rPr>
                <w:rFonts w:ascii="Arial" w:cs="Arial" w:eastAsia="Arial" w:hAnsi="Arial"/>
                <w:sz w:val="20"/>
                <w:szCs w:val="20"/>
                <w:color w:val="B4B4B4"/>
                <w:w w:val="95"/>
              </w:rPr>
              <w:t>. .</w:t>
            </w:r>
          </w:p>
        </w:tc>
        <w:tc>
          <w:tcPr>
            <w:tcW w:w="240" w:type="dxa"/>
            <w:vAlign w:val="bottom"/>
            <w:gridSpan w:val="2"/>
          </w:tcPr>
          <w:p>
            <w:pPr>
              <w:jc w:val="right"/>
              <w:ind w:right="60"/>
              <w:spacing w:after="0"/>
              <w:rPr>
                <w:sz w:val="20"/>
                <w:szCs w:val="20"/>
                <w:color w:val="auto"/>
              </w:rPr>
            </w:pPr>
            <w:r>
              <w:rPr>
                <w:rFonts w:ascii="Arial" w:cs="Arial" w:eastAsia="Arial" w:hAnsi="Arial"/>
                <w:sz w:val="20"/>
                <w:szCs w:val="20"/>
                <w:color w:val="B4B4B4"/>
                <w:w w:val="95"/>
              </w:rPr>
              <w:t>. .</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ind w:left="380"/>
              <w:spacing w:after="0"/>
              <w:rPr>
                <w:sz w:val="20"/>
                <w:szCs w:val="20"/>
                <w:color w:val="auto"/>
              </w:rPr>
            </w:pPr>
            <w:r>
              <w:rPr>
                <w:rFonts w:ascii="Arial" w:cs="Arial" w:eastAsia="Arial" w:hAnsi="Arial"/>
                <w:sz w:val="20"/>
                <w:szCs w:val="20"/>
                <w:b w:val="1"/>
                <w:bCs w:val="1"/>
                <w:i w:val="1"/>
                <w:iCs w:val="1"/>
                <w:color w:val="auto"/>
              </w:rPr>
              <w:t>Other Cost of Operations</w:t>
            </w: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42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940" w:type="dxa"/>
            <w:vAlign w:val="bottom"/>
            <w:gridSpan w:val="5"/>
          </w:tcPr>
          <w:p>
            <w:pPr>
              <w:ind w:left="380"/>
              <w:spacing w:after="0"/>
              <w:rPr>
                <w:sz w:val="20"/>
                <w:szCs w:val="20"/>
                <w:color w:val="auto"/>
              </w:rPr>
            </w:pPr>
            <w:r>
              <w:rPr>
                <w:rFonts w:ascii="Arial" w:cs="Arial" w:eastAsia="Arial" w:hAnsi="Arial"/>
                <w:sz w:val="20"/>
                <w:szCs w:val="20"/>
                <w:color w:val="auto"/>
                <w:w w:val="91"/>
              </w:rPr>
              <w:t>Other Cost of operations are comprised of the following:</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8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440" w:type="dxa"/>
            <w:vAlign w:val="bottom"/>
            <w:vMerge w:val="restart"/>
          </w:tcPr>
          <w:p>
            <w:pPr>
              <w:spacing w:after="0"/>
              <w:rPr>
                <w:sz w:val="20"/>
                <w:szCs w:val="20"/>
                <w:color w:val="auto"/>
              </w:rPr>
            </w:pPr>
          </w:p>
        </w:tc>
        <w:tc>
          <w:tcPr>
            <w:tcW w:w="920" w:type="dxa"/>
            <w:vAlign w:val="bottom"/>
            <w:vMerge w:val="restart"/>
          </w:tcPr>
          <w:p>
            <w:pPr>
              <w:jc w:val="right"/>
              <w:ind w:right="388"/>
              <w:spacing w:after="0"/>
              <w:rPr>
                <w:sz w:val="20"/>
                <w:szCs w:val="20"/>
                <w:color w:val="auto"/>
              </w:rPr>
            </w:pPr>
            <w:r>
              <w:rPr>
                <w:rFonts w:ascii="Arial" w:cs="Arial" w:eastAsia="Arial" w:hAnsi="Arial"/>
                <w:sz w:val="16"/>
                <w:szCs w:val="16"/>
                <w:b w:val="1"/>
                <w:bCs w:val="1"/>
                <w:color w:val="auto"/>
                <w:w w:val="92"/>
              </w:rPr>
              <w:t>Texas</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vMerge w:val="restart"/>
          </w:tcPr>
          <w:p>
            <w:pPr>
              <w:jc w:val="right"/>
              <w:ind w:right="443"/>
              <w:spacing w:after="0"/>
              <w:rPr>
                <w:sz w:val="20"/>
                <w:szCs w:val="20"/>
                <w:color w:val="auto"/>
              </w:rPr>
            </w:pPr>
            <w:r>
              <w:rPr>
                <w:rFonts w:ascii="Arial" w:cs="Arial" w:eastAsia="Arial" w:hAnsi="Arial"/>
                <w:sz w:val="16"/>
                <w:szCs w:val="16"/>
                <w:b w:val="1"/>
                <w:bCs w:val="1"/>
                <w:color w:val="auto"/>
                <w:w w:val="82"/>
              </w:rPr>
              <w:t>East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West/Services/</w:t>
            </w:r>
          </w:p>
        </w:tc>
        <w:tc>
          <w:tcPr>
            <w:tcW w:w="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Vivint Smart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vMerge w:val="restart"/>
          </w:tcPr>
          <w:p>
            <w:pPr>
              <w:jc w:val="right"/>
              <w:ind w:right="384"/>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980" w:type="dxa"/>
            <w:vAlign w:val="bottom"/>
            <w:vMerge w:val="continue"/>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Other</w:t>
            </w:r>
          </w:p>
        </w:tc>
        <w:tc>
          <w:tcPr>
            <w:tcW w:w="60" w:type="dxa"/>
            <w:vAlign w:val="bottom"/>
          </w:tcPr>
          <w:p>
            <w:pPr>
              <w:spacing w:after="0"/>
              <w:rPr>
                <w:sz w:val="18"/>
                <w:szCs w:val="18"/>
                <w:color w:val="auto"/>
              </w:rPr>
            </w:pPr>
          </w:p>
        </w:tc>
        <w:tc>
          <w:tcPr>
            <w:tcW w:w="1180" w:type="dxa"/>
            <w:vAlign w:val="bottom"/>
            <w:tcBorders>
              <w:bottom w:val="single" w:sz="8" w:color="auto"/>
            </w:tcBorders>
          </w:tcPr>
          <w:p>
            <w:pPr>
              <w:jc w:val="right"/>
              <w:ind w:right="125"/>
              <w:spacing w:after="0" w:line="212" w:lineRule="exact"/>
              <w:rPr>
                <w:sz w:val="20"/>
                <w:szCs w:val="20"/>
                <w:color w:val="auto"/>
              </w:rPr>
            </w:pPr>
            <w:r>
              <w:rPr>
                <w:rFonts w:ascii="Arial" w:cs="Arial" w:eastAsia="Arial" w:hAnsi="Arial"/>
                <w:sz w:val="16"/>
                <w:szCs w:val="16"/>
                <w:b w:val="1"/>
                <w:bCs w:val="1"/>
                <w:color w:val="auto"/>
              </w:rPr>
              <w:t>Home</w:t>
            </w:r>
            <w:r>
              <w:rPr>
                <w:rFonts w:ascii="Arial" w:cs="Arial" w:eastAsia="Arial" w:hAnsi="Arial"/>
                <w:sz w:val="20"/>
                <w:szCs w:val="20"/>
                <w:b w:val="1"/>
                <w:bCs w:val="1"/>
                <w:color w:val="auto"/>
                <w:vertAlign w:val="superscript"/>
              </w:rPr>
              <w:t>(a)</w:t>
            </w: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420" w:type="dxa"/>
            <w:vAlign w:val="bottom"/>
            <w:gridSpan w:val="2"/>
          </w:tcPr>
          <w:p>
            <w:pPr>
              <w:spacing w:after="0"/>
              <w:rPr>
                <w:sz w:val="20"/>
                <w:szCs w:val="20"/>
                <w:color w:val="auto"/>
              </w:rPr>
            </w:pPr>
            <w:r>
              <w:rPr>
                <w:rFonts w:ascii="Arial" w:cs="Arial" w:eastAsia="Arial" w:hAnsi="Arial"/>
                <w:sz w:val="20"/>
                <w:szCs w:val="20"/>
                <w:color w:val="auto"/>
              </w:rPr>
              <w:t xml:space="preserve">Year Ended December 31, 2024 </w:t>
            </w:r>
            <w:r>
              <w:rPr>
                <w:rFonts w:ascii="Arial" w:cs="Arial" w:eastAsia="Arial" w:hAnsi="Arial"/>
                <w:sz w:val="20"/>
                <w:szCs w:val="20"/>
                <w:color w:val="B4B4B4"/>
              </w:rPr>
              <w:t>. . .</w:t>
            </w:r>
            <w:r>
              <w:rPr>
                <w:rFonts w:ascii="Arial" w:cs="Arial" w:eastAsia="Arial" w:hAnsi="Arial"/>
                <w:sz w:val="20"/>
                <w:szCs w:val="20"/>
                <w:color w:val="auto"/>
              </w:rPr>
              <w:t xml:space="preserve"> $</w:t>
            </w:r>
          </w:p>
        </w:tc>
        <w:tc>
          <w:tcPr>
            <w:tcW w:w="920" w:type="dxa"/>
            <w:vAlign w:val="bottom"/>
          </w:tcPr>
          <w:p>
            <w:pPr>
              <w:jc w:val="right"/>
              <w:spacing w:after="0"/>
              <w:rPr>
                <w:sz w:val="20"/>
                <w:szCs w:val="20"/>
                <w:color w:val="auto"/>
              </w:rPr>
            </w:pPr>
            <w:r>
              <w:rPr>
                <w:rFonts w:ascii="Arial" w:cs="Arial" w:eastAsia="Arial" w:hAnsi="Arial"/>
                <w:sz w:val="20"/>
                <w:szCs w:val="20"/>
                <w:color w:val="auto"/>
              </w:rPr>
              <w:t>236</w:t>
            </w:r>
          </w:p>
        </w:tc>
        <w:tc>
          <w:tcPr>
            <w:tcW w:w="600" w:type="dxa"/>
            <w:vAlign w:val="bottom"/>
            <w:gridSpan w:val="2"/>
          </w:tcPr>
          <w:p>
            <w:pPr>
              <w:jc w:val="right"/>
              <w:ind w:right="281"/>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136</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220" w:type="dxa"/>
            <w:vAlign w:val="bottom"/>
          </w:tcPr>
          <w:p>
            <w:pPr>
              <w:ind w:left="940"/>
              <w:spacing w:after="0"/>
              <w:rPr>
                <w:sz w:val="20"/>
                <w:szCs w:val="20"/>
                <w:color w:val="auto"/>
              </w:rPr>
            </w:pPr>
            <w:r>
              <w:rPr>
                <w:rFonts w:ascii="Arial" w:cs="Arial" w:eastAsia="Arial" w:hAnsi="Arial"/>
                <w:sz w:val="20"/>
                <w:szCs w:val="20"/>
                <w:color w:val="auto"/>
              </w:rPr>
              <w:t>14</w:t>
            </w:r>
          </w:p>
        </w:tc>
        <w:tc>
          <w:tcPr>
            <w:tcW w:w="1240" w:type="dxa"/>
            <w:vAlign w:val="bottom"/>
            <w:gridSpan w:val="2"/>
          </w:tcPr>
          <w:p>
            <w:pPr>
              <w:jc w:val="right"/>
              <w:ind w:right="925"/>
              <w:spacing w:after="0"/>
              <w:rPr>
                <w:sz w:val="20"/>
                <w:szCs w:val="20"/>
                <w:color w:val="auto"/>
              </w:rPr>
            </w:pPr>
            <w:r>
              <w:rPr>
                <w:rFonts w:ascii="Arial" w:cs="Arial" w:eastAsia="Arial" w:hAnsi="Arial"/>
                <w:sz w:val="20"/>
                <w:szCs w:val="20"/>
                <w:color w:val="auto"/>
              </w:rPr>
              <w:t>$</w:t>
            </w:r>
          </w:p>
        </w:tc>
        <w:tc>
          <w:tcPr>
            <w:tcW w:w="200" w:type="dxa"/>
            <w:vAlign w:val="bottom"/>
          </w:tcPr>
          <w:p>
            <w:pPr>
              <w:ind w:left="20"/>
              <w:spacing w:after="0"/>
              <w:rPr>
                <w:sz w:val="20"/>
                <w:szCs w:val="20"/>
                <w:color w:val="auto"/>
              </w:rPr>
            </w:pPr>
            <w:r>
              <w:rPr>
                <w:rFonts w:ascii="Arial" w:cs="Arial" w:eastAsia="Arial" w:hAnsi="Arial"/>
                <w:sz w:val="20"/>
                <w:szCs w:val="20"/>
                <w:color w:val="auto"/>
              </w:rPr>
              <w:t>6</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392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420" w:type="dxa"/>
            <w:vAlign w:val="bottom"/>
            <w:gridSpan w:val="2"/>
          </w:tcPr>
          <w:p>
            <w:pPr>
              <w:spacing w:after="0"/>
              <w:rPr>
                <w:sz w:val="20"/>
                <w:szCs w:val="20"/>
                <w:color w:val="auto"/>
              </w:rPr>
            </w:pPr>
            <w:r>
              <w:rPr>
                <w:rFonts w:ascii="Arial" w:cs="Arial" w:eastAsia="Arial" w:hAnsi="Arial"/>
                <w:sz w:val="20"/>
                <w:szCs w:val="20"/>
                <w:color w:val="auto"/>
              </w:rPr>
              <w:t xml:space="preserve">Year Ended December 31, 2023 </w:t>
            </w:r>
            <w:r>
              <w:rPr>
                <w:rFonts w:ascii="Arial" w:cs="Arial" w:eastAsia="Arial" w:hAnsi="Arial"/>
                <w:sz w:val="20"/>
                <w:szCs w:val="20"/>
                <w:color w:val="B4B4B4"/>
              </w:rPr>
              <w:t>. . .</w:t>
            </w:r>
          </w:p>
        </w:tc>
        <w:tc>
          <w:tcPr>
            <w:tcW w:w="920" w:type="dxa"/>
            <w:vAlign w:val="bottom"/>
          </w:tcPr>
          <w:p>
            <w:pPr>
              <w:jc w:val="right"/>
              <w:spacing w:after="0"/>
              <w:rPr>
                <w:sz w:val="20"/>
                <w:szCs w:val="20"/>
                <w:color w:val="auto"/>
              </w:rPr>
            </w:pPr>
            <w:r>
              <w:rPr>
                <w:rFonts w:ascii="Arial" w:cs="Arial" w:eastAsia="Arial" w:hAnsi="Arial"/>
                <w:sz w:val="20"/>
                <w:szCs w:val="20"/>
                <w:color w:val="auto"/>
              </w:rPr>
              <w:t>243</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ind w:left="940"/>
              <w:spacing w:after="0"/>
              <w:rPr>
                <w:sz w:val="20"/>
                <w:szCs w:val="20"/>
                <w:color w:val="auto"/>
              </w:rPr>
            </w:pPr>
            <w:r>
              <w:rPr>
                <w:rFonts w:ascii="Arial" w:cs="Arial" w:eastAsia="Arial" w:hAnsi="Arial"/>
                <w:sz w:val="20"/>
                <w:szCs w:val="20"/>
                <w:color w:val="auto"/>
              </w:rPr>
              <w:t>13</w:t>
            </w: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-3169285</wp:posOffset>
            </wp:positionV>
            <wp:extent cx="6466205" cy="2046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7">
                      <a:extLst>
                        <a:ext uri="{28A0092B-C50C-407E-A947-70E740481C1C}"/>
                      </a:extLst>
                    </a:blip>
                    <a:srcRect/>
                    <a:stretch>
                      <a:fillRect/>
                    </a:stretch>
                  </pic:blipFill>
                  <pic:spPr bwMode="auto">
                    <a:xfrm>
                      <a:off x="0" y="0"/>
                      <a:ext cx="6466205" cy="204660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-381635</wp:posOffset>
            </wp:positionV>
            <wp:extent cx="6475095" cy="402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8">
                      <a:extLst>
                        <a:ext uri="{28A0092B-C50C-407E-A947-70E740481C1C}"/>
                      </a:extLst>
                    </a:blip>
                    <a:srcRect/>
                    <a:stretch>
                      <a:fillRect/>
                    </a:stretch>
                  </pic:blipFill>
                  <pic:spPr bwMode="auto">
                    <a:xfrm>
                      <a:off x="0" y="0"/>
                      <a:ext cx="6475095" cy="402590"/>
                    </a:xfrm>
                    <a:prstGeom prst="rect">
                      <a:avLst/>
                    </a:prstGeom>
                    <a:noFill/>
                  </pic:spPr>
                </pic:pic>
              </a:graphicData>
            </a:graphic>
          </wp:anchor>
        </w:drawing>
      </w:r>
    </w:p>
    <w:p>
      <w:pPr>
        <w:spacing w:after="0" w:line="4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results of operations following the acquisition date of March 10, 2023</w:t>
      </w:r>
    </w:p>
    <w:p>
      <w:pPr>
        <w:spacing w:after="0" w:line="11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Other cost of operations increased by $2 million for the year ended December 31, 2024, compared to the same period in 2023, due to the following:</w:t>
      </w:r>
    </w:p>
    <w:p>
      <w:pPr>
        <w:spacing w:after="0" w:line="3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181"/>
              <w:spacing w:after="0"/>
              <w:rPr>
                <w:sz w:val="20"/>
                <w:szCs w:val="20"/>
                <w:color w:val="auto"/>
              </w:rPr>
            </w:pPr>
            <w:r>
              <w:rPr>
                <w:rFonts w:ascii="Arial" w:cs="Arial" w:eastAsia="Arial" w:hAnsi="Arial"/>
                <w:sz w:val="16"/>
                <w:szCs w:val="16"/>
                <w:b w:val="1"/>
                <w:bCs w:val="1"/>
                <w:color w:val="auto"/>
                <w:w w:val="93"/>
              </w:rPr>
              <w:t>(In millions)</w:t>
            </w:r>
          </w:p>
        </w:tc>
        <w:tc>
          <w:tcPr>
            <w:tcW w:w="0" w:type="dxa"/>
            <w:vAlign w:val="bottom"/>
          </w:tcPr>
          <w:p>
            <w:pPr>
              <w:spacing w:after="0"/>
              <w:rPr>
                <w:sz w:val="1"/>
                <w:szCs w:val="1"/>
                <w:color w:val="auto"/>
              </w:rPr>
            </w:pPr>
          </w:p>
        </w:tc>
      </w:tr>
      <w:tr>
        <w:trPr>
          <w:trHeight w:val="275"/>
        </w:trPr>
        <w:tc>
          <w:tcPr>
            <w:tcW w:w="4840" w:type="dxa"/>
            <w:vAlign w:val="bottom"/>
            <w:gridSpan w:val="5"/>
          </w:tcPr>
          <w:p>
            <w:pPr>
              <w:spacing w:after="0"/>
              <w:rPr>
                <w:sz w:val="20"/>
                <w:szCs w:val="20"/>
                <w:color w:val="auto"/>
              </w:rPr>
            </w:pPr>
            <w:r>
              <w:rPr>
                <w:rFonts w:ascii="Arial" w:cs="Arial" w:eastAsia="Arial" w:hAnsi="Arial"/>
                <w:sz w:val="20"/>
                <w:szCs w:val="20"/>
                <w:color w:val="auto"/>
                <w:w w:val="89"/>
              </w:rPr>
              <w:t xml:space="preserve">Increase in retail gross receipt taxes in Texas and East </w:t>
            </w:r>
            <w:r>
              <w:rPr>
                <w:rFonts w:ascii="Arial" w:cs="Arial" w:eastAsia="Arial" w:hAnsi="Arial"/>
                <w:sz w:val="20"/>
                <w:szCs w:val="20"/>
                <w:color w:val="B4B4B4"/>
                <w:w w:val="89"/>
              </w:rPr>
              <w:t>. . . . .</w:t>
            </w:r>
          </w:p>
        </w:tc>
        <w:tc>
          <w:tcPr>
            <w:tcW w:w="680" w:type="dxa"/>
            <w:vAlign w:val="bottom"/>
          </w:tcPr>
          <w:p>
            <w:pPr>
              <w:jc w:val="right"/>
              <w:spacing w:after="0"/>
              <w:rPr>
                <w:sz w:val="20"/>
                <w:szCs w:val="20"/>
                <w:color w:val="auto"/>
              </w:rPr>
            </w:pPr>
            <w:r>
              <w:rPr>
                <w:rFonts w:ascii="Arial" w:cs="Arial" w:eastAsia="Arial" w:hAnsi="Arial"/>
                <w:sz w:val="20"/>
                <w:szCs w:val="20"/>
                <w:color w:val="B4B4B4"/>
                <w:w w:val="88"/>
              </w:rPr>
              <w:t>. . . . . . .</w:t>
            </w:r>
          </w:p>
        </w:tc>
        <w:tc>
          <w:tcPr>
            <w:tcW w:w="900" w:type="dxa"/>
            <w:vAlign w:val="bottom"/>
            <w:gridSpan w:val="2"/>
          </w:tcPr>
          <w:p>
            <w:pPr>
              <w:jc w:val="right"/>
              <w:spacing w:after="0"/>
              <w:rPr>
                <w:sz w:val="20"/>
                <w:szCs w:val="20"/>
                <w:color w:val="auto"/>
              </w:rPr>
            </w:pPr>
            <w:r>
              <w:rPr>
                <w:rFonts w:ascii="Arial" w:cs="Arial" w:eastAsia="Arial" w:hAnsi="Arial"/>
                <w:sz w:val="20"/>
                <w:szCs w:val="20"/>
                <w:color w:val="B4B4B4"/>
                <w:w w:val="88"/>
              </w:rPr>
              <w:t>. . . . . . . . .</w:t>
            </w:r>
          </w:p>
        </w:tc>
        <w:tc>
          <w:tcPr>
            <w:tcW w:w="480" w:type="dxa"/>
            <w:vAlign w:val="bottom"/>
            <w:gridSpan w:val="2"/>
          </w:tcPr>
          <w:p>
            <w:pPr>
              <w:jc w:val="right"/>
              <w:spacing w:after="0"/>
              <w:rPr>
                <w:sz w:val="20"/>
                <w:szCs w:val="20"/>
                <w:color w:val="auto"/>
              </w:rPr>
            </w:pPr>
            <w:r>
              <w:rPr>
                <w:rFonts w:ascii="Arial" w:cs="Arial" w:eastAsia="Arial" w:hAnsi="Arial"/>
                <w:sz w:val="20"/>
                <w:szCs w:val="20"/>
                <w:color w:val="B4B4B4"/>
                <w:w w:val="87"/>
              </w:rPr>
              <w:t>. . . . .</w:t>
            </w:r>
          </w:p>
        </w:tc>
        <w:tc>
          <w:tcPr>
            <w:tcW w:w="200" w:type="dxa"/>
            <w:vAlign w:val="bottom"/>
          </w:tcPr>
          <w:p>
            <w:pPr>
              <w:ind w:left="20"/>
              <w:spacing w:after="0"/>
              <w:rPr>
                <w:sz w:val="20"/>
                <w:szCs w:val="20"/>
                <w:color w:val="auto"/>
              </w:rPr>
            </w:pPr>
            <w:r>
              <w:rPr>
                <w:rFonts w:ascii="Arial" w:cs="Arial" w:eastAsia="Arial" w:hAnsi="Arial"/>
                <w:sz w:val="20"/>
                <w:szCs w:val="20"/>
                <w:color w:val="B4B4B4"/>
                <w:w w:val="95"/>
              </w:rPr>
              <w:t>. .</w:t>
            </w:r>
          </w:p>
        </w:tc>
        <w:tc>
          <w:tcPr>
            <w:tcW w:w="1620" w:type="dxa"/>
            <w:vAlign w:val="bottom"/>
            <w:gridSpan w:val="3"/>
          </w:tcPr>
          <w:p>
            <w:pPr>
              <w:jc w:val="right"/>
              <w:spacing w:after="0"/>
              <w:rPr>
                <w:sz w:val="20"/>
                <w:szCs w:val="20"/>
                <w:color w:val="auto"/>
              </w:rPr>
            </w:pPr>
            <w:r>
              <w:rPr>
                <w:rFonts w:ascii="Arial" w:cs="Arial" w:eastAsia="Arial" w:hAnsi="Arial"/>
                <w:sz w:val="20"/>
                <w:szCs w:val="20"/>
                <w:color w:val="B4B4B4"/>
                <w:w w:val="89"/>
              </w:rPr>
              <w:t>. . . . . . . . . . . . . . . .</w:t>
            </w:r>
          </w:p>
        </w:tc>
        <w:tc>
          <w:tcPr>
            <w:tcW w:w="260" w:type="dxa"/>
            <w:vAlign w:val="bottom"/>
          </w:tcPr>
          <w:p>
            <w:pPr>
              <w:ind w:left="40"/>
              <w:spacing w:after="0"/>
              <w:rPr>
                <w:sz w:val="20"/>
                <w:szCs w:val="20"/>
                <w:color w:val="auto"/>
              </w:rPr>
            </w:pPr>
            <w:r>
              <w:rPr>
                <w:rFonts w:ascii="Arial" w:cs="Arial" w:eastAsia="Arial" w:hAnsi="Arial"/>
                <w:sz w:val="20"/>
                <w:szCs w:val="20"/>
                <w:color w:val="auto"/>
              </w:rPr>
              <w:t>$</w:t>
            </w:r>
          </w:p>
        </w:tc>
        <w:tc>
          <w:tcPr>
            <w:tcW w:w="1120" w:type="dxa"/>
            <w:vAlign w:val="bottom"/>
            <w:gridSpan w:val="3"/>
          </w:tcPr>
          <w:p>
            <w:pPr>
              <w:jc w:val="right"/>
              <w:ind w:right="1"/>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97"/>
        </w:trPr>
        <w:tc>
          <w:tcPr>
            <w:tcW w:w="7960" w:type="dxa"/>
            <w:vAlign w:val="bottom"/>
            <w:gridSpan w:val="12"/>
          </w:tcPr>
          <w:p>
            <w:pPr>
              <w:spacing w:after="0"/>
              <w:rPr>
                <w:sz w:val="20"/>
                <w:szCs w:val="20"/>
                <w:color w:val="auto"/>
              </w:rPr>
            </w:pPr>
            <w:r>
              <w:rPr>
                <w:rFonts w:ascii="Arial" w:cs="Arial" w:eastAsia="Arial" w:hAnsi="Arial"/>
                <w:sz w:val="20"/>
                <w:szCs w:val="20"/>
                <w:color w:val="auto"/>
                <w:w w:val="89"/>
              </w:rPr>
              <w:t>Increase due to changes in current year ARO cost estimates at Midwest Generation and Jewett Mine</w:t>
            </w:r>
          </w:p>
        </w:tc>
        <w:tc>
          <w:tcPr>
            <w:tcW w:w="760" w:type="dxa"/>
            <w:vAlign w:val="bottom"/>
            <w:gridSpan w:val="2"/>
          </w:tcPr>
          <w:p>
            <w:pPr>
              <w:jc w:val="right"/>
              <w:spacing w:after="0"/>
              <w:rPr>
                <w:sz w:val="20"/>
                <w:szCs w:val="20"/>
                <w:color w:val="auto"/>
              </w:rPr>
            </w:pPr>
            <w:r>
              <w:rPr>
                <w:rFonts w:ascii="Arial" w:cs="Arial" w:eastAsia="Arial" w:hAnsi="Arial"/>
                <w:sz w:val="20"/>
                <w:szCs w:val="20"/>
                <w:color w:val="B4B4B4"/>
                <w:w w:val="94"/>
              </w:rPr>
              <w:t>. . . . . . .</w:t>
            </w:r>
          </w:p>
        </w:tc>
        <w:tc>
          <w:tcPr>
            <w:tcW w:w="260" w:type="dxa"/>
            <w:vAlign w:val="bottom"/>
          </w:tcPr>
          <w:p>
            <w:pPr>
              <w:spacing w:after="0"/>
              <w:rPr>
                <w:sz w:val="24"/>
                <w:szCs w:val="24"/>
                <w:color w:val="auto"/>
              </w:rPr>
            </w:pPr>
          </w:p>
        </w:tc>
        <w:tc>
          <w:tcPr>
            <w:tcW w:w="1120" w:type="dxa"/>
            <w:vAlign w:val="bottom"/>
            <w:gridSpan w:val="3"/>
          </w:tcPr>
          <w:p>
            <w:pPr>
              <w:jc w:val="right"/>
              <w:ind w:right="1"/>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97"/>
        </w:trPr>
        <w:tc>
          <w:tcPr>
            <w:tcW w:w="3640" w:type="dxa"/>
            <w:vAlign w:val="bottom"/>
            <w:gridSpan w:val="2"/>
          </w:tcPr>
          <w:p>
            <w:pPr>
              <w:spacing w:after="0"/>
              <w:rPr>
                <w:sz w:val="20"/>
                <w:szCs w:val="20"/>
                <w:color w:val="auto"/>
              </w:rPr>
            </w:pPr>
            <w:r>
              <w:rPr>
                <w:rFonts w:ascii="Arial" w:cs="Arial" w:eastAsia="Arial" w:hAnsi="Arial"/>
                <w:sz w:val="20"/>
                <w:szCs w:val="20"/>
                <w:color w:val="auto"/>
                <w:w w:val="88"/>
              </w:rPr>
              <w:t xml:space="preserve">Increase due to higher insurance premiums </w:t>
            </w:r>
            <w:r>
              <w:rPr>
                <w:rFonts w:ascii="Arial" w:cs="Arial" w:eastAsia="Arial" w:hAnsi="Arial"/>
                <w:sz w:val="20"/>
                <w:szCs w:val="20"/>
                <w:color w:val="B4B4B4"/>
                <w:w w:val="88"/>
              </w:rPr>
              <w:t>. .</w:t>
            </w:r>
          </w:p>
        </w:tc>
        <w:tc>
          <w:tcPr>
            <w:tcW w:w="1200" w:type="dxa"/>
            <w:vAlign w:val="bottom"/>
            <w:gridSpan w:val="3"/>
          </w:tcPr>
          <w:p>
            <w:pPr>
              <w:jc w:val="center"/>
              <w:ind w:right="20"/>
              <w:spacing w:after="0"/>
              <w:rPr>
                <w:sz w:val="20"/>
                <w:szCs w:val="20"/>
                <w:color w:val="auto"/>
              </w:rPr>
            </w:pPr>
            <w:r>
              <w:rPr>
                <w:rFonts w:ascii="Arial" w:cs="Arial" w:eastAsia="Arial" w:hAnsi="Arial"/>
                <w:sz w:val="20"/>
                <w:szCs w:val="20"/>
                <w:color w:val="B4B4B4"/>
                <w:w w:val="89"/>
              </w:rPr>
              <w:t>. . . . . . . . . . . .</w:t>
            </w:r>
          </w:p>
        </w:tc>
        <w:tc>
          <w:tcPr>
            <w:tcW w:w="680" w:type="dxa"/>
            <w:vAlign w:val="bottom"/>
          </w:tcPr>
          <w:p>
            <w:pPr>
              <w:jc w:val="right"/>
              <w:spacing w:after="0"/>
              <w:rPr>
                <w:sz w:val="20"/>
                <w:szCs w:val="20"/>
                <w:color w:val="auto"/>
              </w:rPr>
            </w:pPr>
            <w:r>
              <w:rPr>
                <w:rFonts w:ascii="Arial" w:cs="Arial" w:eastAsia="Arial" w:hAnsi="Arial"/>
                <w:sz w:val="20"/>
                <w:szCs w:val="20"/>
                <w:color w:val="B4B4B4"/>
                <w:w w:val="88"/>
              </w:rPr>
              <w:t>. . . . . . .</w:t>
            </w:r>
          </w:p>
        </w:tc>
        <w:tc>
          <w:tcPr>
            <w:tcW w:w="900" w:type="dxa"/>
            <w:vAlign w:val="bottom"/>
            <w:gridSpan w:val="2"/>
          </w:tcPr>
          <w:p>
            <w:pPr>
              <w:jc w:val="right"/>
              <w:spacing w:after="0"/>
              <w:rPr>
                <w:sz w:val="20"/>
                <w:szCs w:val="20"/>
                <w:color w:val="auto"/>
              </w:rPr>
            </w:pPr>
            <w:r>
              <w:rPr>
                <w:rFonts w:ascii="Arial" w:cs="Arial" w:eastAsia="Arial" w:hAnsi="Arial"/>
                <w:sz w:val="20"/>
                <w:szCs w:val="20"/>
                <w:color w:val="B4B4B4"/>
                <w:w w:val="88"/>
              </w:rPr>
              <w:t>. . . . . . . . .</w:t>
            </w:r>
          </w:p>
        </w:tc>
        <w:tc>
          <w:tcPr>
            <w:tcW w:w="420" w:type="dxa"/>
            <w:vAlign w:val="bottom"/>
          </w:tcPr>
          <w:p>
            <w:pPr>
              <w:jc w:val="right"/>
              <w:spacing w:after="0"/>
              <w:rPr>
                <w:sz w:val="20"/>
                <w:szCs w:val="20"/>
                <w:color w:val="auto"/>
              </w:rPr>
            </w:pPr>
            <w:r>
              <w:rPr>
                <w:rFonts w:ascii="Arial" w:cs="Arial" w:eastAsia="Arial" w:hAnsi="Arial"/>
                <w:sz w:val="20"/>
                <w:szCs w:val="20"/>
                <w:color w:val="B4B4B4"/>
                <w:w w:val="87"/>
              </w:rPr>
              <w:t>. . . .</w:t>
            </w:r>
          </w:p>
        </w:tc>
        <w:tc>
          <w:tcPr>
            <w:tcW w:w="60" w:type="dxa"/>
            <w:vAlign w:val="bottom"/>
          </w:tcPr>
          <w:p>
            <w:pPr>
              <w:jc w:val="right"/>
              <w:spacing w:after="0"/>
              <w:rPr>
                <w:sz w:val="20"/>
                <w:szCs w:val="20"/>
                <w:color w:val="auto"/>
              </w:rPr>
            </w:pPr>
            <w:r>
              <w:rPr>
                <w:rFonts w:ascii="Arial" w:cs="Arial" w:eastAsia="Arial" w:hAnsi="Arial"/>
                <w:sz w:val="10"/>
                <w:szCs w:val="10"/>
                <w:color w:val="B4B4B4"/>
                <w:w w:val="70"/>
              </w:rPr>
              <w:t>.</w:t>
            </w:r>
          </w:p>
        </w:tc>
        <w:tc>
          <w:tcPr>
            <w:tcW w:w="200" w:type="dxa"/>
            <w:vAlign w:val="bottom"/>
          </w:tcPr>
          <w:p>
            <w:pPr>
              <w:ind w:left="40"/>
              <w:spacing w:after="0"/>
              <w:rPr>
                <w:sz w:val="20"/>
                <w:szCs w:val="20"/>
                <w:color w:val="auto"/>
              </w:rPr>
            </w:pPr>
            <w:r>
              <w:rPr>
                <w:rFonts w:ascii="Arial" w:cs="Arial" w:eastAsia="Arial" w:hAnsi="Arial"/>
                <w:sz w:val="20"/>
                <w:szCs w:val="20"/>
                <w:color w:val="B4B4B4"/>
                <w:w w:val="83"/>
              </w:rPr>
              <w:t>. .</w:t>
            </w:r>
          </w:p>
        </w:tc>
        <w:tc>
          <w:tcPr>
            <w:tcW w:w="1620" w:type="dxa"/>
            <w:vAlign w:val="bottom"/>
            <w:gridSpan w:val="3"/>
          </w:tcPr>
          <w:p>
            <w:pPr>
              <w:jc w:val="right"/>
              <w:spacing w:after="0"/>
              <w:rPr>
                <w:sz w:val="20"/>
                <w:szCs w:val="20"/>
                <w:color w:val="auto"/>
              </w:rPr>
            </w:pPr>
            <w:r>
              <w:rPr>
                <w:rFonts w:ascii="Arial" w:cs="Arial" w:eastAsia="Arial" w:hAnsi="Arial"/>
                <w:sz w:val="20"/>
                <w:szCs w:val="20"/>
                <w:color w:val="B4B4B4"/>
                <w:w w:val="89"/>
              </w:rPr>
              <w:t>. . . . . . . . . . . . . . . .</w:t>
            </w:r>
          </w:p>
        </w:tc>
        <w:tc>
          <w:tcPr>
            <w:tcW w:w="260" w:type="dxa"/>
            <w:vAlign w:val="bottom"/>
          </w:tcPr>
          <w:p>
            <w:pPr>
              <w:spacing w:after="0"/>
              <w:rPr>
                <w:sz w:val="24"/>
                <w:szCs w:val="24"/>
                <w:color w:val="auto"/>
              </w:rPr>
            </w:pPr>
          </w:p>
        </w:tc>
        <w:tc>
          <w:tcPr>
            <w:tcW w:w="1120" w:type="dxa"/>
            <w:vAlign w:val="bottom"/>
            <w:gridSpan w:val="3"/>
          </w:tcPr>
          <w:p>
            <w:pPr>
              <w:jc w:val="right"/>
              <w:ind w:right="1"/>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97"/>
        </w:trPr>
        <w:tc>
          <w:tcPr>
            <w:tcW w:w="4840" w:type="dxa"/>
            <w:vAlign w:val="bottom"/>
            <w:gridSpan w:val="5"/>
          </w:tcPr>
          <w:p>
            <w:pPr>
              <w:spacing w:after="0"/>
              <w:rPr>
                <w:sz w:val="20"/>
                <w:szCs w:val="20"/>
                <w:color w:val="auto"/>
              </w:rPr>
            </w:pPr>
            <w:r>
              <w:rPr>
                <w:rFonts w:ascii="Arial" w:cs="Arial" w:eastAsia="Arial" w:hAnsi="Arial"/>
                <w:sz w:val="20"/>
                <w:szCs w:val="20"/>
                <w:color w:val="auto"/>
                <w:w w:val="89"/>
              </w:rPr>
              <w:t>Decrease primarily due to the sale of STP in November 2023</w:t>
            </w:r>
          </w:p>
        </w:tc>
        <w:tc>
          <w:tcPr>
            <w:tcW w:w="680" w:type="dxa"/>
            <w:vAlign w:val="bottom"/>
          </w:tcPr>
          <w:p>
            <w:pPr>
              <w:jc w:val="right"/>
              <w:spacing w:after="0"/>
              <w:rPr>
                <w:sz w:val="20"/>
                <w:szCs w:val="20"/>
                <w:color w:val="auto"/>
              </w:rPr>
            </w:pPr>
            <w:r>
              <w:rPr>
                <w:rFonts w:ascii="Arial" w:cs="Arial" w:eastAsia="Arial" w:hAnsi="Arial"/>
                <w:sz w:val="20"/>
                <w:szCs w:val="20"/>
                <w:color w:val="B4B4B4"/>
              </w:rPr>
              <w:t>. . . . . .</w:t>
            </w:r>
          </w:p>
        </w:tc>
        <w:tc>
          <w:tcPr>
            <w:tcW w:w="900" w:type="dxa"/>
            <w:vAlign w:val="bottom"/>
            <w:gridSpan w:val="2"/>
          </w:tcPr>
          <w:p>
            <w:pPr>
              <w:jc w:val="right"/>
              <w:spacing w:after="0"/>
              <w:rPr>
                <w:sz w:val="20"/>
                <w:szCs w:val="20"/>
                <w:color w:val="auto"/>
              </w:rPr>
            </w:pPr>
            <w:r>
              <w:rPr>
                <w:rFonts w:ascii="Arial" w:cs="Arial" w:eastAsia="Arial" w:hAnsi="Arial"/>
                <w:sz w:val="20"/>
                <w:szCs w:val="20"/>
                <w:color w:val="B4B4B4"/>
                <w:w w:val="88"/>
              </w:rPr>
              <w:t>. . . . . . . . .</w:t>
            </w:r>
          </w:p>
        </w:tc>
        <w:tc>
          <w:tcPr>
            <w:tcW w:w="480" w:type="dxa"/>
            <w:vAlign w:val="bottom"/>
            <w:gridSpan w:val="2"/>
          </w:tcPr>
          <w:p>
            <w:pPr>
              <w:jc w:val="right"/>
              <w:spacing w:after="0"/>
              <w:rPr>
                <w:sz w:val="20"/>
                <w:szCs w:val="20"/>
                <w:color w:val="auto"/>
              </w:rPr>
            </w:pPr>
            <w:r>
              <w:rPr>
                <w:rFonts w:ascii="Arial" w:cs="Arial" w:eastAsia="Arial" w:hAnsi="Arial"/>
                <w:sz w:val="20"/>
                <w:szCs w:val="20"/>
                <w:color w:val="B4B4B4"/>
                <w:w w:val="87"/>
              </w:rPr>
              <w:t>. . . . .</w:t>
            </w:r>
          </w:p>
        </w:tc>
        <w:tc>
          <w:tcPr>
            <w:tcW w:w="200" w:type="dxa"/>
            <w:vAlign w:val="bottom"/>
          </w:tcPr>
          <w:p>
            <w:pPr>
              <w:ind w:left="20"/>
              <w:spacing w:after="0"/>
              <w:rPr>
                <w:sz w:val="20"/>
                <w:szCs w:val="20"/>
                <w:color w:val="auto"/>
              </w:rPr>
            </w:pPr>
            <w:r>
              <w:rPr>
                <w:rFonts w:ascii="Arial" w:cs="Arial" w:eastAsia="Arial" w:hAnsi="Arial"/>
                <w:sz w:val="20"/>
                <w:szCs w:val="20"/>
                <w:color w:val="B4B4B4"/>
                <w:w w:val="95"/>
              </w:rPr>
              <w:t>. .</w:t>
            </w:r>
          </w:p>
        </w:tc>
        <w:tc>
          <w:tcPr>
            <w:tcW w:w="1620" w:type="dxa"/>
            <w:vAlign w:val="bottom"/>
            <w:gridSpan w:val="3"/>
          </w:tcPr>
          <w:p>
            <w:pPr>
              <w:jc w:val="right"/>
              <w:spacing w:after="0"/>
              <w:rPr>
                <w:sz w:val="20"/>
                <w:szCs w:val="20"/>
                <w:color w:val="auto"/>
              </w:rPr>
            </w:pPr>
            <w:r>
              <w:rPr>
                <w:rFonts w:ascii="Arial" w:cs="Arial" w:eastAsia="Arial" w:hAnsi="Arial"/>
                <w:sz w:val="20"/>
                <w:szCs w:val="20"/>
                <w:color w:val="B4B4B4"/>
                <w:w w:val="89"/>
              </w:rPr>
              <w:t>. . . . . . . . . . . . . . . .</w:t>
            </w:r>
          </w:p>
        </w:tc>
        <w:tc>
          <w:tcPr>
            <w:tcW w:w="26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99"/>
        </w:trPr>
        <w:tc>
          <w:tcPr>
            <w:tcW w:w="4840" w:type="dxa"/>
            <w:vAlign w:val="bottom"/>
            <w:gridSpan w:val="5"/>
          </w:tcPr>
          <w:p>
            <w:pPr>
              <w:spacing w:after="0"/>
              <w:rPr>
                <w:sz w:val="20"/>
                <w:szCs w:val="20"/>
                <w:color w:val="auto"/>
              </w:rPr>
            </w:pPr>
            <w:r>
              <w:rPr>
                <w:rFonts w:ascii="Arial" w:cs="Arial" w:eastAsia="Arial" w:hAnsi="Arial"/>
                <w:sz w:val="20"/>
                <w:szCs w:val="20"/>
                <w:color w:val="auto"/>
                <w:w w:val="89"/>
              </w:rPr>
              <w:t xml:space="preserve">Other </w:t>
            </w:r>
            <w:r>
              <w:rPr>
                <w:rFonts w:ascii="Arial" w:cs="Arial" w:eastAsia="Arial" w:hAnsi="Arial"/>
                <w:sz w:val="20"/>
                <w:szCs w:val="20"/>
                <w:color w:val="B4B4B4"/>
                <w:w w:val="89"/>
              </w:rPr>
              <w:t>. . . . . . . . . . . . . . . . . . . . . . . . . . . . . . . . . . . . . . . . . . . .</w:t>
            </w:r>
          </w:p>
        </w:tc>
        <w:tc>
          <w:tcPr>
            <w:tcW w:w="680" w:type="dxa"/>
            <w:vAlign w:val="bottom"/>
          </w:tcPr>
          <w:p>
            <w:pPr>
              <w:jc w:val="right"/>
              <w:spacing w:after="0"/>
              <w:rPr>
                <w:sz w:val="20"/>
                <w:szCs w:val="20"/>
                <w:color w:val="auto"/>
              </w:rPr>
            </w:pPr>
            <w:r>
              <w:rPr>
                <w:rFonts w:ascii="Arial" w:cs="Arial" w:eastAsia="Arial" w:hAnsi="Arial"/>
                <w:sz w:val="20"/>
                <w:szCs w:val="20"/>
                <w:color w:val="B4B4B4"/>
                <w:w w:val="88"/>
              </w:rPr>
              <w:t>. . . . . . .</w:t>
            </w:r>
          </w:p>
        </w:tc>
        <w:tc>
          <w:tcPr>
            <w:tcW w:w="900" w:type="dxa"/>
            <w:vAlign w:val="bottom"/>
            <w:gridSpan w:val="2"/>
          </w:tcPr>
          <w:p>
            <w:pPr>
              <w:jc w:val="right"/>
              <w:spacing w:after="0"/>
              <w:rPr>
                <w:sz w:val="20"/>
                <w:szCs w:val="20"/>
                <w:color w:val="auto"/>
              </w:rPr>
            </w:pPr>
            <w:r>
              <w:rPr>
                <w:rFonts w:ascii="Arial" w:cs="Arial" w:eastAsia="Arial" w:hAnsi="Arial"/>
                <w:sz w:val="20"/>
                <w:szCs w:val="20"/>
                <w:color w:val="B4B4B4"/>
                <w:w w:val="88"/>
              </w:rPr>
              <w:t>. . . . . . . . .</w:t>
            </w:r>
          </w:p>
        </w:tc>
        <w:tc>
          <w:tcPr>
            <w:tcW w:w="420" w:type="dxa"/>
            <w:vAlign w:val="bottom"/>
          </w:tcPr>
          <w:p>
            <w:pPr>
              <w:jc w:val="right"/>
              <w:spacing w:after="0"/>
              <w:rPr>
                <w:sz w:val="20"/>
                <w:szCs w:val="20"/>
                <w:color w:val="auto"/>
              </w:rPr>
            </w:pPr>
            <w:r>
              <w:rPr>
                <w:rFonts w:ascii="Arial" w:cs="Arial" w:eastAsia="Arial" w:hAnsi="Arial"/>
                <w:sz w:val="20"/>
                <w:szCs w:val="20"/>
                <w:color w:val="B4B4B4"/>
                <w:w w:val="87"/>
              </w:rPr>
              <w:t>. . . .</w:t>
            </w:r>
          </w:p>
        </w:tc>
        <w:tc>
          <w:tcPr>
            <w:tcW w:w="60" w:type="dxa"/>
            <w:vAlign w:val="bottom"/>
          </w:tcPr>
          <w:p>
            <w:pPr>
              <w:jc w:val="right"/>
              <w:spacing w:after="0"/>
              <w:rPr>
                <w:sz w:val="20"/>
                <w:szCs w:val="20"/>
                <w:color w:val="auto"/>
              </w:rPr>
            </w:pPr>
            <w:r>
              <w:rPr>
                <w:rFonts w:ascii="Arial" w:cs="Arial" w:eastAsia="Arial" w:hAnsi="Arial"/>
                <w:sz w:val="10"/>
                <w:szCs w:val="10"/>
                <w:color w:val="B4B4B4"/>
                <w:w w:val="70"/>
              </w:rPr>
              <w:t>.</w:t>
            </w:r>
          </w:p>
        </w:tc>
        <w:tc>
          <w:tcPr>
            <w:tcW w:w="200" w:type="dxa"/>
            <w:vAlign w:val="bottom"/>
          </w:tcPr>
          <w:p>
            <w:pPr>
              <w:ind w:left="40"/>
              <w:spacing w:after="0"/>
              <w:rPr>
                <w:sz w:val="20"/>
                <w:szCs w:val="20"/>
                <w:color w:val="auto"/>
              </w:rPr>
            </w:pPr>
            <w:r>
              <w:rPr>
                <w:rFonts w:ascii="Arial" w:cs="Arial" w:eastAsia="Arial" w:hAnsi="Arial"/>
                <w:sz w:val="20"/>
                <w:szCs w:val="20"/>
                <w:color w:val="B4B4B4"/>
                <w:w w:val="83"/>
              </w:rPr>
              <w:t>. .</w:t>
            </w:r>
          </w:p>
        </w:tc>
        <w:tc>
          <w:tcPr>
            <w:tcW w:w="1620" w:type="dxa"/>
            <w:vAlign w:val="bottom"/>
            <w:gridSpan w:val="3"/>
          </w:tcPr>
          <w:p>
            <w:pPr>
              <w:jc w:val="right"/>
              <w:spacing w:after="0"/>
              <w:rPr>
                <w:sz w:val="20"/>
                <w:szCs w:val="20"/>
                <w:color w:val="auto"/>
              </w:rPr>
            </w:pPr>
            <w:r>
              <w:rPr>
                <w:rFonts w:ascii="Arial" w:cs="Arial" w:eastAsia="Arial" w:hAnsi="Arial"/>
                <w:sz w:val="20"/>
                <w:szCs w:val="20"/>
                <w:color w:val="B4B4B4"/>
                <w:w w:val="89"/>
              </w:rPr>
              <w:t>. . . . . . . . . . . . . . . .</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57"/>
        </w:trPr>
        <w:tc>
          <w:tcPr>
            <w:tcW w:w="3640" w:type="dxa"/>
            <w:vAlign w:val="bottom"/>
            <w:gridSpan w:val="2"/>
          </w:tcPr>
          <w:p>
            <w:pPr>
              <w:ind w:left="180"/>
              <w:spacing w:after="0"/>
              <w:rPr>
                <w:sz w:val="20"/>
                <w:szCs w:val="20"/>
                <w:color w:val="auto"/>
              </w:rPr>
            </w:pPr>
            <w:r>
              <w:rPr>
                <w:rFonts w:ascii="Arial" w:cs="Arial" w:eastAsia="Arial" w:hAnsi="Arial"/>
                <w:sz w:val="20"/>
                <w:szCs w:val="20"/>
                <w:color w:val="auto"/>
                <w:w w:val="90"/>
              </w:rPr>
              <w:t xml:space="preserve">Increase in other cost of operations </w:t>
            </w:r>
            <w:r>
              <w:rPr>
                <w:rFonts w:ascii="Arial" w:cs="Arial" w:eastAsia="Arial" w:hAnsi="Arial"/>
                <w:sz w:val="20"/>
                <w:szCs w:val="20"/>
                <w:color w:val="B4B4B4"/>
                <w:w w:val="90"/>
              </w:rPr>
              <w:t>. . . . . .</w:t>
            </w:r>
          </w:p>
        </w:tc>
        <w:tc>
          <w:tcPr>
            <w:tcW w:w="1200" w:type="dxa"/>
            <w:vAlign w:val="bottom"/>
            <w:gridSpan w:val="3"/>
          </w:tcPr>
          <w:p>
            <w:pPr>
              <w:jc w:val="center"/>
              <w:ind w:right="20"/>
              <w:spacing w:after="0"/>
              <w:rPr>
                <w:sz w:val="20"/>
                <w:szCs w:val="20"/>
                <w:color w:val="auto"/>
              </w:rPr>
            </w:pPr>
            <w:r>
              <w:rPr>
                <w:rFonts w:ascii="Arial" w:cs="Arial" w:eastAsia="Arial" w:hAnsi="Arial"/>
                <w:sz w:val="20"/>
                <w:szCs w:val="20"/>
                <w:color w:val="B4B4B4"/>
                <w:w w:val="89"/>
              </w:rPr>
              <w:t>. . . . . . . . . . . .</w:t>
            </w:r>
          </w:p>
        </w:tc>
        <w:tc>
          <w:tcPr>
            <w:tcW w:w="680" w:type="dxa"/>
            <w:vAlign w:val="bottom"/>
          </w:tcPr>
          <w:p>
            <w:pPr>
              <w:jc w:val="right"/>
              <w:spacing w:after="0"/>
              <w:rPr>
                <w:sz w:val="20"/>
                <w:szCs w:val="20"/>
                <w:color w:val="auto"/>
              </w:rPr>
            </w:pPr>
            <w:r>
              <w:rPr>
                <w:rFonts w:ascii="Arial" w:cs="Arial" w:eastAsia="Arial" w:hAnsi="Arial"/>
                <w:sz w:val="20"/>
                <w:szCs w:val="20"/>
                <w:color w:val="B4B4B4"/>
                <w:w w:val="88"/>
              </w:rPr>
              <w:t>. . . . . . .</w:t>
            </w:r>
          </w:p>
        </w:tc>
        <w:tc>
          <w:tcPr>
            <w:tcW w:w="900" w:type="dxa"/>
            <w:vAlign w:val="bottom"/>
            <w:gridSpan w:val="2"/>
          </w:tcPr>
          <w:p>
            <w:pPr>
              <w:jc w:val="right"/>
              <w:spacing w:after="0"/>
              <w:rPr>
                <w:sz w:val="20"/>
                <w:szCs w:val="20"/>
                <w:color w:val="auto"/>
              </w:rPr>
            </w:pPr>
            <w:r>
              <w:rPr>
                <w:rFonts w:ascii="Arial" w:cs="Arial" w:eastAsia="Arial" w:hAnsi="Arial"/>
                <w:sz w:val="20"/>
                <w:szCs w:val="20"/>
                <w:color w:val="B4B4B4"/>
                <w:w w:val="88"/>
              </w:rPr>
              <w:t>. . . . . . . . .</w:t>
            </w:r>
          </w:p>
        </w:tc>
        <w:tc>
          <w:tcPr>
            <w:tcW w:w="480" w:type="dxa"/>
            <w:vAlign w:val="bottom"/>
            <w:gridSpan w:val="2"/>
          </w:tcPr>
          <w:p>
            <w:pPr>
              <w:jc w:val="right"/>
              <w:spacing w:after="0"/>
              <w:rPr>
                <w:sz w:val="20"/>
                <w:szCs w:val="20"/>
                <w:color w:val="auto"/>
              </w:rPr>
            </w:pPr>
            <w:r>
              <w:rPr>
                <w:rFonts w:ascii="Arial" w:cs="Arial" w:eastAsia="Arial" w:hAnsi="Arial"/>
                <w:sz w:val="20"/>
                <w:szCs w:val="20"/>
                <w:color w:val="B4B4B4"/>
                <w:w w:val="87"/>
              </w:rPr>
              <w:t>. . . . .</w:t>
            </w:r>
          </w:p>
        </w:tc>
        <w:tc>
          <w:tcPr>
            <w:tcW w:w="200" w:type="dxa"/>
            <w:vAlign w:val="bottom"/>
          </w:tcPr>
          <w:p>
            <w:pPr>
              <w:ind w:left="20"/>
              <w:spacing w:after="0"/>
              <w:rPr>
                <w:sz w:val="20"/>
                <w:szCs w:val="20"/>
                <w:color w:val="auto"/>
              </w:rPr>
            </w:pPr>
            <w:r>
              <w:rPr>
                <w:rFonts w:ascii="Arial" w:cs="Arial" w:eastAsia="Arial" w:hAnsi="Arial"/>
                <w:sz w:val="20"/>
                <w:szCs w:val="20"/>
                <w:color w:val="B4B4B4"/>
                <w:w w:val="95"/>
              </w:rPr>
              <w:t>. .</w:t>
            </w:r>
          </w:p>
        </w:tc>
        <w:tc>
          <w:tcPr>
            <w:tcW w:w="1620" w:type="dxa"/>
            <w:vAlign w:val="bottom"/>
            <w:gridSpan w:val="3"/>
          </w:tcPr>
          <w:p>
            <w:pPr>
              <w:jc w:val="right"/>
              <w:spacing w:after="0"/>
              <w:rPr>
                <w:sz w:val="20"/>
                <w:szCs w:val="20"/>
                <w:color w:val="auto"/>
              </w:rPr>
            </w:pPr>
            <w:r>
              <w:rPr>
                <w:rFonts w:ascii="Arial" w:cs="Arial" w:eastAsia="Arial" w:hAnsi="Arial"/>
                <w:sz w:val="20"/>
                <w:szCs w:val="20"/>
                <w:color w:val="B4B4B4"/>
                <w:w w:val="89"/>
              </w:rPr>
              <w:t>. . . . . . . . . . . . . . . .</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ind w:left="380"/>
              <w:spacing w:after="0"/>
              <w:rPr>
                <w:sz w:val="20"/>
                <w:szCs w:val="20"/>
                <w:color w:val="auto"/>
              </w:rPr>
            </w:pPr>
            <w:r>
              <w:rPr>
                <w:rFonts w:ascii="Arial" w:cs="Arial" w:eastAsia="Arial" w:hAnsi="Arial"/>
                <w:sz w:val="20"/>
                <w:szCs w:val="20"/>
                <w:b w:val="1"/>
                <w:bCs w:val="1"/>
                <w:i w:val="1"/>
                <w:iCs w:val="1"/>
                <w:color w:val="auto"/>
              </w:rPr>
              <w:t>Depreciation and Amortization</w:t>
            </w: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364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420" w:type="dxa"/>
            <w:vAlign w:val="bottom"/>
            <w:gridSpan w:val="8"/>
          </w:tcPr>
          <w:p>
            <w:pPr>
              <w:ind w:left="380"/>
              <w:spacing w:after="0"/>
              <w:rPr>
                <w:sz w:val="20"/>
                <w:szCs w:val="20"/>
                <w:color w:val="auto"/>
              </w:rPr>
            </w:pPr>
            <w:r>
              <w:rPr>
                <w:rFonts w:ascii="Arial" w:cs="Arial" w:eastAsia="Arial" w:hAnsi="Arial"/>
                <w:sz w:val="20"/>
                <w:szCs w:val="20"/>
                <w:color w:val="auto"/>
                <w:w w:val="95"/>
              </w:rPr>
              <w:t>Depreciation and amortization expenses are comprised of the following:</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32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320" w:type="dxa"/>
            <w:vAlign w:val="bottom"/>
            <w:vMerge w:val="restart"/>
          </w:tcPr>
          <w:p>
            <w:pPr>
              <w:spacing w:after="0"/>
              <w:rPr>
                <w:sz w:val="24"/>
                <w:szCs w:val="24"/>
                <w:color w:val="auto"/>
              </w:rPr>
            </w:pPr>
          </w:p>
        </w:tc>
        <w:tc>
          <w:tcPr>
            <w:tcW w:w="8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Texas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vMerge w:val="restart"/>
          </w:tcPr>
          <w:p>
            <w:pPr>
              <w:jc w:val="right"/>
              <w:ind w:right="243"/>
              <w:spacing w:after="0"/>
              <w:rPr>
                <w:sz w:val="20"/>
                <w:szCs w:val="20"/>
                <w:color w:val="auto"/>
              </w:rPr>
            </w:pPr>
            <w:r>
              <w:rPr>
                <w:rFonts w:ascii="Arial" w:cs="Arial" w:eastAsia="Arial" w:hAnsi="Arial"/>
                <w:sz w:val="16"/>
                <w:szCs w:val="16"/>
                <w:b w:val="1"/>
                <w:bCs w:val="1"/>
                <w:color w:val="auto"/>
                <w:w w:val="94"/>
              </w:rPr>
              <w:t>East</w:t>
            </w:r>
          </w:p>
        </w:tc>
        <w:tc>
          <w:tcPr>
            <w:tcW w:w="40" w:type="dxa"/>
            <w:vAlign w:val="bottom"/>
          </w:tcPr>
          <w:p>
            <w:pPr>
              <w:spacing w:after="0"/>
              <w:rPr>
                <w:sz w:val="24"/>
                <w:szCs w:val="24"/>
                <w:color w:val="auto"/>
              </w:rPr>
            </w:pPr>
          </w:p>
        </w:tc>
        <w:tc>
          <w:tcPr>
            <w:tcW w:w="128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w w:val="99"/>
              </w:rPr>
              <w:t>West/Services/</w:t>
            </w:r>
          </w:p>
        </w:tc>
        <w:tc>
          <w:tcPr>
            <w:tcW w:w="6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Vivint Smart</w:t>
            </w:r>
          </w:p>
        </w:tc>
        <w:tc>
          <w:tcPr>
            <w:tcW w:w="80" w:type="dxa"/>
            <w:vAlign w:val="bottom"/>
          </w:tcPr>
          <w:p>
            <w:pPr>
              <w:spacing w:after="0"/>
              <w:rPr>
                <w:sz w:val="24"/>
                <w:szCs w:val="2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Corporate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vMerge w:val="restart"/>
          </w:tcPr>
          <w:p>
            <w:pPr>
              <w:jc w:val="right"/>
              <w:ind w:right="22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320" w:type="dxa"/>
            <w:vAlign w:val="bottom"/>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4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83"/>
              <w:spacing w:after="0" w:line="212" w:lineRule="exact"/>
              <w:rPr>
                <w:sz w:val="20"/>
                <w:szCs w:val="20"/>
                <w:color w:val="auto"/>
              </w:rPr>
            </w:pPr>
            <w:r>
              <w:rPr>
                <w:rFonts w:ascii="Arial" w:cs="Arial" w:eastAsia="Arial" w:hAnsi="Arial"/>
                <w:sz w:val="16"/>
                <w:szCs w:val="16"/>
                <w:b w:val="1"/>
                <w:bCs w:val="1"/>
                <w:color w:val="auto"/>
                <w:w w:val="92"/>
              </w:rPr>
              <w:t>Home</w:t>
            </w:r>
            <w:r>
              <w:rPr>
                <w:rFonts w:ascii="Arial" w:cs="Arial" w:eastAsia="Arial" w:hAnsi="Arial"/>
                <w:sz w:val="20"/>
                <w:szCs w:val="20"/>
                <w:b w:val="1"/>
                <w:bCs w:val="1"/>
                <w:color w:val="auto"/>
                <w:w w:val="92"/>
                <w:vertAlign w:val="superscript"/>
              </w:rPr>
              <w:t>(a)</w:t>
            </w:r>
          </w:p>
        </w:tc>
        <w:tc>
          <w:tcPr>
            <w:tcW w:w="80" w:type="dxa"/>
            <w:vAlign w:val="bottom"/>
          </w:tcPr>
          <w:p>
            <w:pPr>
              <w:spacing w:after="0"/>
              <w:rPr>
                <w:sz w:val="18"/>
                <w:szCs w:val="18"/>
                <w:color w:val="auto"/>
              </w:rPr>
            </w:pPr>
          </w:p>
        </w:tc>
        <w:tc>
          <w:tcPr>
            <w:tcW w:w="94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640" w:type="dxa"/>
            <w:vAlign w:val="bottom"/>
            <w:gridSpan w:val="2"/>
          </w:tcPr>
          <w:p>
            <w:pPr>
              <w:spacing w:after="0"/>
              <w:rPr>
                <w:sz w:val="20"/>
                <w:szCs w:val="20"/>
                <w:color w:val="auto"/>
              </w:rPr>
            </w:pPr>
            <w:r>
              <w:rPr>
                <w:rFonts w:ascii="Arial" w:cs="Arial" w:eastAsia="Arial" w:hAnsi="Arial"/>
                <w:sz w:val="20"/>
                <w:szCs w:val="20"/>
                <w:color w:val="auto"/>
                <w:w w:val="94"/>
              </w:rPr>
              <w:t xml:space="preserve">Year Ended December 31, 2024 </w:t>
            </w:r>
            <w:r>
              <w:rPr>
                <w:rFonts w:ascii="Arial" w:cs="Arial" w:eastAsia="Arial" w:hAnsi="Arial"/>
                <w:sz w:val="20"/>
                <w:szCs w:val="20"/>
                <w:color w:val="B4B4B4"/>
                <w:w w:val="94"/>
              </w:rPr>
              <w:t>. . . . . . .</w:t>
            </w:r>
            <w:r>
              <w:rPr>
                <w:rFonts w:ascii="Arial" w:cs="Arial" w:eastAsia="Arial" w:hAnsi="Arial"/>
                <w:sz w:val="20"/>
                <w:szCs w:val="20"/>
                <w:color w:val="auto"/>
                <w:w w:val="94"/>
              </w:rPr>
              <w:t xml:space="preserve"> $</w:t>
            </w:r>
          </w:p>
        </w:tc>
        <w:tc>
          <w:tcPr>
            <w:tcW w:w="840" w:type="dxa"/>
            <w:vAlign w:val="bottom"/>
          </w:tcPr>
          <w:p>
            <w:pPr>
              <w:jc w:val="center"/>
              <w:ind w:left="285"/>
              <w:spacing w:after="0"/>
              <w:rPr>
                <w:sz w:val="20"/>
                <w:szCs w:val="20"/>
                <w:color w:val="auto"/>
              </w:rPr>
            </w:pPr>
            <w:r>
              <w:rPr>
                <w:rFonts w:ascii="Arial" w:cs="Arial" w:eastAsia="Arial" w:hAnsi="Arial"/>
                <w:sz w:val="20"/>
                <w:szCs w:val="20"/>
                <w:color w:val="auto"/>
                <w:w w:val="89"/>
              </w:rPr>
              <w:t>323</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3"/>
              <w:spacing w:after="0"/>
              <w:rPr>
                <w:sz w:val="20"/>
                <w:szCs w:val="20"/>
                <w:color w:val="auto"/>
              </w:rPr>
            </w:pPr>
            <w:r>
              <w:rPr>
                <w:rFonts w:ascii="Arial" w:cs="Arial" w:eastAsia="Arial" w:hAnsi="Arial"/>
                <w:sz w:val="20"/>
                <w:szCs w:val="20"/>
                <w:color w:val="auto"/>
              </w:rPr>
              <w:t>158</w:t>
            </w:r>
          </w:p>
        </w:tc>
        <w:tc>
          <w:tcPr>
            <w:tcW w:w="900" w:type="dxa"/>
            <w:vAlign w:val="bottom"/>
            <w:gridSpan w:val="2"/>
          </w:tcPr>
          <w:p>
            <w:pPr>
              <w:jc w:val="right"/>
              <w:ind w:right="621"/>
              <w:spacing w:after="0"/>
              <w:rPr>
                <w:sz w:val="20"/>
                <w:szCs w:val="20"/>
                <w:color w:val="auto"/>
              </w:rPr>
            </w:pPr>
            <w:r>
              <w:rPr>
                <w:rFonts w:ascii="Arial" w:cs="Arial" w:eastAsia="Arial" w:hAnsi="Arial"/>
                <w:sz w:val="20"/>
                <w:szCs w:val="20"/>
                <w:color w:val="auto"/>
              </w:rPr>
              <w:t>$</w:t>
            </w:r>
          </w:p>
        </w:tc>
        <w:tc>
          <w:tcPr>
            <w:tcW w:w="420" w:type="dxa"/>
            <w:vAlign w:val="bottom"/>
          </w:tcPr>
          <w:p>
            <w:pPr>
              <w:jc w:val="right"/>
              <w:spacing w:after="0"/>
              <w:rPr>
                <w:sz w:val="20"/>
                <w:szCs w:val="20"/>
                <w:color w:val="auto"/>
              </w:rPr>
            </w:pPr>
            <w:r>
              <w:rPr>
                <w:rFonts w:ascii="Arial" w:cs="Arial" w:eastAsia="Arial" w:hAnsi="Arial"/>
                <w:sz w:val="20"/>
                <w:szCs w:val="20"/>
                <w:color w:val="auto"/>
                <w:w w:val="95"/>
              </w:rPr>
              <w:t>114</w:t>
            </w:r>
          </w:p>
        </w:tc>
        <w:tc>
          <w:tcPr>
            <w:tcW w:w="26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767</w:t>
            </w:r>
          </w:p>
        </w:tc>
        <w:tc>
          <w:tcPr>
            <w:tcW w:w="760" w:type="dxa"/>
            <w:vAlign w:val="bottom"/>
            <w:gridSpan w:val="2"/>
          </w:tcPr>
          <w:p>
            <w:pPr>
              <w:jc w:val="right"/>
              <w:ind w:right="461"/>
              <w:spacing w:after="0"/>
              <w:rPr>
                <w:sz w:val="20"/>
                <w:szCs w:val="20"/>
                <w:color w:val="auto"/>
              </w:rPr>
            </w:pPr>
            <w:r>
              <w:rPr>
                <w:rFonts w:ascii="Arial" w:cs="Arial" w:eastAsia="Arial" w:hAnsi="Arial"/>
                <w:sz w:val="20"/>
                <w:szCs w:val="20"/>
                <w:color w:val="auto"/>
              </w:rPr>
              <w:t>$</w:t>
            </w:r>
          </w:p>
        </w:tc>
        <w:tc>
          <w:tcPr>
            <w:tcW w:w="260" w:type="dxa"/>
            <w:vAlign w:val="bottom"/>
          </w:tcPr>
          <w:p>
            <w:pPr>
              <w:ind w:left="40"/>
              <w:spacing w:after="0"/>
              <w:rPr>
                <w:sz w:val="20"/>
                <w:szCs w:val="20"/>
                <w:color w:val="auto"/>
              </w:rPr>
            </w:pPr>
            <w:r>
              <w:rPr>
                <w:rFonts w:ascii="Arial" w:cs="Arial" w:eastAsia="Arial" w:hAnsi="Arial"/>
                <w:sz w:val="20"/>
                <w:szCs w:val="20"/>
                <w:color w:val="auto"/>
                <w:w w:val="89"/>
              </w:rPr>
              <w:t>41</w:t>
            </w:r>
          </w:p>
        </w:tc>
        <w:tc>
          <w:tcPr>
            <w:tcW w:w="1120" w:type="dxa"/>
            <w:vAlign w:val="bottom"/>
            <w:gridSpan w:val="3"/>
          </w:tcPr>
          <w:p>
            <w:pPr>
              <w:jc w:val="right"/>
              <w:ind w:right="1"/>
              <w:spacing w:after="0"/>
              <w:rPr>
                <w:sz w:val="20"/>
                <w:szCs w:val="20"/>
                <w:color w:val="auto"/>
              </w:rPr>
            </w:pPr>
            <w:r>
              <w:rPr>
                <w:rFonts w:ascii="Arial" w:cs="Arial" w:eastAsia="Arial" w:hAnsi="Arial"/>
                <w:sz w:val="20"/>
                <w:szCs w:val="20"/>
                <w:color w:val="auto"/>
              </w:rPr>
              <w:t>$   1,403</w:t>
            </w:r>
          </w:p>
        </w:tc>
        <w:tc>
          <w:tcPr>
            <w:tcW w:w="0" w:type="dxa"/>
            <w:vAlign w:val="bottom"/>
          </w:tcPr>
          <w:p>
            <w:pPr>
              <w:spacing w:after="0"/>
              <w:rPr>
                <w:sz w:val="1"/>
                <w:szCs w:val="1"/>
                <w:color w:val="auto"/>
              </w:rPr>
            </w:pPr>
          </w:p>
        </w:tc>
      </w:tr>
      <w:tr>
        <w:trPr>
          <w:trHeight w:val="297"/>
        </w:trPr>
        <w:tc>
          <w:tcPr>
            <w:tcW w:w="3640" w:type="dxa"/>
            <w:vAlign w:val="bottom"/>
            <w:gridSpan w:val="2"/>
          </w:tcPr>
          <w:p>
            <w:pPr>
              <w:spacing w:after="0"/>
              <w:rPr>
                <w:sz w:val="20"/>
                <w:szCs w:val="20"/>
                <w:color w:val="auto"/>
              </w:rPr>
            </w:pPr>
            <w:r>
              <w:rPr>
                <w:rFonts w:ascii="Arial" w:cs="Arial" w:eastAsia="Arial" w:hAnsi="Arial"/>
                <w:sz w:val="20"/>
                <w:szCs w:val="20"/>
                <w:color w:val="auto"/>
                <w:w w:val="99"/>
              </w:rPr>
              <w:t xml:space="preserve">Year Ended December 31, 2023 </w:t>
            </w:r>
            <w:r>
              <w:rPr>
                <w:rFonts w:ascii="Arial" w:cs="Arial" w:eastAsia="Arial" w:hAnsi="Arial"/>
                <w:sz w:val="20"/>
                <w:szCs w:val="20"/>
                <w:color w:val="B4B4B4"/>
                <w:w w:val="99"/>
              </w:rPr>
              <w:t>. . . . . . .</w:t>
            </w:r>
          </w:p>
        </w:tc>
        <w:tc>
          <w:tcPr>
            <w:tcW w:w="840" w:type="dxa"/>
            <w:vAlign w:val="bottom"/>
          </w:tcPr>
          <w:p>
            <w:pPr>
              <w:jc w:val="center"/>
              <w:ind w:left="285"/>
              <w:spacing w:after="0"/>
              <w:rPr>
                <w:sz w:val="20"/>
                <w:szCs w:val="20"/>
                <w:color w:val="auto"/>
              </w:rPr>
            </w:pPr>
            <w:r>
              <w:rPr>
                <w:rFonts w:ascii="Arial" w:cs="Arial" w:eastAsia="Arial" w:hAnsi="Arial"/>
                <w:sz w:val="20"/>
                <w:szCs w:val="20"/>
                <w:color w:val="auto"/>
                <w:w w:val="89"/>
              </w:rPr>
              <w:t>348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167</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99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645</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20"/>
                <w:szCs w:val="20"/>
                <w:color w:val="auto"/>
                <w:w w:val="89"/>
              </w:rPr>
              <w:t>36</w:t>
            </w:r>
          </w:p>
        </w:tc>
        <w:tc>
          <w:tcPr>
            <w:tcW w:w="1120" w:type="dxa"/>
            <w:vAlign w:val="bottom"/>
            <w:gridSpan w:val="3"/>
          </w:tcPr>
          <w:p>
            <w:pPr>
              <w:jc w:val="right"/>
              <w:ind w:right="1"/>
              <w:spacing w:after="0"/>
              <w:rPr>
                <w:sz w:val="20"/>
                <w:szCs w:val="20"/>
                <w:color w:val="auto"/>
              </w:rPr>
            </w:pPr>
            <w:r>
              <w:rPr>
                <w:rFonts w:ascii="Arial" w:cs="Arial" w:eastAsia="Arial" w:hAnsi="Arial"/>
                <w:sz w:val="20"/>
                <w:szCs w:val="20"/>
                <w:color w:val="auto"/>
              </w:rPr>
              <w:t>1,295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-2406015</wp:posOffset>
            </wp:positionV>
            <wp:extent cx="6475095" cy="11696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9">
                      <a:extLst>
                        <a:ext uri="{28A0092B-C50C-407E-A947-70E740481C1C}"/>
                      </a:extLst>
                    </a:blip>
                    <a:srcRect/>
                    <a:stretch>
                      <a:fillRect/>
                    </a:stretch>
                  </pic:blipFill>
                  <pic:spPr bwMode="auto">
                    <a:xfrm>
                      <a:off x="0" y="0"/>
                      <a:ext cx="6475095" cy="116967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-381635</wp:posOffset>
            </wp:positionV>
            <wp:extent cx="6475095" cy="402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0">
                      <a:extLst>
                        <a:ext uri="{28A0092B-C50C-407E-A947-70E740481C1C}"/>
                      </a:extLst>
                    </a:blip>
                    <a:srcRect/>
                    <a:stretch>
                      <a:fillRect/>
                    </a:stretch>
                  </pic:blipFill>
                  <pic:spPr bwMode="auto">
                    <a:xfrm>
                      <a:off x="0" y="0"/>
                      <a:ext cx="6475095" cy="402590"/>
                    </a:xfrm>
                    <a:prstGeom prst="rect">
                      <a:avLst/>
                    </a:prstGeom>
                    <a:noFill/>
                  </pic:spPr>
                </pic:pic>
              </a:graphicData>
            </a:graphic>
          </wp:anchor>
        </w:drawing>
      </w:r>
    </w:p>
    <w:p>
      <w:pPr>
        <w:spacing w:after="0" w:line="4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results of operations following the acquisition date of March 10, 2023</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880" w:h="15480" w:orient="portrait"/>
          <w:cols w:equalWidth="0" w:num="1">
            <w:col w:w="10160"/>
          </w:cols>
          <w:pgMar w:left="860" w:top="505" w:right="860" w:bottom="0" w:gutter="0" w:footer="0" w:header="0"/>
          <w:type w:val="continuous"/>
        </w:sectPr>
      </w:pPr>
    </w:p>
    <w:bookmarkStart w:id="61" w:name="page62"/>
    <w:bookmarkEnd w:id="61"/>
    <w:p>
      <w:pPr>
        <w:jc w:val="both"/>
        <w:ind w:firstLine="445"/>
        <w:spacing w:after="0" w:line="282" w:lineRule="auto"/>
        <w:rPr>
          <w:sz w:val="20"/>
          <w:szCs w:val="20"/>
          <w:color w:val="auto"/>
        </w:rPr>
      </w:pPr>
      <w:r>
        <w:rPr>
          <w:rFonts w:ascii="Arial" w:cs="Arial" w:eastAsia="Arial" w:hAnsi="Arial"/>
          <w:sz w:val="19"/>
          <w:szCs w:val="19"/>
          <w:color w:val="auto"/>
        </w:rPr>
        <w:t>Depreciation and amortization expense increased by $108 million for the year ended December 31, 2024, compared to the same period in 2023, primarily due to an increase in amortization of capitalized contract costs, partially offset by a decrease in amortization driven by the expected roll of the acquired Vivint Smart Home intangibles.</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Impairment Losses</w:t>
      </w:r>
    </w:p>
    <w:p>
      <w:pPr>
        <w:spacing w:after="0" w:line="134" w:lineRule="exact"/>
        <w:rPr>
          <w:sz w:val="20"/>
          <w:szCs w:val="20"/>
          <w:color w:val="auto"/>
        </w:rPr>
      </w:pPr>
    </w:p>
    <w:p>
      <w:pPr>
        <w:jc w:val="both"/>
        <w:ind w:firstLine="445"/>
        <w:spacing w:after="0" w:line="304" w:lineRule="auto"/>
        <w:rPr>
          <w:sz w:val="20"/>
          <w:szCs w:val="20"/>
          <w:color w:val="auto"/>
        </w:rPr>
      </w:pPr>
      <w:r>
        <w:rPr>
          <w:rFonts w:ascii="Arial" w:cs="Arial" w:eastAsia="Arial" w:hAnsi="Arial"/>
          <w:sz w:val="19"/>
          <w:szCs w:val="19"/>
          <w:color w:val="auto"/>
        </w:rPr>
        <w:t>During the year ended December 31, 2024, the Company recorded impairment losses related to property plant and equipment and other assets of $7 million, and $29 million in the Texas and West/Services/Other segments, respectively.</w:t>
      </w:r>
    </w:p>
    <w:p>
      <w:pPr>
        <w:spacing w:after="0" w:line="4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During the year ended December 31, 2023, the Company recorded impairment losses related to property plant and equipment and leases of $2 million, $4 million and $20 million in the Texas, East and West/Services/Other segments, respectively.</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9"/>
          <w:szCs w:val="19"/>
          <w:color w:val="auto"/>
        </w:rPr>
        <w:t xml:space="preserve">Refer to Item 15 — Note 10, </w:t>
      </w:r>
      <w:r>
        <w:rPr>
          <w:rFonts w:ascii="Arial" w:cs="Arial" w:eastAsia="Arial" w:hAnsi="Arial"/>
          <w:sz w:val="19"/>
          <w:szCs w:val="19"/>
          <w:b w:val="1"/>
          <w:bCs w:val="1"/>
          <w:i w:val="1"/>
          <w:iCs w:val="1"/>
          <w:color w:val="auto"/>
        </w:rPr>
        <w:t>Asset Impairments</w:t>
      </w:r>
      <w:r>
        <w:rPr>
          <w:rFonts w:ascii="Arial" w:cs="Arial" w:eastAsia="Arial" w:hAnsi="Arial"/>
          <w:sz w:val="19"/>
          <w:szCs w:val="19"/>
          <w:color w:val="auto"/>
        </w:rPr>
        <w:t>, to the Consolidated Financial Statements for further discussion</w:t>
      </w:r>
      <w:r>
        <w:rPr>
          <w:rFonts w:ascii="Arial" w:cs="Arial" w:eastAsia="Arial" w:hAnsi="Arial"/>
          <w:sz w:val="19"/>
          <w:szCs w:val="19"/>
          <w:b w:val="1"/>
          <w:bCs w:val="1"/>
          <w:i w:val="1"/>
          <w:iCs w:val="1"/>
          <w:color w:val="auto"/>
        </w:rPr>
        <w:t>.</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Selling, General and Administrative Costs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Selling, general and administrative costs are comprised of the following:</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10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vMerge w:val="restart"/>
          </w:tcPr>
          <w:p>
            <w:pPr>
              <w:spacing w:after="0"/>
              <w:rPr>
                <w:sz w:val="16"/>
                <w:szCs w:val="16"/>
                <w:color w:val="auto"/>
              </w:rPr>
            </w:pPr>
          </w:p>
        </w:tc>
        <w:tc>
          <w:tcPr>
            <w:tcW w:w="740" w:type="dxa"/>
            <w:vAlign w:val="bottom"/>
            <w:vMerge w:val="restart"/>
          </w:tcPr>
          <w:p>
            <w:pPr>
              <w:jc w:val="right"/>
              <w:ind w:right="188"/>
              <w:spacing w:after="0"/>
              <w:rPr>
                <w:sz w:val="20"/>
                <w:szCs w:val="20"/>
                <w:color w:val="auto"/>
              </w:rPr>
            </w:pPr>
            <w:r>
              <w:rPr>
                <w:rFonts w:ascii="Arial" w:cs="Arial" w:eastAsia="Arial" w:hAnsi="Arial"/>
                <w:sz w:val="16"/>
                <w:szCs w:val="16"/>
                <w:b w:val="1"/>
                <w:bCs w:val="1"/>
                <w:color w:val="auto"/>
                <w:w w:val="96"/>
              </w:rPr>
              <w:t>Texas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6"/>
                <w:szCs w:val="16"/>
                <w:b w:val="1"/>
                <w:bCs w:val="1"/>
                <w:color w:val="auto"/>
              </w:rPr>
              <w:t>East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11"/>
              <w:spacing w:after="0"/>
              <w:rPr>
                <w:sz w:val="20"/>
                <w:szCs w:val="20"/>
                <w:color w:val="auto"/>
              </w:rPr>
            </w:pPr>
            <w:r>
              <w:rPr>
                <w:rFonts w:ascii="Arial" w:cs="Arial" w:eastAsia="Arial" w:hAnsi="Arial"/>
                <w:sz w:val="16"/>
                <w:szCs w:val="16"/>
                <w:b w:val="1"/>
                <w:bCs w:val="1"/>
                <w:color w:val="auto"/>
                <w:w w:val="88"/>
              </w:rPr>
              <w:t>West/Services/</w:t>
            </w:r>
          </w:p>
        </w:tc>
        <w:tc>
          <w:tcPr>
            <w:tcW w:w="80" w:type="dxa"/>
            <w:vAlign w:val="bottom"/>
          </w:tcPr>
          <w:p>
            <w:pPr>
              <w:spacing w:after="0"/>
              <w:rPr>
                <w:sz w:val="16"/>
                <w:szCs w:val="16"/>
                <w:color w:val="auto"/>
              </w:rPr>
            </w:pPr>
          </w:p>
        </w:tc>
        <w:tc>
          <w:tcPr>
            <w:tcW w:w="1180" w:type="dxa"/>
            <w:vAlign w:val="bottom"/>
            <w:gridSpan w:val="2"/>
          </w:tcPr>
          <w:p>
            <w:pPr>
              <w:jc w:val="right"/>
              <w:ind w:right="48"/>
              <w:spacing w:after="0"/>
              <w:rPr>
                <w:sz w:val="20"/>
                <w:szCs w:val="20"/>
                <w:color w:val="auto"/>
              </w:rPr>
            </w:pPr>
            <w:r>
              <w:rPr>
                <w:rFonts w:ascii="Arial" w:cs="Arial" w:eastAsia="Arial" w:hAnsi="Arial"/>
                <w:sz w:val="16"/>
                <w:szCs w:val="16"/>
                <w:b w:val="1"/>
                <w:bCs w:val="1"/>
                <w:color w:val="auto"/>
              </w:rPr>
              <w:t>Vivint Smart</w:t>
            </w:r>
          </w:p>
        </w:tc>
        <w:tc>
          <w:tcPr>
            <w:tcW w:w="60" w:type="dxa"/>
            <w:vAlign w:val="bottom"/>
          </w:tcPr>
          <w:p>
            <w:pPr>
              <w:spacing w:after="0"/>
              <w:rPr>
                <w:sz w:val="16"/>
                <w:szCs w:val="16"/>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Corporate/</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ind w:right="308"/>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100" w:type="dxa"/>
            <w:vAlign w:val="bottom"/>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Other</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8"/>
              <w:spacing w:after="0" w:line="212" w:lineRule="exact"/>
              <w:rPr>
                <w:sz w:val="20"/>
                <w:szCs w:val="20"/>
                <w:color w:val="auto"/>
              </w:rPr>
            </w:pPr>
            <w:r>
              <w:rPr>
                <w:rFonts w:ascii="Arial" w:cs="Arial" w:eastAsia="Arial" w:hAnsi="Arial"/>
                <w:sz w:val="16"/>
                <w:szCs w:val="16"/>
                <w:b w:val="1"/>
                <w:bCs w:val="1"/>
                <w:color w:val="auto"/>
                <w:w w:val="98"/>
              </w:rPr>
              <w:t>Home</w:t>
            </w:r>
            <w:r>
              <w:rPr>
                <w:rFonts w:ascii="Arial" w:cs="Arial" w:eastAsia="Arial" w:hAnsi="Arial"/>
                <w:sz w:val="20"/>
                <w:szCs w:val="20"/>
                <w:b w:val="1"/>
                <w:bCs w:val="1"/>
                <w:color w:val="auto"/>
                <w:w w:val="98"/>
                <w:vertAlign w:val="superscript"/>
              </w:rPr>
              <w:t>(a)</w:t>
            </w:r>
          </w:p>
        </w:tc>
        <w:tc>
          <w:tcPr>
            <w:tcW w:w="60" w:type="dxa"/>
            <w:vAlign w:val="bottom"/>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6"/>
              </w:rPr>
              <w:t>Eliminations</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320" w:type="dxa"/>
            <w:vAlign w:val="bottom"/>
            <w:gridSpan w:val="2"/>
          </w:tcPr>
          <w:p>
            <w:pPr>
              <w:spacing w:after="0"/>
              <w:rPr>
                <w:sz w:val="20"/>
                <w:szCs w:val="20"/>
                <w:color w:val="auto"/>
              </w:rPr>
            </w:pPr>
            <w:r>
              <w:rPr>
                <w:rFonts w:ascii="Arial" w:cs="Arial" w:eastAsia="Arial" w:hAnsi="Arial"/>
                <w:sz w:val="20"/>
                <w:szCs w:val="20"/>
                <w:color w:val="auto"/>
                <w:w w:val="93"/>
              </w:rPr>
              <w:t xml:space="preserve">Year Ended December 31, 2024 </w:t>
            </w:r>
            <w:r>
              <w:rPr>
                <w:rFonts w:ascii="Arial" w:cs="Arial" w:eastAsia="Arial" w:hAnsi="Arial"/>
                <w:sz w:val="20"/>
                <w:szCs w:val="20"/>
                <w:color w:val="B4B4B4"/>
                <w:w w:val="93"/>
              </w:rPr>
              <w:t>. . . .</w:t>
            </w:r>
            <w:r>
              <w:rPr>
                <w:rFonts w:ascii="Arial" w:cs="Arial" w:eastAsia="Arial" w:hAnsi="Arial"/>
                <w:sz w:val="20"/>
                <w:szCs w:val="20"/>
                <w:color w:val="auto"/>
                <w:w w:val="93"/>
              </w:rPr>
              <w:t xml:space="preserve">  $</w:t>
            </w:r>
          </w:p>
        </w:tc>
        <w:tc>
          <w:tcPr>
            <w:tcW w:w="740" w:type="dxa"/>
            <w:vAlign w:val="bottom"/>
          </w:tcPr>
          <w:p>
            <w:pPr>
              <w:jc w:val="right"/>
              <w:spacing w:after="0"/>
              <w:rPr>
                <w:sz w:val="20"/>
                <w:szCs w:val="20"/>
                <w:color w:val="auto"/>
              </w:rPr>
            </w:pPr>
            <w:r>
              <w:rPr>
                <w:rFonts w:ascii="Arial" w:cs="Arial" w:eastAsia="Arial" w:hAnsi="Arial"/>
                <w:sz w:val="20"/>
                <w:szCs w:val="20"/>
                <w:color w:val="auto"/>
              </w:rPr>
              <w:t>638</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561</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201</w:t>
            </w:r>
          </w:p>
        </w:tc>
        <w:tc>
          <w:tcPr>
            <w:tcW w:w="32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591</w:t>
            </w:r>
          </w:p>
        </w:tc>
        <w:tc>
          <w:tcPr>
            <w:tcW w:w="50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40</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2,031</w:t>
            </w:r>
          </w:p>
        </w:tc>
        <w:tc>
          <w:tcPr>
            <w:tcW w:w="0" w:type="dxa"/>
            <w:vAlign w:val="bottom"/>
          </w:tcPr>
          <w:p>
            <w:pPr>
              <w:spacing w:after="0"/>
              <w:rPr>
                <w:sz w:val="1"/>
                <w:szCs w:val="1"/>
                <w:color w:val="auto"/>
              </w:rPr>
            </w:pPr>
          </w:p>
        </w:tc>
      </w:tr>
      <w:tr>
        <w:trPr>
          <w:trHeight w:val="297"/>
        </w:trPr>
        <w:tc>
          <w:tcPr>
            <w:tcW w:w="3320" w:type="dxa"/>
            <w:vAlign w:val="bottom"/>
            <w:gridSpan w:val="2"/>
          </w:tcPr>
          <w:p>
            <w:pPr>
              <w:spacing w:after="0"/>
              <w:rPr>
                <w:sz w:val="20"/>
                <w:szCs w:val="20"/>
                <w:color w:val="auto"/>
              </w:rPr>
            </w:pPr>
            <w:r>
              <w:rPr>
                <w:rFonts w:ascii="Arial" w:cs="Arial" w:eastAsia="Arial" w:hAnsi="Arial"/>
                <w:sz w:val="20"/>
                <w:szCs w:val="20"/>
                <w:color w:val="auto"/>
                <w:w w:val="99"/>
              </w:rPr>
              <w:t xml:space="preserve">Year Ended December 31, 2023 </w:t>
            </w:r>
            <w:r>
              <w:rPr>
                <w:rFonts w:ascii="Arial" w:cs="Arial" w:eastAsia="Arial" w:hAnsi="Arial"/>
                <w:sz w:val="20"/>
                <w:szCs w:val="20"/>
                <w:color w:val="B4B4B4"/>
                <w:w w:val="99"/>
              </w:rPr>
              <w:t>. . . .</w:t>
            </w:r>
          </w:p>
        </w:tc>
        <w:tc>
          <w:tcPr>
            <w:tcW w:w="740" w:type="dxa"/>
            <w:vAlign w:val="bottom"/>
          </w:tcPr>
          <w:p>
            <w:pPr>
              <w:jc w:val="right"/>
              <w:spacing w:after="0"/>
              <w:rPr>
                <w:sz w:val="20"/>
                <w:szCs w:val="20"/>
                <w:color w:val="auto"/>
              </w:rPr>
            </w:pPr>
            <w:r>
              <w:rPr>
                <w:rFonts w:ascii="Arial" w:cs="Arial" w:eastAsia="Arial" w:hAnsi="Arial"/>
                <w:sz w:val="20"/>
                <w:szCs w:val="20"/>
                <w:color w:val="auto"/>
              </w:rPr>
              <w:t>587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524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198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477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1,843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-381635</wp:posOffset>
            </wp:positionV>
            <wp:extent cx="6466205" cy="402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1">
                      <a:extLst>
                        <a:ext uri="{28A0092B-C50C-407E-A947-70E740481C1C}"/>
                      </a:extLst>
                    </a:blip>
                    <a:srcRect/>
                    <a:stretch>
                      <a:fillRect/>
                    </a:stretch>
                  </pic:blipFill>
                  <pic:spPr bwMode="auto">
                    <a:xfrm>
                      <a:off x="0" y="0"/>
                      <a:ext cx="6466205" cy="402590"/>
                    </a:xfrm>
                    <a:prstGeom prst="rect">
                      <a:avLst/>
                    </a:prstGeom>
                    <a:noFill/>
                  </pic:spPr>
                </pic:pic>
              </a:graphicData>
            </a:graphic>
          </wp:anchor>
        </w:drawing>
      </w:r>
    </w:p>
    <w:p>
      <w:pPr>
        <w:spacing w:after="0" w:line="4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results of operations following the acquisition date of March 10, 2023</w:t>
      </w:r>
    </w:p>
    <w:p>
      <w:pPr>
        <w:spacing w:after="0" w:line="173" w:lineRule="exact"/>
        <w:rPr>
          <w:sz w:val="20"/>
          <w:szCs w:val="20"/>
          <w:color w:val="auto"/>
        </w:rPr>
      </w:pPr>
    </w:p>
    <w:p>
      <w:pPr>
        <w:ind w:right="280" w:firstLine="445"/>
        <w:spacing w:after="0" w:line="277" w:lineRule="auto"/>
        <w:rPr>
          <w:sz w:val="20"/>
          <w:szCs w:val="20"/>
          <w:color w:val="auto"/>
        </w:rPr>
      </w:pPr>
      <w:r>
        <w:rPr>
          <w:rFonts w:ascii="Arial" w:cs="Arial" w:eastAsia="Arial" w:hAnsi="Arial"/>
          <w:sz w:val="20"/>
          <w:szCs w:val="20"/>
          <w:color w:val="auto"/>
        </w:rPr>
        <w:t>Selling, general and administrative costs increased by $188 million for the year ended December 31, 2024 compared to the same period in 2023, due to the following:</w:t>
      </w:r>
    </w:p>
    <w:p>
      <w:pPr>
        <w:spacing w:after="0" w:line="3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b w:val="1"/>
                <w:bCs w:val="1"/>
                <w:color w:val="auto"/>
                <w:w w:val="93"/>
              </w:rPr>
              <w:t>(In millions)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880" w:type="dxa"/>
            <w:vAlign w:val="bottom"/>
            <w:gridSpan w:val="7"/>
          </w:tcPr>
          <w:p>
            <w:pPr>
              <w:spacing w:after="0"/>
              <w:rPr>
                <w:sz w:val="20"/>
                <w:szCs w:val="20"/>
                <w:color w:val="auto"/>
              </w:rPr>
            </w:pPr>
            <w:r>
              <w:rPr>
                <w:rFonts w:ascii="Arial" w:cs="Arial" w:eastAsia="Arial" w:hAnsi="Arial"/>
                <w:sz w:val="20"/>
                <w:szCs w:val="20"/>
                <w:color w:val="auto"/>
                <w:w w:val="91"/>
              </w:rPr>
              <w:t xml:space="preserve">Increase due to the acquisition of Vivint Smart Home in March 2023 </w:t>
            </w:r>
            <w:r>
              <w:rPr>
                <w:rFonts w:ascii="Arial" w:cs="Arial" w:eastAsia="Arial" w:hAnsi="Arial"/>
                <w:sz w:val="20"/>
                <w:szCs w:val="20"/>
                <w:color w:val="B4B4B4"/>
                <w:w w:val="91"/>
              </w:rPr>
              <w:t>. . . .</w:t>
            </w:r>
          </w:p>
        </w:tc>
        <w:tc>
          <w:tcPr>
            <w:tcW w:w="160" w:type="dxa"/>
            <w:vAlign w:val="bottom"/>
          </w:tcPr>
          <w:p>
            <w:pPr>
              <w:jc w:val="right"/>
              <w:spacing w:after="0"/>
              <w:rPr>
                <w:sz w:val="20"/>
                <w:szCs w:val="20"/>
                <w:color w:val="auto"/>
              </w:rPr>
            </w:pPr>
            <w:r>
              <w:rPr>
                <w:rFonts w:ascii="Arial" w:cs="Arial" w:eastAsia="Arial" w:hAnsi="Arial"/>
                <w:sz w:val="20"/>
                <w:szCs w:val="20"/>
                <w:color w:val="B4B4B4"/>
                <w:w w:val="83"/>
              </w:rPr>
              <w:t>. .</w:t>
            </w:r>
          </w:p>
        </w:tc>
        <w:tc>
          <w:tcPr>
            <w:tcW w:w="1200" w:type="dxa"/>
            <w:vAlign w:val="bottom"/>
          </w:tcPr>
          <w:p>
            <w:pPr>
              <w:ind w:left="40"/>
              <w:spacing w:after="0"/>
              <w:rPr>
                <w:sz w:val="20"/>
                <w:szCs w:val="20"/>
                <w:color w:val="auto"/>
              </w:rPr>
            </w:pPr>
            <w:r>
              <w:rPr>
                <w:rFonts w:ascii="Arial" w:cs="Arial" w:eastAsia="Arial" w:hAnsi="Arial"/>
                <w:sz w:val="20"/>
                <w:szCs w:val="20"/>
                <w:color w:val="B4B4B4"/>
                <w:w w:val="89"/>
              </w:rPr>
              <w:t>. . . . . . . . . . . .</w:t>
            </w:r>
          </w:p>
        </w:tc>
        <w:tc>
          <w:tcPr>
            <w:tcW w:w="300" w:type="dxa"/>
            <w:vAlign w:val="bottom"/>
            <w:gridSpan w:val="2"/>
          </w:tcPr>
          <w:p>
            <w:pPr>
              <w:jc w:val="center"/>
              <w:spacing w:after="0"/>
              <w:rPr>
                <w:sz w:val="20"/>
                <w:szCs w:val="20"/>
                <w:color w:val="auto"/>
              </w:rPr>
            </w:pPr>
            <w:r>
              <w:rPr>
                <w:rFonts w:ascii="Arial" w:cs="Arial" w:eastAsia="Arial" w:hAnsi="Arial"/>
                <w:sz w:val="20"/>
                <w:szCs w:val="20"/>
                <w:color w:val="B4B4B4"/>
                <w:w w:val="93"/>
              </w:rPr>
              <w:t>. . .</w:t>
            </w:r>
          </w:p>
        </w:tc>
        <w:tc>
          <w:tcPr>
            <w:tcW w:w="1120" w:type="dxa"/>
            <w:vAlign w:val="bottom"/>
          </w:tcPr>
          <w:p>
            <w:pPr>
              <w:jc w:val="right"/>
              <w:spacing w:after="0"/>
              <w:rPr>
                <w:sz w:val="20"/>
                <w:szCs w:val="20"/>
                <w:color w:val="auto"/>
              </w:rPr>
            </w:pPr>
            <w:r>
              <w:rPr>
                <w:rFonts w:ascii="Arial" w:cs="Arial" w:eastAsia="Arial" w:hAnsi="Arial"/>
                <w:sz w:val="20"/>
                <w:szCs w:val="20"/>
                <w:color w:val="B4B4B4"/>
                <w:w w:val="89"/>
              </w:rPr>
              <w:t>. . . . . . . . . . .</w:t>
            </w:r>
          </w:p>
        </w:tc>
        <w:tc>
          <w:tcPr>
            <w:tcW w:w="24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87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8660" w:type="dxa"/>
            <w:vAlign w:val="bottom"/>
            <w:gridSpan w:val="12"/>
          </w:tcPr>
          <w:p>
            <w:pPr>
              <w:spacing w:after="0"/>
              <w:rPr>
                <w:sz w:val="20"/>
                <w:szCs w:val="20"/>
                <w:color w:val="auto"/>
              </w:rPr>
            </w:pPr>
            <w:r>
              <w:rPr>
                <w:rFonts w:ascii="Arial" w:cs="Arial" w:eastAsia="Arial" w:hAnsi="Arial"/>
                <w:sz w:val="20"/>
                <w:szCs w:val="20"/>
                <w:color w:val="auto"/>
                <w:w w:val="94"/>
              </w:rPr>
              <w:t>Increase due to reserves for legal matters in 2024 and partially offset by the favorable resolution of legal</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460" w:type="dxa"/>
            <w:vAlign w:val="bottom"/>
            <w:gridSpan w:val="4"/>
          </w:tcPr>
          <w:p>
            <w:pPr>
              <w:ind w:left="180"/>
              <w:spacing w:after="0"/>
              <w:rPr>
                <w:sz w:val="20"/>
                <w:szCs w:val="20"/>
                <w:color w:val="auto"/>
              </w:rPr>
            </w:pPr>
            <w:r>
              <w:rPr>
                <w:rFonts w:ascii="Arial" w:cs="Arial" w:eastAsia="Arial" w:hAnsi="Arial"/>
                <w:sz w:val="20"/>
                <w:szCs w:val="20"/>
                <w:color w:val="auto"/>
                <w:w w:val="90"/>
              </w:rPr>
              <w:t xml:space="preserve">matters in 2023 </w:t>
            </w:r>
            <w:r>
              <w:rPr>
                <w:rFonts w:ascii="Arial" w:cs="Arial" w:eastAsia="Arial" w:hAnsi="Arial"/>
                <w:sz w:val="20"/>
                <w:szCs w:val="20"/>
                <w:color w:val="B4B4B4"/>
                <w:w w:val="90"/>
              </w:rPr>
              <w:t>. . . . . . . . . . . . . . . . . . . . . . . . . . . . . .</w:t>
            </w:r>
          </w:p>
        </w:tc>
        <w:tc>
          <w:tcPr>
            <w:tcW w:w="500" w:type="dxa"/>
            <w:vAlign w:val="bottom"/>
          </w:tcPr>
          <w:p>
            <w:pPr>
              <w:ind w:left="40"/>
              <w:spacing w:after="0"/>
              <w:rPr>
                <w:sz w:val="20"/>
                <w:szCs w:val="20"/>
                <w:color w:val="auto"/>
              </w:rPr>
            </w:pPr>
            <w:r>
              <w:rPr>
                <w:rFonts w:ascii="Arial" w:cs="Arial" w:eastAsia="Arial" w:hAnsi="Arial"/>
                <w:sz w:val="20"/>
                <w:szCs w:val="20"/>
                <w:color w:val="B4B4B4"/>
                <w:w w:val="87"/>
              </w:rPr>
              <w:t>. . . . .</w:t>
            </w:r>
          </w:p>
        </w:tc>
        <w:tc>
          <w:tcPr>
            <w:tcW w:w="1080" w:type="dxa"/>
            <w:vAlign w:val="bottom"/>
            <w:gridSpan w:val="3"/>
          </w:tcPr>
          <w:p>
            <w:pPr>
              <w:jc w:val="right"/>
              <w:spacing w:after="0"/>
              <w:rPr>
                <w:sz w:val="20"/>
                <w:szCs w:val="20"/>
                <w:color w:val="auto"/>
              </w:rPr>
            </w:pPr>
            <w:r>
              <w:rPr>
                <w:rFonts w:ascii="Arial" w:cs="Arial" w:eastAsia="Arial" w:hAnsi="Arial"/>
                <w:sz w:val="20"/>
                <w:szCs w:val="20"/>
                <w:color w:val="B4B4B4"/>
                <w:w w:val="89"/>
              </w:rPr>
              <w:t>. . . . . . . . . . .</w:t>
            </w:r>
          </w:p>
        </w:tc>
        <w:tc>
          <w:tcPr>
            <w:tcW w:w="1200" w:type="dxa"/>
            <w:vAlign w:val="bottom"/>
          </w:tcPr>
          <w:p>
            <w:pPr>
              <w:ind w:left="40"/>
              <w:spacing w:after="0"/>
              <w:rPr>
                <w:sz w:val="20"/>
                <w:szCs w:val="20"/>
                <w:color w:val="auto"/>
              </w:rPr>
            </w:pPr>
            <w:r>
              <w:rPr>
                <w:rFonts w:ascii="Arial" w:cs="Arial" w:eastAsia="Arial" w:hAnsi="Arial"/>
                <w:sz w:val="20"/>
                <w:szCs w:val="20"/>
                <w:color w:val="B4B4B4"/>
                <w:w w:val="89"/>
              </w:rPr>
              <w:t>. . . . . . . . . . . .</w:t>
            </w:r>
          </w:p>
        </w:tc>
        <w:tc>
          <w:tcPr>
            <w:tcW w:w="300" w:type="dxa"/>
            <w:vAlign w:val="bottom"/>
            <w:gridSpan w:val="2"/>
          </w:tcPr>
          <w:p>
            <w:pPr>
              <w:jc w:val="center"/>
              <w:spacing w:after="0"/>
              <w:rPr>
                <w:sz w:val="20"/>
                <w:szCs w:val="20"/>
                <w:color w:val="auto"/>
              </w:rPr>
            </w:pPr>
            <w:r>
              <w:rPr>
                <w:rFonts w:ascii="Arial" w:cs="Arial" w:eastAsia="Arial" w:hAnsi="Arial"/>
                <w:sz w:val="20"/>
                <w:szCs w:val="20"/>
                <w:color w:val="B4B4B4"/>
                <w:w w:val="93"/>
              </w:rPr>
              <w:t>. . .</w:t>
            </w:r>
          </w:p>
        </w:tc>
        <w:tc>
          <w:tcPr>
            <w:tcW w:w="1120" w:type="dxa"/>
            <w:vAlign w:val="bottom"/>
          </w:tcPr>
          <w:p>
            <w:pPr>
              <w:jc w:val="right"/>
              <w:spacing w:after="0"/>
              <w:rPr>
                <w:sz w:val="20"/>
                <w:szCs w:val="20"/>
                <w:color w:val="auto"/>
              </w:rPr>
            </w:pPr>
            <w:r>
              <w:rPr>
                <w:rFonts w:ascii="Arial" w:cs="Arial" w:eastAsia="Arial" w:hAnsi="Arial"/>
                <w:sz w:val="20"/>
                <w:szCs w:val="20"/>
                <w:color w:val="B4B4B4"/>
                <w:w w:val="89"/>
              </w:rPr>
              <w:t>. . . . . . . . . . .</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8660" w:type="dxa"/>
            <w:vAlign w:val="bottom"/>
            <w:gridSpan w:val="12"/>
          </w:tcPr>
          <w:p>
            <w:pPr>
              <w:spacing w:after="0"/>
              <w:rPr>
                <w:sz w:val="20"/>
                <w:szCs w:val="20"/>
                <w:color w:val="auto"/>
              </w:rPr>
            </w:pPr>
            <w:r>
              <w:rPr>
                <w:rFonts w:ascii="Arial" w:cs="Arial" w:eastAsia="Arial" w:hAnsi="Arial"/>
                <w:sz w:val="20"/>
                <w:szCs w:val="20"/>
                <w:color w:val="auto"/>
                <w:w w:val="94"/>
              </w:rPr>
              <w:t>Increase in personnel costs primarily driven by an increase in accruals as part of the Company's annual</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6040" w:type="dxa"/>
            <w:vAlign w:val="bottom"/>
            <w:gridSpan w:val="8"/>
          </w:tcPr>
          <w:p>
            <w:pPr>
              <w:ind w:left="180"/>
              <w:spacing w:after="0"/>
              <w:rPr>
                <w:sz w:val="20"/>
                <w:szCs w:val="20"/>
                <w:color w:val="auto"/>
              </w:rPr>
            </w:pPr>
            <w:r>
              <w:rPr>
                <w:rFonts w:ascii="Arial" w:cs="Arial" w:eastAsia="Arial" w:hAnsi="Arial"/>
                <w:sz w:val="20"/>
                <w:szCs w:val="20"/>
                <w:color w:val="auto"/>
                <w:w w:val="91"/>
              </w:rPr>
              <w:t xml:space="preserve">incentive plan reflecting financial outperformance for the year </w:t>
            </w:r>
            <w:r>
              <w:rPr>
                <w:rFonts w:ascii="Arial" w:cs="Arial" w:eastAsia="Arial" w:hAnsi="Arial"/>
                <w:sz w:val="20"/>
                <w:szCs w:val="20"/>
                <w:color w:val="B4B4B4"/>
                <w:w w:val="91"/>
              </w:rPr>
              <w:t>. . . . . . . . .</w:t>
            </w:r>
          </w:p>
        </w:tc>
        <w:tc>
          <w:tcPr>
            <w:tcW w:w="1200" w:type="dxa"/>
            <w:vAlign w:val="bottom"/>
          </w:tcPr>
          <w:p>
            <w:pPr>
              <w:ind w:left="40"/>
              <w:spacing w:after="0"/>
              <w:rPr>
                <w:sz w:val="20"/>
                <w:szCs w:val="20"/>
                <w:color w:val="auto"/>
              </w:rPr>
            </w:pPr>
            <w:r>
              <w:rPr>
                <w:rFonts w:ascii="Arial" w:cs="Arial" w:eastAsia="Arial" w:hAnsi="Arial"/>
                <w:sz w:val="20"/>
                <w:szCs w:val="20"/>
                <w:color w:val="B4B4B4"/>
                <w:w w:val="89"/>
              </w:rPr>
              <w:t>. . . . . . . . . . . .</w:t>
            </w:r>
          </w:p>
        </w:tc>
        <w:tc>
          <w:tcPr>
            <w:tcW w:w="300" w:type="dxa"/>
            <w:vAlign w:val="bottom"/>
            <w:gridSpan w:val="2"/>
          </w:tcPr>
          <w:p>
            <w:pPr>
              <w:jc w:val="center"/>
              <w:spacing w:after="0"/>
              <w:rPr>
                <w:sz w:val="20"/>
                <w:szCs w:val="20"/>
                <w:color w:val="auto"/>
              </w:rPr>
            </w:pPr>
            <w:r>
              <w:rPr>
                <w:rFonts w:ascii="Arial" w:cs="Arial" w:eastAsia="Arial" w:hAnsi="Arial"/>
                <w:sz w:val="20"/>
                <w:szCs w:val="20"/>
                <w:color w:val="B4B4B4"/>
                <w:w w:val="93"/>
              </w:rPr>
              <w:t>. . .</w:t>
            </w:r>
          </w:p>
        </w:tc>
        <w:tc>
          <w:tcPr>
            <w:tcW w:w="1120" w:type="dxa"/>
            <w:vAlign w:val="bottom"/>
          </w:tcPr>
          <w:p>
            <w:pPr>
              <w:jc w:val="right"/>
              <w:spacing w:after="0"/>
              <w:rPr>
                <w:sz w:val="20"/>
                <w:szCs w:val="20"/>
                <w:color w:val="auto"/>
              </w:rPr>
            </w:pPr>
            <w:r>
              <w:rPr>
                <w:rFonts w:ascii="Arial" w:cs="Arial" w:eastAsia="Arial" w:hAnsi="Arial"/>
                <w:sz w:val="20"/>
                <w:szCs w:val="20"/>
                <w:color w:val="B4B4B4"/>
                <w:w w:val="89"/>
              </w:rPr>
              <w:t>. . . . . . . . . . .</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7240" w:type="dxa"/>
            <w:vAlign w:val="bottom"/>
            <w:gridSpan w:val="9"/>
          </w:tcPr>
          <w:p>
            <w:pPr>
              <w:spacing w:after="0"/>
              <w:rPr>
                <w:sz w:val="20"/>
                <w:szCs w:val="20"/>
                <w:color w:val="auto"/>
              </w:rPr>
            </w:pPr>
            <w:r>
              <w:rPr>
                <w:rFonts w:ascii="Arial" w:cs="Arial" w:eastAsia="Arial" w:hAnsi="Arial"/>
                <w:sz w:val="20"/>
                <w:szCs w:val="20"/>
                <w:color w:val="auto"/>
                <w:w w:val="90"/>
              </w:rPr>
              <w:t xml:space="preserve">Increase in equity linked compensation primarily driven by a higher share price in 2024  </w:t>
            </w:r>
            <w:r>
              <w:rPr>
                <w:rFonts w:ascii="Arial" w:cs="Arial" w:eastAsia="Arial" w:hAnsi="Arial"/>
                <w:sz w:val="20"/>
                <w:szCs w:val="20"/>
                <w:color w:val="B4B4B4"/>
                <w:w w:val="90"/>
              </w:rPr>
              <w:t>. .</w:t>
            </w:r>
          </w:p>
        </w:tc>
        <w:tc>
          <w:tcPr>
            <w:tcW w:w="300" w:type="dxa"/>
            <w:vAlign w:val="bottom"/>
            <w:gridSpan w:val="2"/>
          </w:tcPr>
          <w:p>
            <w:pPr>
              <w:jc w:val="center"/>
              <w:ind w:right="20"/>
              <w:spacing w:after="0"/>
              <w:rPr>
                <w:sz w:val="20"/>
                <w:szCs w:val="20"/>
                <w:color w:val="auto"/>
              </w:rPr>
            </w:pPr>
            <w:r>
              <w:rPr>
                <w:rFonts w:ascii="Arial" w:cs="Arial" w:eastAsia="Arial" w:hAnsi="Arial"/>
                <w:sz w:val="20"/>
                <w:szCs w:val="20"/>
                <w:color w:val="B4B4B4"/>
                <w:w w:val="86"/>
              </w:rPr>
              <w:t>. . .</w:t>
            </w:r>
          </w:p>
        </w:tc>
        <w:tc>
          <w:tcPr>
            <w:tcW w:w="1120" w:type="dxa"/>
            <w:vAlign w:val="bottom"/>
          </w:tcPr>
          <w:p>
            <w:pPr>
              <w:jc w:val="right"/>
              <w:spacing w:after="0"/>
              <w:rPr>
                <w:sz w:val="20"/>
                <w:szCs w:val="20"/>
                <w:color w:val="auto"/>
              </w:rPr>
            </w:pPr>
            <w:r>
              <w:rPr>
                <w:rFonts w:ascii="Arial" w:cs="Arial" w:eastAsia="Arial" w:hAnsi="Arial"/>
                <w:sz w:val="20"/>
                <w:szCs w:val="20"/>
                <w:color w:val="B4B4B4"/>
                <w:w w:val="89"/>
              </w:rPr>
              <w:t>. . . . . . . . . .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gridSpan w:val="2"/>
          </w:tcPr>
          <w:p>
            <w:pPr>
              <w:spacing w:after="0"/>
              <w:rPr>
                <w:sz w:val="20"/>
                <w:szCs w:val="20"/>
                <w:color w:val="auto"/>
              </w:rPr>
            </w:pPr>
            <w:r>
              <w:rPr>
                <w:rFonts w:ascii="Arial" w:cs="Arial" w:eastAsia="Arial" w:hAnsi="Arial"/>
                <w:sz w:val="20"/>
                <w:szCs w:val="20"/>
                <w:color w:val="auto"/>
                <w:w w:val="88"/>
              </w:rPr>
              <w:t xml:space="preserve">Increase in marketing and media expenses </w:t>
            </w:r>
            <w:r>
              <w:rPr>
                <w:rFonts w:ascii="Arial" w:cs="Arial" w:eastAsia="Arial" w:hAnsi="Arial"/>
                <w:sz w:val="20"/>
                <w:szCs w:val="20"/>
                <w:color w:val="B4B4B4"/>
                <w:w w:val="88"/>
              </w:rPr>
              <w:t>.</w:t>
            </w:r>
          </w:p>
        </w:tc>
        <w:tc>
          <w:tcPr>
            <w:tcW w:w="920" w:type="dxa"/>
            <w:vAlign w:val="bottom"/>
          </w:tcPr>
          <w:p>
            <w:pPr>
              <w:jc w:val="right"/>
              <w:spacing w:after="0"/>
              <w:rPr>
                <w:sz w:val="20"/>
                <w:szCs w:val="20"/>
                <w:color w:val="auto"/>
              </w:rPr>
            </w:pPr>
            <w:r>
              <w:rPr>
                <w:rFonts w:ascii="Arial" w:cs="Arial" w:eastAsia="Arial" w:hAnsi="Arial"/>
                <w:sz w:val="20"/>
                <w:szCs w:val="20"/>
                <w:color w:val="B4B4B4"/>
                <w:w w:val="88"/>
              </w:rPr>
              <w:t>. . . . . . . . .</w:t>
            </w:r>
          </w:p>
        </w:tc>
        <w:tc>
          <w:tcPr>
            <w:tcW w:w="60" w:type="dxa"/>
            <w:vAlign w:val="bottom"/>
          </w:tcPr>
          <w:p>
            <w:pPr>
              <w:jc w:val="right"/>
              <w:spacing w:after="0"/>
              <w:rPr>
                <w:sz w:val="20"/>
                <w:szCs w:val="20"/>
                <w:color w:val="auto"/>
              </w:rPr>
            </w:pPr>
            <w:r>
              <w:rPr>
                <w:rFonts w:ascii="Arial" w:cs="Arial" w:eastAsia="Arial" w:hAnsi="Arial"/>
                <w:sz w:val="10"/>
                <w:szCs w:val="10"/>
                <w:color w:val="B4B4B4"/>
                <w:w w:val="70"/>
              </w:rPr>
              <w:t>.</w:t>
            </w:r>
          </w:p>
        </w:tc>
        <w:tc>
          <w:tcPr>
            <w:tcW w:w="500" w:type="dxa"/>
            <w:vAlign w:val="bottom"/>
          </w:tcPr>
          <w:p>
            <w:pPr>
              <w:ind w:left="40"/>
              <w:spacing w:after="0"/>
              <w:rPr>
                <w:sz w:val="20"/>
                <w:szCs w:val="20"/>
                <w:color w:val="auto"/>
              </w:rPr>
            </w:pPr>
            <w:r>
              <w:rPr>
                <w:rFonts w:ascii="Arial" w:cs="Arial" w:eastAsia="Arial" w:hAnsi="Arial"/>
                <w:sz w:val="20"/>
                <w:szCs w:val="20"/>
                <w:color w:val="B4B4B4"/>
                <w:w w:val="87"/>
              </w:rPr>
              <w:t>. . . . .</w:t>
            </w:r>
          </w:p>
        </w:tc>
        <w:tc>
          <w:tcPr>
            <w:tcW w:w="920" w:type="dxa"/>
            <w:vAlign w:val="bottom"/>
            <w:gridSpan w:val="2"/>
          </w:tcPr>
          <w:p>
            <w:pPr>
              <w:ind w:left="40"/>
              <w:spacing w:after="0"/>
              <w:rPr>
                <w:sz w:val="20"/>
                <w:szCs w:val="20"/>
                <w:color w:val="auto"/>
              </w:rPr>
            </w:pPr>
            <w:r>
              <w:rPr>
                <w:rFonts w:ascii="Arial" w:cs="Arial" w:eastAsia="Arial" w:hAnsi="Arial"/>
                <w:sz w:val="20"/>
                <w:szCs w:val="20"/>
                <w:color w:val="B4B4B4"/>
                <w:w w:val="90"/>
              </w:rPr>
              <w:t>. . . . . . . . .</w:t>
            </w:r>
          </w:p>
        </w:tc>
        <w:tc>
          <w:tcPr>
            <w:tcW w:w="160" w:type="dxa"/>
            <w:vAlign w:val="bottom"/>
          </w:tcPr>
          <w:p>
            <w:pPr>
              <w:jc w:val="right"/>
              <w:spacing w:after="0"/>
              <w:rPr>
                <w:sz w:val="20"/>
                <w:szCs w:val="20"/>
                <w:color w:val="auto"/>
              </w:rPr>
            </w:pPr>
            <w:r>
              <w:rPr>
                <w:rFonts w:ascii="Arial" w:cs="Arial" w:eastAsia="Arial" w:hAnsi="Arial"/>
                <w:sz w:val="20"/>
                <w:szCs w:val="20"/>
                <w:color w:val="B4B4B4"/>
                <w:w w:val="83"/>
              </w:rPr>
              <w:t>. .</w:t>
            </w:r>
          </w:p>
        </w:tc>
        <w:tc>
          <w:tcPr>
            <w:tcW w:w="1200" w:type="dxa"/>
            <w:vAlign w:val="bottom"/>
          </w:tcPr>
          <w:p>
            <w:pPr>
              <w:ind w:left="40"/>
              <w:spacing w:after="0"/>
              <w:rPr>
                <w:sz w:val="20"/>
                <w:szCs w:val="20"/>
                <w:color w:val="auto"/>
              </w:rPr>
            </w:pPr>
            <w:r>
              <w:rPr>
                <w:rFonts w:ascii="Arial" w:cs="Arial" w:eastAsia="Arial" w:hAnsi="Arial"/>
                <w:sz w:val="20"/>
                <w:szCs w:val="20"/>
                <w:color w:val="B4B4B4"/>
                <w:w w:val="89"/>
              </w:rPr>
              <w:t>. . . . . . . . . . . .</w:t>
            </w:r>
          </w:p>
        </w:tc>
        <w:tc>
          <w:tcPr>
            <w:tcW w:w="300" w:type="dxa"/>
            <w:vAlign w:val="bottom"/>
            <w:gridSpan w:val="2"/>
          </w:tcPr>
          <w:p>
            <w:pPr>
              <w:jc w:val="center"/>
              <w:spacing w:after="0"/>
              <w:rPr>
                <w:sz w:val="20"/>
                <w:szCs w:val="20"/>
                <w:color w:val="auto"/>
              </w:rPr>
            </w:pPr>
            <w:r>
              <w:rPr>
                <w:rFonts w:ascii="Arial" w:cs="Arial" w:eastAsia="Arial" w:hAnsi="Arial"/>
                <w:sz w:val="20"/>
                <w:szCs w:val="20"/>
                <w:color w:val="B4B4B4"/>
                <w:w w:val="93"/>
              </w:rPr>
              <w:t>. . .</w:t>
            </w:r>
          </w:p>
        </w:tc>
        <w:tc>
          <w:tcPr>
            <w:tcW w:w="1120" w:type="dxa"/>
            <w:vAlign w:val="bottom"/>
          </w:tcPr>
          <w:p>
            <w:pPr>
              <w:jc w:val="right"/>
              <w:spacing w:after="0"/>
              <w:rPr>
                <w:sz w:val="20"/>
                <w:szCs w:val="20"/>
                <w:color w:val="auto"/>
              </w:rPr>
            </w:pPr>
            <w:r>
              <w:rPr>
                <w:rFonts w:ascii="Arial" w:cs="Arial" w:eastAsia="Arial" w:hAnsi="Arial"/>
                <w:sz w:val="20"/>
                <w:szCs w:val="20"/>
                <w:color w:val="B4B4B4"/>
                <w:w w:val="89"/>
              </w:rPr>
              <w:t>. . . . . . . . . .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gridSpan w:val="2"/>
          </w:tcPr>
          <w:p>
            <w:pPr>
              <w:spacing w:after="0"/>
              <w:rPr>
                <w:sz w:val="20"/>
                <w:szCs w:val="20"/>
                <w:color w:val="auto"/>
              </w:rPr>
            </w:pPr>
            <w:r>
              <w:rPr>
                <w:rFonts w:ascii="Arial" w:cs="Arial" w:eastAsia="Arial" w:hAnsi="Arial"/>
                <w:sz w:val="20"/>
                <w:szCs w:val="20"/>
                <w:color w:val="auto"/>
                <w:w w:val="88"/>
              </w:rPr>
              <w:t xml:space="preserve">Decrease in consulting and legal expenses </w:t>
            </w:r>
            <w:r>
              <w:rPr>
                <w:rFonts w:ascii="Arial" w:cs="Arial" w:eastAsia="Arial" w:hAnsi="Arial"/>
                <w:sz w:val="20"/>
                <w:szCs w:val="20"/>
                <w:color w:val="B4B4B4"/>
                <w:w w:val="88"/>
              </w:rPr>
              <w:t>.</w:t>
            </w:r>
          </w:p>
        </w:tc>
        <w:tc>
          <w:tcPr>
            <w:tcW w:w="980" w:type="dxa"/>
            <w:vAlign w:val="bottom"/>
            <w:gridSpan w:val="2"/>
          </w:tcPr>
          <w:p>
            <w:pPr>
              <w:jc w:val="right"/>
              <w:spacing w:after="0"/>
              <w:rPr>
                <w:sz w:val="20"/>
                <w:szCs w:val="20"/>
                <w:color w:val="auto"/>
              </w:rPr>
            </w:pPr>
            <w:r>
              <w:rPr>
                <w:rFonts w:ascii="Arial" w:cs="Arial" w:eastAsia="Arial" w:hAnsi="Arial"/>
                <w:sz w:val="20"/>
                <w:szCs w:val="20"/>
                <w:color w:val="B4B4B4"/>
                <w:w w:val="88"/>
              </w:rPr>
              <w:t>. . . . . . . . . .</w:t>
            </w:r>
          </w:p>
        </w:tc>
        <w:tc>
          <w:tcPr>
            <w:tcW w:w="500" w:type="dxa"/>
            <w:vAlign w:val="bottom"/>
          </w:tcPr>
          <w:p>
            <w:pPr>
              <w:ind w:left="40"/>
              <w:spacing w:after="0"/>
              <w:rPr>
                <w:sz w:val="20"/>
                <w:szCs w:val="20"/>
                <w:color w:val="auto"/>
              </w:rPr>
            </w:pPr>
            <w:r>
              <w:rPr>
                <w:rFonts w:ascii="Arial" w:cs="Arial" w:eastAsia="Arial" w:hAnsi="Arial"/>
                <w:sz w:val="20"/>
                <w:szCs w:val="20"/>
                <w:color w:val="B4B4B4"/>
                <w:w w:val="87"/>
              </w:rPr>
              <w:t>. . . . .</w:t>
            </w:r>
          </w:p>
        </w:tc>
        <w:tc>
          <w:tcPr>
            <w:tcW w:w="1080" w:type="dxa"/>
            <w:vAlign w:val="bottom"/>
            <w:gridSpan w:val="3"/>
          </w:tcPr>
          <w:p>
            <w:pPr>
              <w:jc w:val="right"/>
              <w:spacing w:after="0"/>
              <w:rPr>
                <w:sz w:val="20"/>
                <w:szCs w:val="20"/>
                <w:color w:val="auto"/>
              </w:rPr>
            </w:pPr>
            <w:r>
              <w:rPr>
                <w:rFonts w:ascii="Arial" w:cs="Arial" w:eastAsia="Arial" w:hAnsi="Arial"/>
                <w:sz w:val="20"/>
                <w:szCs w:val="20"/>
                <w:color w:val="B4B4B4"/>
                <w:w w:val="89"/>
              </w:rPr>
              <w:t>. . . . . . . . . . .</w:t>
            </w:r>
          </w:p>
        </w:tc>
        <w:tc>
          <w:tcPr>
            <w:tcW w:w="1200" w:type="dxa"/>
            <w:vAlign w:val="bottom"/>
          </w:tcPr>
          <w:p>
            <w:pPr>
              <w:ind w:left="40"/>
              <w:spacing w:after="0"/>
              <w:rPr>
                <w:sz w:val="20"/>
                <w:szCs w:val="20"/>
                <w:color w:val="auto"/>
              </w:rPr>
            </w:pPr>
            <w:r>
              <w:rPr>
                <w:rFonts w:ascii="Arial" w:cs="Arial" w:eastAsia="Arial" w:hAnsi="Arial"/>
                <w:sz w:val="20"/>
                <w:szCs w:val="20"/>
                <w:color w:val="B4B4B4"/>
                <w:w w:val="89"/>
              </w:rPr>
              <w:t>. . . . . . . . . . . .</w:t>
            </w:r>
          </w:p>
        </w:tc>
        <w:tc>
          <w:tcPr>
            <w:tcW w:w="300" w:type="dxa"/>
            <w:vAlign w:val="bottom"/>
            <w:gridSpan w:val="2"/>
          </w:tcPr>
          <w:p>
            <w:pPr>
              <w:jc w:val="center"/>
              <w:spacing w:after="0"/>
              <w:rPr>
                <w:sz w:val="20"/>
                <w:szCs w:val="20"/>
                <w:color w:val="auto"/>
              </w:rPr>
            </w:pPr>
            <w:r>
              <w:rPr>
                <w:rFonts w:ascii="Arial" w:cs="Arial" w:eastAsia="Arial" w:hAnsi="Arial"/>
                <w:sz w:val="20"/>
                <w:szCs w:val="20"/>
                <w:color w:val="B4B4B4"/>
                <w:w w:val="93"/>
              </w:rPr>
              <w:t>. . .</w:t>
            </w:r>
          </w:p>
        </w:tc>
        <w:tc>
          <w:tcPr>
            <w:tcW w:w="1120" w:type="dxa"/>
            <w:vAlign w:val="bottom"/>
          </w:tcPr>
          <w:p>
            <w:pPr>
              <w:jc w:val="right"/>
              <w:spacing w:after="0"/>
              <w:rPr>
                <w:sz w:val="20"/>
                <w:szCs w:val="20"/>
                <w:color w:val="auto"/>
              </w:rPr>
            </w:pPr>
            <w:r>
              <w:rPr>
                <w:rFonts w:ascii="Arial" w:cs="Arial" w:eastAsia="Arial" w:hAnsi="Arial"/>
                <w:sz w:val="20"/>
                <w:szCs w:val="20"/>
                <w:color w:val="B4B4B4"/>
                <w:w w:val="89"/>
              </w:rPr>
              <w:t>. . . . . . . . . .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60" w:type="dxa"/>
            <w:vAlign w:val="bottom"/>
            <w:gridSpan w:val="4"/>
          </w:tcPr>
          <w:p>
            <w:pPr>
              <w:spacing w:after="0"/>
              <w:rPr>
                <w:sz w:val="20"/>
                <w:szCs w:val="20"/>
                <w:color w:val="auto"/>
              </w:rPr>
            </w:pPr>
            <w:r>
              <w:rPr>
                <w:rFonts w:ascii="Arial" w:cs="Arial" w:eastAsia="Arial" w:hAnsi="Arial"/>
                <w:sz w:val="20"/>
                <w:szCs w:val="20"/>
                <w:color w:val="auto"/>
                <w:w w:val="89"/>
              </w:rPr>
              <w:t xml:space="preserve">Decrease driven by the sale of STP in November 2023 </w:t>
            </w:r>
            <w:r>
              <w:rPr>
                <w:rFonts w:ascii="Arial" w:cs="Arial" w:eastAsia="Arial" w:hAnsi="Arial"/>
                <w:sz w:val="20"/>
                <w:szCs w:val="20"/>
                <w:color w:val="B4B4B4"/>
                <w:w w:val="89"/>
              </w:rPr>
              <w:t>.</w:t>
            </w:r>
          </w:p>
        </w:tc>
        <w:tc>
          <w:tcPr>
            <w:tcW w:w="500" w:type="dxa"/>
            <w:vAlign w:val="bottom"/>
          </w:tcPr>
          <w:p>
            <w:pPr>
              <w:ind w:left="40"/>
              <w:spacing w:after="0"/>
              <w:rPr>
                <w:sz w:val="20"/>
                <w:szCs w:val="20"/>
                <w:color w:val="auto"/>
              </w:rPr>
            </w:pPr>
            <w:r>
              <w:rPr>
                <w:rFonts w:ascii="Arial" w:cs="Arial" w:eastAsia="Arial" w:hAnsi="Arial"/>
                <w:sz w:val="20"/>
                <w:szCs w:val="20"/>
                <w:color w:val="B4B4B4"/>
                <w:w w:val="87"/>
              </w:rPr>
              <w:t>. . . . .</w:t>
            </w:r>
          </w:p>
        </w:tc>
        <w:tc>
          <w:tcPr>
            <w:tcW w:w="1080" w:type="dxa"/>
            <w:vAlign w:val="bottom"/>
            <w:gridSpan w:val="3"/>
          </w:tcPr>
          <w:p>
            <w:pPr>
              <w:jc w:val="right"/>
              <w:spacing w:after="0"/>
              <w:rPr>
                <w:sz w:val="20"/>
                <w:szCs w:val="20"/>
                <w:color w:val="auto"/>
              </w:rPr>
            </w:pPr>
            <w:r>
              <w:rPr>
                <w:rFonts w:ascii="Arial" w:cs="Arial" w:eastAsia="Arial" w:hAnsi="Arial"/>
                <w:sz w:val="20"/>
                <w:szCs w:val="20"/>
                <w:color w:val="B4B4B4"/>
                <w:w w:val="89"/>
              </w:rPr>
              <w:t>. . . . . . . . . . .</w:t>
            </w:r>
          </w:p>
        </w:tc>
        <w:tc>
          <w:tcPr>
            <w:tcW w:w="1200" w:type="dxa"/>
            <w:vAlign w:val="bottom"/>
          </w:tcPr>
          <w:p>
            <w:pPr>
              <w:ind w:left="40"/>
              <w:spacing w:after="0"/>
              <w:rPr>
                <w:sz w:val="20"/>
                <w:szCs w:val="20"/>
                <w:color w:val="auto"/>
              </w:rPr>
            </w:pPr>
            <w:r>
              <w:rPr>
                <w:rFonts w:ascii="Arial" w:cs="Arial" w:eastAsia="Arial" w:hAnsi="Arial"/>
                <w:sz w:val="20"/>
                <w:szCs w:val="20"/>
                <w:color w:val="B4B4B4"/>
                <w:w w:val="89"/>
              </w:rPr>
              <w:t>. . . . . . . . . . . .</w:t>
            </w:r>
          </w:p>
        </w:tc>
        <w:tc>
          <w:tcPr>
            <w:tcW w:w="300" w:type="dxa"/>
            <w:vAlign w:val="bottom"/>
            <w:gridSpan w:val="2"/>
          </w:tcPr>
          <w:p>
            <w:pPr>
              <w:jc w:val="center"/>
              <w:spacing w:after="0"/>
              <w:rPr>
                <w:sz w:val="20"/>
                <w:szCs w:val="20"/>
                <w:color w:val="auto"/>
              </w:rPr>
            </w:pPr>
            <w:r>
              <w:rPr>
                <w:rFonts w:ascii="Arial" w:cs="Arial" w:eastAsia="Arial" w:hAnsi="Arial"/>
                <w:sz w:val="20"/>
                <w:szCs w:val="20"/>
                <w:color w:val="B4B4B4"/>
                <w:w w:val="93"/>
              </w:rPr>
              <w:t>. . .</w:t>
            </w:r>
          </w:p>
        </w:tc>
        <w:tc>
          <w:tcPr>
            <w:tcW w:w="1120" w:type="dxa"/>
            <w:vAlign w:val="bottom"/>
          </w:tcPr>
          <w:p>
            <w:pPr>
              <w:jc w:val="right"/>
              <w:spacing w:after="0"/>
              <w:rPr>
                <w:sz w:val="20"/>
                <w:szCs w:val="20"/>
                <w:color w:val="auto"/>
              </w:rPr>
            </w:pPr>
            <w:r>
              <w:rPr>
                <w:rFonts w:ascii="Arial" w:cs="Arial" w:eastAsia="Arial" w:hAnsi="Arial"/>
                <w:sz w:val="20"/>
                <w:szCs w:val="20"/>
                <w:color w:val="B4B4B4"/>
                <w:w w:val="89"/>
              </w:rPr>
              <w:t>. . . . . . . . . .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460" w:type="dxa"/>
            <w:vAlign w:val="bottom"/>
            <w:gridSpan w:val="4"/>
          </w:tcPr>
          <w:p>
            <w:pPr>
              <w:spacing w:after="0"/>
              <w:rPr>
                <w:sz w:val="20"/>
                <w:szCs w:val="20"/>
                <w:color w:val="auto"/>
              </w:rPr>
            </w:pPr>
            <w:r>
              <w:rPr>
                <w:rFonts w:ascii="Arial" w:cs="Arial" w:eastAsia="Arial" w:hAnsi="Arial"/>
                <w:sz w:val="20"/>
                <w:szCs w:val="20"/>
                <w:color w:val="auto"/>
                <w:w w:val="89"/>
              </w:rPr>
              <w:t xml:space="preserve">Other </w:t>
            </w:r>
            <w:r>
              <w:rPr>
                <w:rFonts w:ascii="Arial" w:cs="Arial" w:eastAsia="Arial" w:hAnsi="Arial"/>
                <w:sz w:val="20"/>
                <w:szCs w:val="20"/>
                <w:color w:val="B4B4B4"/>
                <w:w w:val="89"/>
              </w:rPr>
              <w:t>. . . . . . . . . . . . . . . . . . . . . . . . . . . . . . . . . . . . . . . .</w:t>
            </w:r>
          </w:p>
        </w:tc>
        <w:tc>
          <w:tcPr>
            <w:tcW w:w="500" w:type="dxa"/>
            <w:vAlign w:val="bottom"/>
          </w:tcPr>
          <w:p>
            <w:pPr>
              <w:ind w:left="40"/>
              <w:spacing w:after="0"/>
              <w:rPr>
                <w:sz w:val="20"/>
                <w:szCs w:val="20"/>
                <w:color w:val="auto"/>
              </w:rPr>
            </w:pPr>
            <w:r>
              <w:rPr>
                <w:rFonts w:ascii="Arial" w:cs="Arial" w:eastAsia="Arial" w:hAnsi="Arial"/>
                <w:sz w:val="20"/>
                <w:szCs w:val="20"/>
                <w:color w:val="B4B4B4"/>
                <w:w w:val="87"/>
              </w:rPr>
              <w:t>. . . . .</w:t>
            </w:r>
          </w:p>
        </w:tc>
        <w:tc>
          <w:tcPr>
            <w:tcW w:w="1080" w:type="dxa"/>
            <w:vAlign w:val="bottom"/>
            <w:gridSpan w:val="3"/>
          </w:tcPr>
          <w:p>
            <w:pPr>
              <w:jc w:val="right"/>
              <w:spacing w:after="0"/>
              <w:rPr>
                <w:sz w:val="20"/>
                <w:szCs w:val="20"/>
                <w:color w:val="auto"/>
              </w:rPr>
            </w:pPr>
            <w:r>
              <w:rPr>
                <w:rFonts w:ascii="Arial" w:cs="Arial" w:eastAsia="Arial" w:hAnsi="Arial"/>
                <w:sz w:val="20"/>
                <w:szCs w:val="20"/>
                <w:color w:val="B4B4B4"/>
                <w:w w:val="89"/>
              </w:rPr>
              <w:t>. . . . . . . . . . .</w:t>
            </w:r>
          </w:p>
        </w:tc>
        <w:tc>
          <w:tcPr>
            <w:tcW w:w="1200" w:type="dxa"/>
            <w:vAlign w:val="bottom"/>
          </w:tcPr>
          <w:p>
            <w:pPr>
              <w:ind w:left="40"/>
              <w:spacing w:after="0"/>
              <w:rPr>
                <w:sz w:val="20"/>
                <w:szCs w:val="20"/>
                <w:color w:val="auto"/>
              </w:rPr>
            </w:pPr>
            <w:r>
              <w:rPr>
                <w:rFonts w:ascii="Arial" w:cs="Arial" w:eastAsia="Arial" w:hAnsi="Arial"/>
                <w:sz w:val="20"/>
                <w:szCs w:val="20"/>
                <w:color w:val="B4B4B4"/>
                <w:w w:val="89"/>
              </w:rPr>
              <w:t>. . . . . . . . . . . .</w:t>
            </w:r>
          </w:p>
        </w:tc>
        <w:tc>
          <w:tcPr>
            <w:tcW w:w="300" w:type="dxa"/>
            <w:vAlign w:val="bottom"/>
            <w:gridSpan w:val="2"/>
          </w:tcPr>
          <w:p>
            <w:pPr>
              <w:jc w:val="center"/>
              <w:spacing w:after="0"/>
              <w:rPr>
                <w:sz w:val="20"/>
                <w:szCs w:val="20"/>
                <w:color w:val="auto"/>
              </w:rPr>
            </w:pPr>
            <w:r>
              <w:rPr>
                <w:rFonts w:ascii="Arial" w:cs="Arial" w:eastAsia="Arial" w:hAnsi="Arial"/>
                <w:sz w:val="20"/>
                <w:szCs w:val="20"/>
                <w:color w:val="B4B4B4"/>
                <w:w w:val="93"/>
              </w:rPr>
              <w:t>. . .</w:t>
            </w:r>
          </w:p>
        </w:tc>
        <w:tc>
          <w:tcPr>
            <w:tcW w:w="1120" w:type="dxa"/>
            <w:vAlign w:val="bottom"/>
          </w:tcPr>
          <w:p>
            <w:pPr>
              <w:jc w:val="right"/>
              <w:spacing w:after="0"/>
              <w:rPr>
                <w:sz w:val="20"/>
                <w:szCs w:val="20"/>
                <w:color w:val="auto"/>
              </w:rPr>
            </w:pPr>
            <w:r>
              <w:rPr>
                <w:rFonts w:ascii="Arial" w:cs="Arial" w:eastAsia="Arial" w:hAnsi="Arial"/>
                <w:sz w:val="20"/>
                <w:szCs w:val="20"/>
                <w:color w:val="B4B4B4"/>
                <w:w w:val="89"/>
              </w:rPr>
              <w:t>. . . . . . . . . . .</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60" w:type="dxa"/>
            <w:vAlign w:val="bottom"/>
            <w:gridSpan w:val="4"/>
          </w:tcPr>
          <w:p>
            <w:pPr>
              <w:ind w:left="180"/>
              <w:spacing w:after="0"/>
              <w:rPr>
                <w:sz w:val="20"/>
                <w:szCs w:val="20"/>
                <w:color w:val="auto"/>
              </w:rPr>
            </w:pPr>
            <w:r>
              <w:rPr>
                <w:rFonts w:ascii="Arial" w:cs="Arial" w:eastAsia="Arial" w:hAnsi="Arial"/>
                <w:sz w:val="20"/>
                <w:szCs w:val="20"/>
                <w:color w:val="auto"/>
                <w:w w:val="89"/>
              </w:rPr>
              <w:t xml:space="preserve">Increase in selling, general and administrative costs  </w:t>
            </w:r>
            <w:r>
              <w:rPr>
                <w:rFonts w:ascii="Arial" w:cs="Arial" w:eastAsia="Arial" w:hAnsi="Arial"/>
                <w:sz w:val="20"/>
                <w:szCs w:val="20"/>
                <w:color w:val="B4B4B4"/>
                <w:w w:val="89"/>
              </w:rPr>
              <w:t>.</w:t>
            </w:r>
          </w:p>
        </w:tc>
        <w:tc>
          <w:tcPr>
            <w:tcW w:w="500" w:type="dxa"/>
            <w:vAlign w:val="bottom"/>
          </w:tcPr>
          <w:p>
            <w:pPr>
              <w:ind w:left="20"/>
              <w:spacing w:after="0"/>
              <w:rPr>
                <w:sz w:val="20"/>
                <w:szCs w:val="20"/>
                <w:color w:val="auto"/>
              </w:rPr>
            </w:pPr>
            <w:r>
              <w:rPr>
                <w:rFonts w:ascii="Arial" w:cs="Arial" w:eastAsia="Arial" w:hAnsi="Arial"/>
                <w:sz w:val="20"/>
                <w:szCs w:val="20"/>
                <w:color w:val="B4B4B4"/>
                <w:w w:val="91"/>
              </w:rPr>
              <w:t>. . . . .</w:t>
            </w:r>
          </w:p>
        </w:tc>
        <w:tc>
          <w:tcPr>
            <w:tcW w:w="1080" w:type="dxa"/>
            <w:vAlign w:val="bottom"/>
            <w:gridSpan w:val="3"/>
          </w:tcPr>
          <w:p>
            <w:pPr>
              <w:jc w:val="right"/>
              <w:spacing w:after="0"/>
              <w:rPr>
                <w:sz w:val="20"/>
                <w:szCs w:val="20"/>
                <w:color w:val="auto"/>
              </w:rPr>
            </w:pPr>
            <w:r>
              <w:rPr>
                <w:rFonts w:ascii="Arial" w:cs="Arial" w:eastAsia="Arial" w:hAnsi="Arial"/>
                <w:sz w:val="20"/>
                <w:szCs w:val="20"/>
                <w:color w:val="B4B4B4"/>
                <w:w w:val="89"/>
              </w:rPr>
              <w:t>. . . . . . . . . . .</w:t>
            </w:r>
          </w:p>
        </w:tc>
        <w:tc>
          <w:tcPr>
            <w:tcW w:w="1200" w:type="dxa"/>
            <w:vAlign w:val="bottom"/>
          </w:tcPr>
          <w:p>
            <w:pPr>
              <w:ind w:left="40"/>
              <w:spacing w:after="0"/>
              <w:rPr>
                <w:sz w:val="20"/>
                <w:szCs w:val="20"/>
                <w:color w:val="auto"/>
              </w:rPr>
            </w:pPr>
            <w:r>
              <w:rPr>
                <w:rFonts w:ascii="Arial" w:cs="Arial" w:eastAsia="Arial" w:hAnsi="Arial"/>
                <w:sz w:val="20"/>
                <w:szCs w:val="20"/>
                <w:color w:val="B4B4B4"/>
                <w:w w:val="89"/>
              </w:rPr>
              <w:t>. . . . . . . . . . . .</w:t>
            </w:r>
          </w:p>
        </w:tc>
        <w:tc>
          <w:tcPr>
            <w:tcW w:w="300" w:type="dxa"/>
            <w:vAlign w:val="bottom"/>
            <w:gridSpan w:val="2"/>
          </w:tcPr>
          <w:p>
            <w:pPr>
              <w:jc w:val="center"/>
              <w:ind w:right="20"/>
              <w:spacing w:after="0"/>
              <w:rPr>
                <w:sz w:val="20"/>
                <w:szCs w:val="20"/>
                <w:color w:val="auto"/>
              </w:rPr>
            </w:pPr>
            <w:r>
              <w:rPr>
                <w:rFonts w:ascii="Arial" w:cs="Arial" w:eastAsia="Arial" w:hAnsi="Arial"/>
                <w:sz w:val="20"/>
                <w:szCs w:val="20"/>
                <w:color w:val="B4B4B4"/>
                <w:w w:val="86"/>
              </w:rPr>
              <w:t>. . .</w:t>
            </w:r>
          </w:p>
        </w:tc>
        <w:tc>
          <w:tcPr>
            <w:tcW w:w="1120" w:type="dxa"/>
            <w:vAlign w:val="bottom"/>
          </w:tcPr>
          <w:p>
            <w:pPr>
              <w:jc w:val="right"/>
              <w:spacing w:after="0"/>
              <w:rPr>
                <w:sz w:val="20"/>
                <w:szCs w:val="20"/>
                <w:color w:val="auto"/>
              </w:rPr>
            </w:pPr>
            <w:r>
              <w:rPr>
                <w:rFonts w:ascii="Arial" w:cs="Arial" w:eastAsia="Arial" w:hAnsi="Arial"/>
                <w:sz w:val="20"/>
                <w:szCs w:val="20"/>
                <w:color w:val="B4B4B4"/>
                <w:w w:val="89"/>
              </w:rPr>
              <w:t>. . . . . . . . . . .</w:t>
            </w:r>
          </w:p>
        </w:tc>
        <w:tc>
          <w:tcPr>
            <w:tcW w:w="2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ind w:left="380"/>
              <w:spacing w:after="0"/>
              <w:rPr>
                <w:sz w:val="20"/>
                <w:szCs w:val="20"/>
                <w:color w:val="auto"/>
              </w:rPr>
            </w:pPr>
            <w:r>
              <w:rPr>
                <w:rFonts w:ascii="Arial" w:cs="Arial" w:eastAsia="Arial" w:hAnsi="Arial"/>
                <w:sz w:val="20"/>
                <w:szCs w:val="20"/>
                <w:b w:val="1"/>
                <w:bCs w:val="1"/>
                <w:i w:val="1"/>
                <w:iCs w:val="1"/>
                <w:color w:val="auto"/>
              </w:rPr>
              <w:t>Provision for Credit Losses</w:t>
            </w: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4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800" w:type="dxa"/>
            <w:vAlign w:val="bottom"/>
            <w:gridSpan w:val="6"/>
          </w:tcPr>
          <w:p>
            <w:pPr>
              <w:ind w:left="380"/>
              <w:spacing w:after="0"/>
              <w:rPr>
                <w:sz w:val="20"/>
                <w:szCs w:val="20"/>
                <w:color w:val="auto"/>
              </w:rPr>
            </w:pPr>
            <w:r>
              <w:rPr>
                <w:rFonts w:ascii="Arial" w:cs="Arial" w:eastAsia="Arial" w:hAnsi="Arial"/>
                <w:sz w:val="20"/>
                <w:szCs w:val="20"/>
                <w:color w:val="auto"/>
              </w:rPr>
              <w:t>Provision for credit losses are comprised of the following:</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4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440" w:type="dxa"/>
            <w:vAlign w:val="bottom"/>
            <w:vMerge w:val="restart"/>
          </w:tcPr>
          <w:p>
            <w:pPr>
              <w:spacing w:after="0"/>
              <w:rPr>
                <w:sz w:val="20"/>
                <w:szCs w:val="20"/>
                <w:color w:val="auto"/>
              </w:rPr>
            </w:pPr>
          </w:p>
        </w:tc>
        <w:tc>
          <w:tcPr>
            <w:tcW w:w="920" w:type="dxa"/>
            <w:vAlign w:val="bottom"/>
            <w:vMerge w:val="restart"/>
          </w:tcPr>
          <w:p>
            <w:pPr>
              <w:jc w:val="right"/>
              <w:ind w:right="385"/>
              <w:spacing w:after="0"/>
              <w:rPr>
                <w:sz w:val="20"/>
                <w:szCs w:val="20"/>
                <w:color w:val="auto"/>
              </w:rPr>
            </w:pPr>
            <w:r>
              <w:rPr>
                <w:rFonts w:ascii="Arial" w:cs="Arial" w:eastAsia="Arial" w:hAnsi="Arial"/>
                <w:sz w:val="16"/>
                <w:szCs w:val="16"/>
                <w:b w:val="1"/>
                <w:bCs w:val="1"/>
                <w:color w:val="auto"/>
                <w:w w:val="92"/>
              </w:rPr>
              <w:t>Texas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East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6"/>
                <w:szCs w:val="16"/>
                <w:b w:val="1"/>
                <w:bCs w:val="1"/>
                <w:color w:val="auto"/>
              </w:rPr>
              <w:t>West/Services/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4"/>
              <w:spacing w:after="0"/>
              <w:rPr>
                <w:sz w:val="20"/>
                <w:szCs w:val="20"/>
                <w:color w:val="auto"/>
              </w:rPr>
            </w:pPr>
            <w:r>
              <w:rPr>
                <w:rFonts w:ascii="Arial" w:cs="Arial" w:eastAsia="Arial" w:hAnsi="Arial"/>
                <w:sz w:val="16"/>
                <w:szCs w:val="16"/>
                <w:b w:val="1"/>
                <w:bCs w:val="1"/>
                <w:color w:val="auto"/>
                <w:w w:val="94"/>
              </w:rPr>
              <w:t>Vivint Smart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restart"/>
          </w:tcPr>
          <w:p>
            <w:pPr>
              <w:jc w:val="right"/>
              <w:ind w:right="344"/>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040" w:type="dxa"/>
            <w:vAlign w:val="bottom"/>
            <w:vMerge w:val="continue"/>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Other</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4"/>
              <w:spacing w:after="0" w:line="212" w:lineRule="exact"/>
              <w:rPr>
                <w:sz w:val="20"/>
                <w:szCs w:val="20"/>
                <w:color w:val="auto"/>
              </w:rPr>
            </w:pPr>
            <w:r>
              <w:rPr>
                <w:rFonts w:ascii="Arial" w:cs="Arial" w:eastAsia="Arial" w:hAnsi="Arial"/>
                <w:sz w:val="16"/>
                <w:szCs w:val="16"/>
                <w:b w:val="1"/>
                <w:bCs w:val="1"/>
                <w:color w:val="auto"/>
              </w:rPr>
              <w:t>Home</w:t>
            </w:r>
            <w:r>
              <w:rPr>
                <w:rFonts w:ascii="Arial" w:cs="Arial" w:eastAsia="Arial" w:hAnsi="Arial"/>
                <w:sz w:val="20"/>
                <w:szCs w:val="20"/>
                <w:b w:val="1"/>
                <w:bCs w:val="1"/>
                <w:color w:val="auto"/>
                <w:vertAlign w:val="superscript"/>
              </w:rPr>
              <w:t>(a)</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480" w:type="dxa"/>
            <w:vAlign w:val="bottom"/>
            <w:gridSpan w:val="2"/>
          </w:tcPr>
          <w:p>
            <w:pPr>
              <w:spacing w:after="0"/>
              <w:rPr>
                <w:sz w:val="20"/>
                <w:szCs w:val="20"/>
                <w:color w:val="auto"/>
              </w:rPr>
            </w:pPr>
            <w:r>
              <w:rPr>
                <w:rFonts w:ascii="Arial" w:cs="Arial" w:eastAsia="Arial" w:hAnsi="Arial"/>
                <w:sz w:val="20"/>
                <w:szCs w:val="20"/>
                <w:color w:val="auto"/>
                <w:w w:val="97"/>
              </w:rPr>
              <w:t xml:space="preserve">Year Ended December 31, 2024 </w:t>
            </w:r>
            <w:r>
              <w:rPr>
                <w:rFonts w:ascii="Arial" w:cs="Arial" w:eastAsia="Arial" w:hAnsi="Arial"/>
                <w:sz w:val="20"/>
                <w:szCs w:val="20"/>
                <w:color w:val="B4B4B4"/>
                <w:w w:val="97"/>
              </w:rPr>
              <w:t>. . . .</w:t>
            </w:r>
            <w:r>
              <w:rPr>
                <w:rFonts w:ascii="Arial" w:cs="Arial" w:eastAsia="Arial" w:hAnsi="Arial"/>
                <w:sz w:val="20"/>
                <w:szCs w:val="20"/>
                <w:color w:val="auto"/>
                <w:w w:val="97"/>
              </w:rPr>
              <w:t xml:space="preserve">  $</w:t>
            </w:r>
          </w:p>
        </w:tc>
        <w:tc>
          <w:tcPr>
            <w:tcW w:w="920" w:type="dxa"/>
            <w:vAlign w:val="bottom"/>
          </w:tcPr>
          <w:p>
            <w:pPr>
              <w:jc w:val="right"/>
              <w:spacing w:after="0"/>
              <w:rPr>
                <w:sz w:val="20"/>
                <w:szCs w:val="20"/>
                <w:color w:val="auto"/>
              </w:rPr>
            </w:pPr>
            <w:r>
              <w:rPr>
                <w:rFonts w:ascii="Arial" w:cs="Arial" w:eastAsia="Arial" w:hAnsi="Arial"/>
                <w:sz w:val="20"/>
                <w:szCs w:val="20"/>
                <w:color w:val="auto"/>
              </w:rPr>
              <w:t>203</w:t>
            </w:r>
          </w:p>
        </w:tc>
        <w:tc>
          <w:tcPr>
            <w:tcW w:w="56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25</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ind w:left="920"/>
              <w:spacing w:after="0"/>
              <w:rPr>
                <w:sz w:val="20"/>
                <w:szCs w:val="20"/>
                <w:color w:val="auto"/>
              </w:rPr>
            </w:pPr>
            <w:r>
              <w:rPr>
                <w:rFonts w:ascii="Arial" w:cs="Arial" w:eastAsia="Arial" w:hAnsi="Arial"/>
                <w:sz w:val="20"/>
                <w:szCs w:val="20"/>
                <w:color w:val="auto"/>
              </w:rPr>
              <w:t>48</w:t>
            </w:r>
          </w:p>
        </w:tc>
        <w:tc>
          <w:tcPr>
            <w:tcW w:w="300" w:type="dxa"/>
            <w:vAlign w:val="bottom"/>
            <w:gridSpan w:val="2"/>
          </w:tcPr>
          <w:p>
            <w:pPr>
              <w:jc w:val="center"/>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38</w:t>
            </w:r>
          </w:p>
        </w:tc>
        <w:tc>
          <w:tcPr>
            <w:tcW w:w="24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314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480" w:type="dxa"/>
            <w:vAlign w:val="bottom"/>
            <w:gridSpan w:val="2"/>
          </w:tcPr>
          <w:p>
            <w:pPr>
              <w:spacing w:after="0"/>
              <w:rPr>
                <w:sz w:val="20"/>
                <w:szCs w:val="20"/>
                <w:color w:val="auto"/>
              </w:rPr>
            </w:pPr>
            <w:r>
              <w:rPr>
                <w:rFonts w:ascii="Arial" w:cs="Arial" w:eastAsia="Arial" w:hAnsi="Arial"/>
                <w:sz w:val="20"/>
                <w:szCs w:val="20"/>
                <w:color w:val="auto"/>
              </w:rPr>
              <w:t xml:space="preserve">Year Ended December 31, 2023 </w:t>
            </w:r>
            <w:r>
              <w:rPr>
                <w:rFonts w:ascii="Arial" w:cs="Arial" w:eastAsia="Arial" w:hAnsi="Arial"/>
                <w:sz w:val="20"/>
                <w:szCs w:val="20"/>
                <w:color w:val="B4B4B4"/>
              </w:rPr>
              <w:t>. . . .</w:t>
            </w:r>
          </w:p>
        </w:tc>
        <w:tc>
          <w:tcPr>
            <w:tcW w:w="920" w:type="dxa"/>
            <w:vAlign w:val="bottom"/>
          </w:tcPr>
          <w:p>
            <w:pPr>
              <w:jc w:val="right"/>
              <w:spacing w:after="0"/>
              <w:rPr>
                <w:sz w:val="20"/>
                <w:szCs w:val="20"/>
                <w:color w:val="auto"/>
              </w:rPr>
            </w:pPr>
            <w:r>
              <w:rPr>
                <w:rFonts w:ascii="Arial" w:cs="Arial" w:eastAsia="Arial" w:hAnsi="Arial"/>
                <w:sz w:val="20"/>
                <w:szCs w:val="20"/>
                <w:color w:val="auto"/>
              </w:rPr>
              <w:t>159</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ind w:left="920"/>
              <w:spacing w:after="0"/>
              <w:rPr>
                <w:sz w:val="20"/>
                <w:szCs w:val="20"/>
                <w:color w:val="auto"/>
              </w:rPr>
            </w:pPr>
            <w:r>
              <w:rPr>
                <w:rFonts w:ascii="Arial" w:cs="Arial" w:eastAsia="Arial" w:hAnsi="Arial"/>
                <w:sz w:val="20"/>
                <w:szCs w:val="20"/>
                <w:color w:val="auto"/>
              </w:rPr>
              <w:t>30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-3103245</wp:posOffset>
            </wp:positionV>
            <wp:extent cx="6437630" cy="19805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2">
                      <a:extLst>
                        <a:ext uri="{28A0092B-C50C-407E-A947-70E740481C1C}"/>
                      </a:extLst>
                    </a:blip>
                    <a:srcRect/>
                    <a:stretch>
                      <a:fillRect/>
                    </a:stretch>
                  </pic:blipFill>
                  <pic:spPr bwMode="auto">
                    <a:xfrm>
                      <a:off x="0" y="0"/>
                      <a:ext cx="6437630" cy="198056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-381635</wp:posOffset>
            </wp:positionV>
            <wp:extent cx="6475095" cy="402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3">
                      <a:extLst>
                        <a:ext uri="{28A0092B-C50C-407E-A947-70E740481C1C}"/>
                      </a:extLst>
                    </a:blip>
                    <a:srcRect/>
                    <a:stretch>
                      <a:fillRect/>
                    </a:stretch>
                  </pic:blipFill>
                  <pic:spPr bwMode="auto">
                    <a:xfrm>
                      <a:off x="0" y="0"/>
                      <a:ext cx="6475095" cy="402590"/>
                    </a:xfrm>
                    <a:prstGeom prst="rect">
                      <a:avLst/>
                    </a:prstGeom>
                    <a:noFill/>
                  </pic:spPr>
                </pic:pic>
              </a:graphicData>
            </a:graphic>
          </wp:anchor>
        </w:drawing>
      </w:r>
    </w:p>
    <w:p>
      <w:pPr>
        <w:spacing w:after="0" w:line="4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results of operations following the acquisition date of March 10, 2023</w:t>
      </w:r>
    </w:p>
    <w:p>
      <w:pPr>
        <w:spacing w:after="0" w:line="11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Provision for credit losses increased by $63 million for the year ended December 31, 2024, compared to the same period in 2023, due to the following:</w:t>
      </w:r>
    </w:p>
    <w:p>
      <w:pPr>
        <w:spacing w:after="0" w:line="15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8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w w:val="97"/>
              </w:rPr>
              <w:t>(In millions)</w:t>
            </w:r>
          </w:p>
        </w:tc>
      </w:tr>
      <w:tr>
        <w:trPr>
          <w:trHeight w:val="287"/>
        </w:trPr>
        <w:tc>
          <w:tcPr>
            <w:tcW w:w="8720" w:type="dxa"/>
            <w:vAlign w:val="bottom"/>
          </w:tcPr>
          <w:p>
            <w:pPr>
              <w:jc w:val="right"/>
              <w:spacing w:after="0"/>
              <w:rPr>
                <w:sz w:val="20"/>
                <w:szCs w:val="20"/>
                <w:color w:val="auto"/>
              </w:rPr>
            </w:pPr>
            <w:r>
              <w:rPr>
                <w:rFonts w:ascii="Arial" w:cs="Arial" w:eastAsia="Arial" w:hAnsi="Arial"/>
                <w:sz w:val="20"/>
                <w:szCs w:val="20"/>
                <w:color w:val="auto"/>
                <w:w w:val="88"/>
              </w:rPr>
              <w:t xml:space="preserve">Increase primarily due to higher Texas Home retail revenues and customer payment behavior </w:t>
            </w:r>
            <w:r>
              <w:rPr>
                <w:rFonts w:ascii="Arial" w:cs="Arial" w:eastAsia="Arial" w:hAnsi="Arial"/>
                <w:sz w:val="20"/>
                <w:szCs w:val="20"/>
                <w:color w:val="B4B4B4"/>
                <w:w w:val="88"/>
              </w:rPr>
              <w:t>. . . . . . . .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E6E6E6"/>
            </w:tcBorders>
          </w:tcPr>
          <w:p>
            <w:pPr>
              <w:jc w:val="right"/>
              <w:ind w:right="6"/>
              <w:spacing w:after="0"/>
              <w:rPr>
                <w:sz w:val="20"/>
                <w:szCs w:val="20"/>
                <w:color w:val="auto"/>
              </w:rPr>
            </w:pPr>
            <w:r>
              <w:rPr>
                <w:rFonts w:ascii="Arial" w:cs="Arial" w:eastAsia="Arial" w:hAnsi="Arial"/>
                <w:sz w:val="20"/>
                <w:szCs w:val="20"/>
                <w:color w:val="auto"/>
              </w:rPr>
              <w:t>54</w:t>
            </w:r>
          </w:p>
        </w:tc>
      </w:tr>
      <w:tr>
        <w:trPr>
          <w:trHeight w:val="287"/>
        </w:trPr>
        <w:tc>
          <w:tcPr>
            <w:tcW w:w="8720" w:type="dxa"/>
            <w:vAlign w:val="bottom"/>
          </w:tcPr>
          <w:p>
            <w:pPr>
              <w:jc w:val="right"/>
              <w:spacing w:after="0"/>
              <w:rPr>
                <w:sz w:val="20"/>
                <w:szCs w:val="20"/>
                <w:color w:val="auto"/>
              </w:rPr>
            </w:pPr>
            <w:r>
              <w:rPr>
                <w:rFonts w:ascii="Arial" w:cs="Arial" w:eastAsia="Arial" w:hAnsi="Arial"/>
                <w:sz w:val="20"/>
                <w:szCs w:val="20"/>
                <w:color w:val="auto"/>
                <w:w w:val="90"/>
              </w:rPr>
              <w:t xml:space="preserve">Increase due to the acquisition of Vivint Smart Home in March 2023 </w:t>
            </w:r>
            <w:r>
              <w:rPr>
                <w:rFonts w:ascii="Arial" w:cs="Arial" w:eastAsia="Arial" w:hAnsi="Arial"/>
                <w:sz w:val="20"/>
                <w:szCs w:val="20"/>
                <w:color w:val="B4B4B4"/>
                <w:w w:val="90"/>
              </w:rPr>
              <w:t>. . . . . . . . . . . . . . . . . . . . . . . . . . . . . . . .</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20"/>
                <w:szCs w:val="20"/>
                <w:color w:val="auto"/>
              </w:rPr>
              <w:t>9</w:t>
            </w:r>
          </w:p>
        </w:tc>
      </w:tr>
      <w:tr>
        <w:trPr>
          <w:trHeight w:val="269"/>
        </w:trPr>
        <w:tc>
          <w:tcPr>
            <w:tcW w:w="8720" w:type="dxa"/>
            <w:vAlign w:val="bottom"/>
          </w:tcPr>
          <w:p>
            <w:pPr>
              <w:jc w:val="right"/>
              <w:spacing w:after="0"/>
              <w:rPr>
                <w:sz w:val="20"/>
                <w:szCs w:val="20"/>
                <w:color w:val="auto"/>
              </w:rPr>
            </w:pPr>
            <w:r>
              <w:rPr>
                <w:rFonts w:ascii="Arial" w:cs="Arial" w:eastAsia="Arial" w:hAnsi="Arial"/>
                <w:sz w:val="20"/>
                <w:szCs w:val="20"/>
                <w:color w:val="auto"/>
                <w:w w:val="91"/>
              </w:rPr>
              <w:t xml:space="preserve">Increase in provision for credit losses  </w:t>
            </w:r>
            <w:r>
              <w:rPr>
                <w:rFonts w:ascii="Arial" w:cs="Arial" w:eastAsia="Arial" w:hAnsi="Arial"/>
                <w:sz w:val="20"/>
                <w:szCs w:val="20"/>
                <w:color w:val="B4B4B4"/>
                <w:w w:val="91"/>
              </w:rPr>
              <w:t>. . . . . . . . . . . . . . . . . . . . . . . . . . . . . . . . . . . . . . . . . . . . . . . . . . . . . .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right w:val="single" w:sz="8" w:color="E6E6E6"/>
            </w:tcBorders>
          </w:tcPr>
          <w:p>
            <w:pPr>
              <w:jc w:val="right"/>
              <w:ind w:right="6"/>
              <w:spacing w:after="0"/>
              <w:rPr>
                <w:sz w:val="20"/>
                <w:szCs w:val="20"/>
                <w:color w:val="auto"/>
              </w:rPr>
            </w:pPr>
            <w:r>
              <w:rPr>
                <w:rFonts w:ascii="Arial" w:cs="Arial" w:eastAsia="Arial" w:hAnsi="Arial"/>
                <w:sz w:val="20"/>
                <w:szCs w:val="20"/>
                <w:color w:val="auto"/>
              </w:rPr>
              <w:t>63</w:t>
            </w:r>
          </w:p>
        </w:tc>
      </w:tr>
      <w:tr>
        <w:trPr>
          <w:trHeight w:val="27"/>
        </w:trPr>
        <w:tc>
          <w:tcPr>
            <w:tcW w:w="8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-596900</wp:posOffset>
            </wp:positionV>
            <wp:extent cx="6475095" cy="603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4">
                      <a:extLst>
                        <a:ext uri="{28A0092B-C50C-407E-A947-70E740481C1C}"/>
                      </a:extLst>
                    </a:blip>
                    <a:srcRect/>
                    <a:stretch>
                      <a:fillRect/>
                    </a:stretch>
                  </pic:blipFill>
                  <pic:spPr bwMode="auto">
                    <a:xfrm>
                      <a:off x="0" y="0"/>
                      <a:ext cx="6475095" cy="603885"/>
                    </a:xfrm>
                    <a:prstGeom prst="rect">
                      <a:avLst/>
                    </a:prstGeom>
                    <a:noFill/>
                  </pic:spPr>
                </pic:pic>
              </a:graphicData>
            </a:graphic>
          </wp:anchor>
        </w:drawing>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880" w:h="15480" w:orient="portrait"/>
          <w:cols w:equalWidth="0" w:num="1">
            <w:col w:w="10160"/>
          </w:cols>
          <w:pgMar w:left="860" w:top="512" w:right="860" w:bottom="0" w:gutter="0" w:footer="0" w:header="0"/>
          <w:type w:val="continuous"/>
        </w:sectPr>
      </w:pPr>
    </w:p>
    <w:bookmarkStart w:id="62" w:name="page63"/>
    <w:bookmarkEnd w:id="62"/>
    <w:p>
      <w:pPr>
        <w:ind w:left="440"/>
        <w:spacing w:after="0"/>
        <w:rPr>
          <w:sz w:val="20"/>
          <w:szCs w:val="20"/>
          <w:color w:val="auto"/>
        </w:rPr>
      </w:pPr>
      <w:r>
        <w:rPr>
          <w:rFonts w:ascii="Arial" w:cs="Arial" w:eastAsia="Arial" w:hAnsi="Arial"/>
          <w:sz w:val="20"/>
          <w:szCs w:val="20"/>
          <w:b w:val="1"/>
          <w:bCs w:val="1"/>
          <w:i w:val="1"/>
          <w:iCs w:val="1"/>
          <w:color w:val="auto"/>
        </w:rPr>
        <w:t>Acquisition-Related Transaction and Integration Costs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Acquisition-related transaction and integration costs were $30 million and $119 million for the years ended December 31,</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2024 and 2023, respectively, include:</w:t>
      </w:r>
    </w:p>
    <w:p>
      <w:pPr>
        <w:spacing w:after="0" w:line="76"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685"/>
              <w:spacing w:after="0"/>
              <w:rPr>
                <w:sz w:val="20"/>
                <w:szCs w:val="20"/>
                <w:color w:val="auto"/>
              </w:rPr>
            </w:pPr>
            <w:r>
              <w:rPr>
                <w:rFonts w:ascii="Arial" w:cs="Arial" w:eastAsia="Arial" w:hAnsi="Arial"/>
                <w:sz w:val="16"/>
                <w:szCs w:val="16"/>
                <w:b w:val="1"/>
                <w:bCs w:val="1"/>
                <w:color w:val="auto"/>
              </w:rPr>
              <w:t>As of December 31,</w:t>
            </w:r>
          </w:p>
        </w:tc>
      </w:tr>
      <w:tr>
        <w:trPr>
          <w:trHeight w:val="232"/>
        </w:trPr>
        <w:tc>
          <w:tcPr>
            <w:tcW w:w="7260" w:type="dxa"/>
            <w:vAlign w:val="bottom"/>
          </w:tcPr>
          <w:p>
            <w:pPr>
              <w:jc w:val="right"/>
              <w:ind w:right="6345"/>
              <w:spacing w:after="0"/>
              <w:rPr>
                <w:sz w:val="20"/>
                <w:szCs w:val="20"/>
                <w:color w:val="auto"/>
              </w:rPr>
            </w:pPr>
            <w:r>
              <w:rPr>
                <w:rFonts w:ascii="Arial" w:cs="Arial" w:eastAsia="Arial" w:hAnsi="Arial"/>
                <w:sz w:val="16"/>
                <w:szCs w:val="16"/>
                <w:b w:val="1"/>
                <w:bCs w:val="1"/>
                <w:color w:val="auto"/>
                <w:w w:val="89"/>
              </w:rPr>
              <w:t>(In millions)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65"/>
              <w:spacing w:after="0"/>
              <w:rPr>
                <w:sz w:val="20"/>
                <w:szCs w:val="20"/>
                <w:color w:val="auto"/>
              </w:rPr>
            </w:pPr>
            <w:r>
              <w:rPr>
                <w:rFonts w:ascii="Arial" w:cs="Arial" w:eastAsia="Arial" w:hAnsi="Arial"/>
                <w:sz w:val="16"/>
                <w:szCs w:val="16"/>
                <w:b w:val="1"/>
                <w:bCs w:val="1"/>
                <w:color w:val="auto"/>
              </w:rPr>
              <w:t>2023</w:t>
            </w:r>
          </w:p>
        </w:tc>
      </w:tr>
      <w:tr>
        <w:trPr>
          <w:trHeight w:val="287"/>
        </w:trPr>
        <w:tc>
          <w:tcPr>
            <w:tcW w:w="7260" w:type="dxa"/>
            <w:vAlign w:val="bottom"/>
          </w:tcPr>
          <w:p>
            <w:pPr>
              <w:jc w:val="right"/>
              <w:spacing w:after="0"/>
              <w:rPr>
                <w:sz w:val="20"/>
                <w:szCs w:val="20"/>
                <w:color w:val="auto"/>
              </w:rPr>
            </w:pPr>
            <w:r>
              <w:rPr>
                <w:rFonts w:ascii="Arial" w:cs="Arial" w:eastAsia="Arial" w:hAnsi="Arial"/>
                <w:sz w:val="20"/>
                <w:szCs w:val="20"/>
                <w:color w:val="auto"/>
                <w:w w:val="90"/>
              </w:rPr>
              <w:t xml:space="preserve">Vivint Smart Home integration costs </w:t>
            </w:r>
            <w:r>
              <w:rPr>
                <w:rFonts w:ascii="Arial" w:cs="Arial" w:eastAsia="Arial" w:hAnsi="Arial"/>
                <w:sz w:val="20"/>
                <w:szCs w:val="20"/>
                <w:color w:val="B4B4B4"/>
                <w:w w:val="90"/>
              </w:rPr>
              <w:t>. . . . . . . . . . . . . . . . . . . . . . . . . . . . . . . . . . . . . . . . . . .</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23</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60" w:type="dxa"/>
            <w:vAlign w:val="bottom"/>
            <w:tcBorders>
              <w:right w:val="single" w:sz="8" w:color="E6E6E6"/>
            </w:tcBorders>
          </w:tcPr>
          <w:p>
            <w:pPr>
              <w:jc w:val="right"/>
              <w:ind w:right="5"/>
              <w:spacing w:after="0"/>
              <w:rPr>
                <w:sz w:val="20"/>
                <w:szCs w:val="20"/>
                <w:color w:val="auto"/>
              </w:rPr>
            </w:pPr>
            <w:r>
              <w:rPr>
                <w:rFonts w:ascii="Arial" w:cs="Arial" w:eastAsia="Arial" w:hAnsi="Arial"/>
                <w:sz w:val="20"/>
                <w:szCs w:val="20"/>
                <w:color w:val="auto"/>
              </w:rPr>
              <w:t>52</w:t>
            </w:r>
          </w:p>
        </w:tc>
      </w:tr>
      <w:tr>
        <w:trPr>
          <w:trHeight w:val="285"/>
        </w:trPr>
        <w:tc>
          <w:tcPr>
            <w:tcW w:w="7260" w:type="dxa"/>
            <w:vAlign w:val="bottom"/>
          </w:tcPr>
          <w:p>
            <w:pPr>
              <w:jc w:val="right"/>
              <w:spacing w:after="0"/>
              <w:rPr>
                <w:sz w:val="20"/>
                <w:szCs w:val="20"/>
                <w:color w:val="auto"/>
              </w:rPr>
            </w:pPr>
            <w:r>
              <w:rPr>
                <w:rFonts w:ascii="Arial" w:cs="Arial" w:eastAsia="Arial" w:hAnsi="Arial"/>
                <w:sz w:val="20"/>
                <w:szCs w:val="20"/>
                <w:color w:val="auto"/>
                <w:w w:val="90"/>
              </w:rPr>
              <w:t xml:space="preserve">Vivint Smart Home acquisition costs </w:t>
            </w:r>
            <w:r>
              <w:rPr>
                <w:rFonts w:ascii="Arial" w:cs="Arial" w:eastAsia="Arial" w:hAnsi="Arial"/>
                <w:sz w:val="20"/>
                <w:szCs w:val="20"/>
                <w:color w:val="B4B4B4"/>
                <w:w w:val="90"/>
              </w:rPr>
              <w:t>.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5"/>
              <w:spacing w:after="0"/>
              <w:rPr>
                <w:sz w:val="20"/>
                <w:szCs w:val="20"/>
                <w:color w:val="auto"/>
              </w:rPr>
            </w:pPr>
            <w:r>
              <w:rPr>
                <w:rFonts w:ascii="Arial" w:cs="Arial" w:eastAsia="Arial" w:hAnsi="Arial"/>
                <w:sz w:val="20"/>
                <w:szCs w:val="20"/>
                <w:color w:val="auto"/>
              </w:rPr>
              <w:t>38</w:t>
            </w:r>
          </w:p>
        </w:tc>
      </w:tr>
      <w:tr>
        <w:trPr>
          <w:trHeight w:val="299"/>
        </w:trPr>
        <w:tc>
          <w:tcPr>
            <w:tcW w:w="7260" w:type="dxa"/>
            <w:vAlign w:val="bottom"/>
          </w:tcPr>
          <w:p>
            <w:pPr>
              <w:jc w:val="right"/>
              <w:spacing w:after="0"/>
              <w:rPr>
                <w:sz w:val="20"/>
                <w:szCs w:val="20"/>
                <w:color w:val="auto"/>
              </w:rPr>
            </w:pPr>
            <w:r>
              <w:rPr>
                <w:rFonts w:ascii="Arial" w:cs="Arial" w:eastAsia="Arial" w:hAnsi="Arial"/>
                <w:sz w:val="20"/>
                <w:szCs w:val="20"/>
                <w:color w:val="auto"/>
                <w:w w:val="90"/>
              </w:rPr>
              <w:t xml:space="preserve">Other integration costs, primarily related to Direct Energy </w:t>
            </w:r>
            <w:r>
              <w:rPr>
                <w:rFonts w:ascii="Arial" w:cs="Arial" w:eastAsia="Arial" w:hAnsi="Arial"/>
                <w:sz w:val="20"/>
                <w:szCs w:val="20"/>
                <w:color w:val="B4B4B4"/>
                <w:w w:val="90"/>
              </w:rPr>
              <w:t>. . . . . . . . . . . . . . . . . . . . . . . . . .</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E6E6E6"/>
            </w:tcBorders>
          </w:tcPr>
          <w:p>
            <w:pPr>
              <w:jc w:val="right"/>
              <w:ind w:right="5"/>
              <w:spacing w:after="0"/>
              <w:rPr>
                <w:sz w:val="20"/>
                <w:szCs w:val="20"/>
                <w:color w:val="auto"/>
              </w:rPr>
            </w:pPr>
            <w:r>
              <w:rPr>
                <w:rFonts w:ascii="Arial" w:cs="Arial" w:eastAsia="Arial" w:hAnsi="Arial"/>
                <w:sz w:val="20"/>
                <w:szCs w:val="20"/>
                <w:color w:val="auto"/>
              </w:rPr>
              <w:t>29</w:t>
            </w:r>
          </w:p>
        </w:tc>
      </w:tr>
      <w:tr>
        <w:trPr>
          <w:trHeight w:val="257"/>
        </w:trPr>
        <w:tc>
          <w:tcPr>
            <w:tcW w:w="7260" w:type="dxa"/>
            <w:vAlign w:val="bottom"/>
          </w:tcPr>
          <w:p>
            <w:pPr>
              <w:jc w:val="right"/>
              <w:spacing w:after="0"/>
              <w:rPr>
                <w:sz w:val="20"/>
                <w:szCs w:val="20"/>
                <w:color w:val="auto"/>
              </w:rPr>
            </w:pPr>
            <w:r>
              <w:rPr>
                <w:rFonts w:ascii="Arial" w:cs="Arial" w:eastAsia="Arial" w:hAnsi="Arial"/>
                <w:sz w:val="20"/>
                <w:szCs w:val="20"/>
                <w:color w:val="auto"/>
                <w:w w:val="93"/>
              </w:rPr>
              <w:t xml:space="preserve">Acquisition-related transaction and integration costs  </w:t>
            </w:r>
            <w:r>
              <w:rPr>
                <w:rFonts w:ascii="Arial" w:cs="Arial" w:eastAsia="Arial" w:hAnsi="Arial"/>
                <w:sz w:val="18"/>
                <w:szCs w:val="18"/>
                <w:color w:val="B4B4B4"/>
                <w:w w:val="93"/>
              </w:rPr>
              <w:t>. . . . . . . . . . . . . . . . . . . . . . . . . . . . . .</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30</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5"/>
              <w:spacing w:after="0"/>
              <w:rPr>
                <w:sz w:val="20"/>
                <w:szCs w:val="20"/>
                <w:color w:val="auto"/>
              </w:rPr>
            </w:pPr>
            <w:r>
              <w:rPr>
                <w:rFonts w:ascii="Arial" w:cs="Arial" w:eastAsia="Arial" w:hAnsi="Arial"/>
                <w:sz w:val="20"/>
                <w:szCs w:val="20"/>
                <w:color w:val="auto"/>
              </w:rPr>
              <w:t>119</w:t>
            </w:r>
          </w:p>
        </w:tc>
      </w:tr>
      <w:tr>
        <w:trPr>
          <w:trHeight w:val="20"/>
        </w:trPr>
        <w:tc>
          <w:tcPr>
            <w:tcW w:w="7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-785495</wp:posOffset>
            </wp:positionV>
            <wp:extent cx="6475095" cy="792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5">
                      <a:extLst>
                        <a:ext uri="{28A0092B-C50C-407E-A947-70E740481C1C}"/>
                      </a:extLst>
                    </a:blip>
                    <a:srcRect/>
                    <a:stretch>
                      <a:fillRect/>
                    </a:stretch>
                  </pic:blipFill>
                  <pic:spPr bwMode="auto">
                    <a:xfrm>
                      <a:off x="0" y="0"/>
                      <a:ext cx="6475095" cy="792480"/>
                    </a:xfrm>
                    <a:prstGeom prst="rect">
                      <a:avLst/>
                    </a:prstGeom>
                    <a:noFill/>
                  </pic:spPr>
                </pic:pic>
              </a:graphicData>
            </a:graphic>
          </wp:anchor>
        </w:drawing>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Gain on Sale of Assets</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The gain on sale of assets of $208 million and $1.6 billion recorded for the years ended December 31, 2024 and 2023, respectively, include:</w:t>
      </w:r>
    </w:p>
    <w:p>
      <w:pPr>
        <w:spacing w:after="0" w:line="3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6"/>
                <w:szCs w:val="16"/>
                <w:b w:val="1"/>
                <w:bCs w:val="1"/>
                <w:color w:val="auto"/>
              </w:rPr>
              <w:t>As of December 31,</w:t>
            </w:r>
          </w:p>
        </w:tc>
      </w:tr>
      <w:tr>
        <w:trPr>
          <w:trHeight w:val="232"/>
        </w:trPr>
        <w:tc>
          <w:tcPr>
            <w:tcW w:w="726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5"/>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6"/>
                <w:szCs w:val="16"/>
                <w:b w:val="1"/>
                <w:bCs w:val="1"/>
                <w:color w:val="auto"/>
              </w:rPr>
              <w:t>2023</w:t>
            </w:r>
          </w:p>
        </w:tc>
      </w:tr>
      <w:tr>
        <w:trPr>
          <w:trHeight w:val="287"/>
        </w:trPr>
        <w:tc>
          <w:tcPr>
            <w:tcW w:w="7260" w:type="dxa"/>
            <w:vAlign w:val="bottom"/>
          </w:tcPr>
          <w:p>
            <w:pPr>
              <w:spacing w:after="0"/>
              <w:rPr>
                <w:sz w:val="20"/>
                <w:szCs w:val="20"/>
                <w:color w:val="auto"/>
              </w:rPr>
            </w:pPr>
            <w:r>
              <w:rPr>
                <w:rFonts w:ascii="Arial" w:cs="Arial" w:eastAsia="Arial" w:hAnsi="Arial"/>
                <w:sz w:val="20"/>
                <w:szCs w:val="20"/>
                <w:color w:val="auto"/>
                <w:w w:val="90"/>
              </w:rPr>
              <w:t xml:space="preserve">Sale of the Company's 44% equity interest in STP  </w:t>
            </w:r>
            <w:r>
              <w:rPr>
                <w:rFonts w:ascii="Arial" w:cs="Arial" w:eastAsia="Arial" w:hAnsi="Arial"/>
                <w:sz w:val="20"/>
                <w:szCs w:val="20"/>
                <w:b w:val="1"/>
                <w:bCs w:val="1"/>
                <w:color w:val="B4B4B4"/>
                <w:w w:val="90"/>
              </w:rPr>
              <w:t>. . . . . . . . . . . . . . . . . . . . . . . . . . . . . . . .</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60" w:type="dxa"/>
            <w:vAlign w:val="bottom"/>
            <w:tcBorders>
              <w:right w:val="single" w:sz="8" w:color="E6E6E6"/>
            </w:tcBorders>
          </w:tcPr>
          <w:p>
            <w:pPr>
              <w:jc w:val="right"/>
              <w:ind w:right="3"/>
              <w:spacing w:after="0"/>
              <w:rPr>
                <w:sz w:val="20"/>
                <w:szCs w:val="20"/>
                <w:color w:val="auto"/>
              </w:rPr>
            </w:pPr>
            <w:r>
              <w:rPr>
                <w:rFonts w:ascii="Arial" w:cs="Arial" w:eastAsia="Arial" w:hAnsi="Arial"/>
                <w:sz w:val="20"/>
                <w:szCs w:val="20"/>
                <w:color w:val="auto"/>
              </w:rPr>
              <w:t>1,236</w:t>
            </w:r>
          </w:p>
        </w:tc>
      </w:tr>
      <w:tr>
        <w:trPr>
          <w:trHeight w:val="285"/>
        </w:trPr>
        <w:tc>
          <w:tcPr>
            <w:tcW w:w="7260" w:type="dxa"/>
            <w:vAlign w:val="bottom"/>
          </w:tcPr>
          <w:p>
            <w:pPr>
              <w:spacing w:after="0"/>
              <w:rPr>
                <w:sz w:val="20"/>
                <w:szCs w:val="20"/>
                <w:color w:val="auto"/>
              </w:rPr>
            </w:pPr>
            <w:r>
              <w:rPr>
                <w:rFonts w:ascii="Arial" w:cs="Arial" w:eastAsia="Arial" w:hAnsi="Arial"/>
                <w:sz w:val="20"/>
                <w:szCs w:val="20"/>
                <w:color w:val="auto"/>
                <w:w w:val="89"/>
              </w:rPr>
              <w:t xml:space="preserve">Sale of the Airtron business unit </w:t>
            </w:r>
            <w:r>
              <w:rPr>
                <w:rFonts w:ascii="Arial" w:cs="Arial" w:eastAsia="Arial" w:hAnsi="Arial"/>
                <w:sz w:val="20"/>
                <w:szCs w:val="20"/>
                <w:color w:val="B4B4B4"/>
                <w:w w:val="89"/>
              </w:rPr>
              <w:t>.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w:cs="Arial" w:eastAsia="Arial" w:hAnsi="Arial"/>
                <w:sz w:val="20"/>
                <w:szCs w:val="20"/>
                <w:color w:val="auto"/>
              </w:rPr>
              <w:t>—</w:t>
            </w:r>
          </w:p>
        </w:tc>
      </w:tr>
      <w:tr>
        <w:trPr>
          <w:trHeight w:val="309"/>
        </w:trPr>
        <w:tc>
          <w:tcPr>
            <w:tcW w:w="7260" w:type="dxa"/>
            <w:vAlign w:val="bottom"/>
          </w:tcPr>
          <w:p>
            <w:pPr>
              <w:spacing w:after="0"/>
              <w:rPr>
                <w:sz w:val="20"/>
                <w:szCs w:val="20"/>
                <w:color w:val="auto"/>
              </w:rPr>
            </w:pPr>
            <w:r>
              <w:rPr>
                <w:rFonts w:ascii="Arial" w:cs="Arial" w:eastAsia="Arial" w:hAnsi="Arial"/>
                <w:sz w:val="20"/>
                <w:szCs w:val="20"/>
                <w:color w:val="auto"/>
                <w:w w:val="89"/>
              </w:rPr>
              <w:t xml:space="preserve">Sale of Astoria land and related assets </w:t>
            </w:r>
            <w:r>
              <w:rPr>
                <w:rFonts w:ascii="Arial" w:cs="Arial" w:eastAsia="Arial" w:hAnsi="Arial"/>
                <w:sz w:val="20"/>
                <w:szCs w:val="20"/>
                <w:color w:val="B4B4B4"/>
                <w:w w:val="89"/>
              </w:rPr>
              <w:t>.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E6E6E6"/>
            </w:tcBorders>
          </w:tcPr>
          <w:p>
            <w:pPr>
              <w:jc w:val="right"/>
              <w:ind w:right="3"/>
              <w:spacing w:after="0"/>
              <w:rPr>
                <w:sz w:val="20"/>
                <w:szCs w:val="20"/>
                <w:color w:val="auto"/>
              </w:rPr>
            </w:pPr>
            <w:r>
              <w:rPr>
                <w:rFonts w:ascii="Arial" w:cs="Arial" w:eastAsia="Arial" w:hAnsi="Arial"/>
                <w:sz w:val="20"/>
                <w:szCs w:val="20"/>
                <w:color w:val="auto"/>
              </w:rPr>
              <w:t>199</w:t>
            </w:r>
          </w:p>
        </w:tc>
      </w:tr>
      <w:tr>
        <w:trPr>
          <w:trHeight w:val="285"/>
        </w:trPr>
        <w:tc>
          <w:tcPr>
            <w:tcW w:w="7260" w:type="dxa"/>
            <w:vAlign w:val="bottom"/>
          </w:tcPr>
          <w:p>
            <w:pPr>
              <w:spacing w:after="0"/>
              <w:rPr>
                <w:sz w:val="20"/>
                <w:szCs w:val="20"/>
                <w:color w:val="auto"/>
              </w:rPr>
            </w:pPr>
            <w:r>
              <w:rPr>
                <w:rFonts w:ascii="Arial" w:cs="Arial" w:eastAsia="Arial" w:hAnsi="Arial"/>
                <w:sz w:val="20"/>
                <w:szCs w:val="20"/>
                <w:color w:val="auto"/>
                <w:w w:val="90"/>
              </w:rPr>
              <w:t xml:space="preserve">Sale of the Company's 100% ownership in the Gregory natural gas generating facility </w:t>
            </w:r>
            <w:r>
              <w:rPr>
                <w:rFonts w:ascii="Arial" w:cs="Arial" w:eastAsia="Arial" w:hAnsi="Arial"/>
                <w:sz w:val="20"/>
                <w:szCs w:val="20"/>
                <w:color w:val="B4B4B4"/>
                <w:w w:val="90"/>
              </w:rPr>
              <w:t>.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w:cs="Arial" w:eastAsia="Arial" w:hAnsi="Arial"/>
                <w:sz w:val="20"/>
                <w:szCs w:val="20"/>
                <w:color w:val="auto"/>
              </w:rPr>
              <w:t>82</w:t>
            </w:r>
          </w:p>
        </w:tc>
      </w:tr>
      <w:tr>
        <w:trPr>
          <w:trHeight w:val="309"/>
        </w:trPr>
        <w:tc>
          <w:tcPr>
            <w:tcW w:w="7260" w:type="dxa"/>
            <w:vAlign w:val="bottom"/>
          </w:tcPr>
          <w:p>
            <w:pPr>
              <w:spacing w:after="0"/>
              <w:rPr>
                <w:sz w:val="20"/>
                <w:szCs w:val="20"/>
                <w:color w:val="auto"/>
              </w:rPr>
            </w:pPr>
            <w:r>
              <w:rPr>
                <w:rFonts w:ascii="Arial" w:cs="Arial" w:eastAsia="Arial" w:hAnsi="Arial"/>
                <w:sz w:val="20"/>
                <w:szCs w:val="20"/>
                <w:color w:val="auto"/>
                <w:w w:val="90"/>
              </w:rPr>
              <w:t xml:space="preserve">Sale of land and structures at the Company's deactivated Norwalk Harbor, LLC site </w:t>
            </w:r>
            <w:r>
              <w:rPr>
                <w:rFonts w:ascii="Arial" w:cs="Arial" w:eastAsia="Arial" w:hAnsi="Arial"/>
                <w:sz w:val="20"/>
                <w:szCs w:val="20"/>
                <w:color w:val="B4B4B4"/>
                <w:w w:val="90"/>
              </w:rPr>
              <w:t>.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E6E6E6"/>
            </w:tcBorders>
          </w:tcPr>
          <w:p>
            <w:pPr>
              <w:jc w:val="right"/>
              <w:ind w:right="3"/>
              <w:spacing w:after="0"/>
              <w:rPr>
                <w:sz w:val="20"/>
                <w:szCs w:val="20"/>
                <w:color w:val="auto"/>
              </w:rPr>
            </w:pPr>
            <w:r>
              <w:rPr>
                <w:rFonts w:ascii="Arial" w:cs="Arial" w:eastAsia="Arial" w:hAnsi="Arial"/>
                <w:sz w:val="20"/>
                <w:szCs w:val="20"/>
                <w:color w:val="auto"/>
              </w:rPr>
              <w:t>38</w:t>
            </w:r>
          </w:p>
        </w:tc>
      </w:tr>
      <w:tr>
        <w:trPr>
          <w:trHeight w:val="285"/>
        </w:trPr>
        <w:tc>
          <w:tcPr>
            <w:tcW w:w="7260" w:type="dxa"/>
            <w:vAlign w:val="bottom"/>
          </w:tcPr>
          <w:p>
            <w:pPr>
              <w:spacing w:after="0"/>
              <w:rPr>
                <w:sz w:val="20"/>
                <w:szCs w:val="20"/>
                <w:color w:val="auto"/>
              </w:rPr>
            </w:pPr>
            <w:r>
              <w:rPr>
                <w:rFonts w:ascii="Arial" w:cs="Arial" w:eastAsia="Arial" w:hAnsi="Arial"/>
                <w:sz w:val="20"/>
                <w:szCs w:val="20"/>
                <w:color w:val="auto"/>
                <w:w w:val="90"/>
              </w:rPr>
              <w:t xml:space="preserve">Sale of land at the Company's Indian River Power, LLC site  </w:t>
            </w:r>
            <w:r>
              <w:rPr>
                <w:rFonts w:ascii="Arial" w:cs="Arial" w:eastAsia="Arial" w:hAnsi="Arial"/>
                <w:sz w:val="20"/>
                <w:szCs w:val="20"/>
                <w:color w:val="B4B4B4"/>
                <w:w w:val="90"/>
              </w:rPr>
              <w:t>.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w:cs="Arial" w:eastAsia="Arial" w:hAnsi="Arial"/>
                <w:sz w:val="20"/>
                <w:szCs w:val="20"/>
                <w:color w:val="auto"/>
              </w:rPr>
              <w:t>19</w:t>
            </w:r>
          </w:p>
        </w:tc>
      </w:tr>
      <w:tr>
        <w:trPr>
          <w:trHeight w:val="299"/>
        </w:trPr>
        <w:tc>
          <w:tcPr>
            <w:tcW w:w="7260" w:type="dxa"/>
            <w:vAlign w:val="bottom"/>
          </w:tcPr>
          <w:p>
            <w:pPr>
              <w:spacing w:after="0"/>
              <w:rPr>
                <w:sz w:val="20"/>
                <w:szCs w:val="20"/>
                <w:color w:val="auto"/>
              </w:rPr>
            </w:pPr>
            <w:r>
              <w:rPr>
                <w:rFonts w:ascii="Arial" w:cs="Arial" w:eastAsia="Arial" w:hAnsi="Arial"/>
                <w:sz w:val="20"/>
                <w:szCs w:val="20"/>
                <w:color w:val="auto"/>
                <w:w w:val="89"/>
              </w:rPr>
              <w:t xml:space="preserve">Other asset sales </w:t>
            </w:r>
            <w:r>
              <w:rPr>
                <w:rFonts w:ascii="Arial" w:cs="Arial" w:eastAsia="Arial" w:hAnsi="Arial"/>
                <w:sz w:val="20"/>
                <w:szCs w:val="20"/>
                <w:color w:val="B4B4B4"/>
                <w:w w:val="89"/>
              </w:rPr>
              <w:t>. . . . . . . . . . . . . . . . . . . . . . . . . . . . . . . . . . . . . . . . . . . . . . . . . . . . . . . . . . .</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E6E6E6"/>
            </w:tcBorders>
          </w:tcPr>
          <w:p>
            <w:pPr>
              <w:jc w:val="right"/>
              <w:ind w:right="3"/>
              <w:spacing w:after="0"/>
              <w:rPr>
                <w:sz w:val="20"/>
                <w:szCs w:val="20"/>
                <w:color w:val="auto"/>
              </w:rPr>
            </w:pPr>
            <w:r>
              <w:rPr>
                <w:rFonts w:ascii="Arial" w:cs="Arial" w:eastAsia="Arial" w:hAnsi="Arial"/>
                <w:sz w:val="20"/>
                <w:szCs w:val="20"/>
                <w:color w:val="auto"/>
              </w:rPr>
              <w:t>4</w:t>
            </w:r>
          </w:p>
        </w:tc>
      </w:tr>
      <w:tr>
        <w:trPr>
          <w:trHeight w:val="257"/>
        </w:trPr>
        <w:tc>
          <w:tcPr>
            <w:tcW w:w="7260" w:type="dxa"/>
            <w:vAlign w:val="bottom"/>
          </w:tcPr>
          <w:p>
            <w:pPr>
              <w:ind w:left="180"/>
              <w:spacing w:after="0"/>
              <w:rPr>
                <w:sz w:val="20"/>
                <w:szCs w:val="20"/>
                <w:color w:val="auto"/>
              </w:rPr>
            </w:pPr>
            <w:r>
              <w:rPr>
                <w:rFonts w:ascii="Arial" w:cs="Arial" w:eastAsia="Arial" w:hAnsi="Arial"/>
                <w:sz w:val="20"/>
                <w:szCs w:val="20"/>
                <w:color w:val="auto"/>
                <w:w w:val="89"/>
              </w:rPr>
              <w:t xml:space="preserve">Gain on sale of assets </w:t>
            </w:r>
            <w:r>
              <w:rPr>
                <w:rFonts w:ascii="Arial" w:cs="Arial" w:eastAsia="Arial" w:hAnsi="Arial"/>
                <w:sz w:val="20"/>
                <w:szCs w:val="20"/>
                <w:color w:val="B4B4B4"/>
                <w:w w:val="89"/>
              </w:rPr>
              <w:t>. . . . . . . . . . . . . . . . . . . . . . . . . . . . . . . . . . . . . . . . . . . . . . . . . . . . .</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208</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3"/>
              <w:spacing w:after="0"/>
              <w:rPr>
                <w:sz w:val="20"/>
                <w:szCs w:val="20"/>
                <w:color w:val="auto"/>
              </w:rPr>
            </w:pPr>
            <w:r>
              <w:rPr>
                <w:rFonts w:ascii="Arial" w:cs="Arial" w:eastAsia="Arial" w:hAnsi="Arial"/>
                <w:sz w:val="20"/>
                <w:szCs w:val="20"/>
                <w:color w:val="auto"/>
              </w:rPr>
              <w:t>1,578</w:t>
            </w:r>
          </w:p>
        </w:tc>
      </w:tr>
      <w:tr>
        <w:trPr>
          <w:trHeight w:val="20"/>
        </w:trPr>
        <w:tc>
          <w:tcPr>
            <w:tcW w:w="7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-1539875</wp:posOffset>
            </wp:positionV>
            <wp:extent cx="6475095" cy="15468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6">
                      <a:extLst>
                        <a:ext uri="{28A0092B-C50C-407E-A947-70E740481C1C}"/>
                      </a:extLst>
                    </a:blip>
                    <a:srcRect/>
                    <a:stretch>
                      <a:fillRect/>
                    </a:stretch>
                  </pic:blipFill>
                  <pic:spPr bwMode="auto">
                    <a:xfrm>
                      <a:off x="0" y="0"/>
                      <a:ext cx="6475095" cy="1546860"/>
                    </a:xfrm>
                    <a:prstGeom prst="rect">
                      <a:avLst/>
                    </a:prstGeom>
                    <a:noFill/>
                  </pic:spPr>
                </pic:pic>
              </a:graphicData>
            </a:graphic>
          </wp:anchor>
        </w:drawing>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Impairment Losses on Investments</w:t>
      </w:r>
    </w:p>
    <w:p>
      <w:pPr>
        <w:spacing w:after="0" w:line="13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During the years ended December 31, 2024 and 2023, the Company recorded impairment losses of $7 million and $102 million, respectively, on the Company's equity method investment in Gladstone generation facility, as further described in Item 15 — Note 10, Asset Impairments, to the Consolidated Financial Statements.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(Loss)/Gain on Debt Extinguishment</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The (loss)/gain on debt extinguishment of $(382) million and $109 million recorded for the years ended December 31, 2024, and 2023, respectively, include:</w:t>
      </w:r>
    </w:p>
    <w:p>
      <w:pPr>
        <w:spacing w:after="0" w:line="15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6"/>
                <w:szCs w:val="16"/>
                <w:b w:val="1"/>
                <w:bCs w:val="1"/>
                <w:color w:val="auto"/>
              </w:rPr>
              <w:t>As of December 31,</w:t>
            </w:r>
          </w:p>
        </w:tc>
      </w:tr>
      <w:tr>
        <w:trPr>
          <w:trHeight w:val="232"/>
        </w:trPr>
        <w:tc>
          <w:tcPr>
            <w:tcW w:w="726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5"/>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6"/>
                <w:szCs w:val="16"/>
                <w:b w:val="1"/>
                <w:bCs w:val="1"/>
                <w:color w:val="auto"/>
              </w:rPr>
              <w:t>2023</w:t>
            </w:r>
          </w:p>
        </w:tc>
      </w:tr>
      <w:tr>
        <w:trPr>
          <w:trHeight w:val="287"/>
        </w:trPr>
        <w:tc>
          <w:tcPr>
            <w:tcW w:w="7260" w:type="dxa"/>
            <w:vAlign w:val="bottom"/>
          </w:tcPr>
          <w:p>
            <w:pPr>
              <w:spacing w:after="0"/>
              <w:rPr>
                <w:sz w:val="20"/>
                <w:szCs w:val="20"/>
                <w:color w:val="auto"/>
              </w:rPr>
            </w:pPr>
            <w:r>
              <w:rPr>
                <w:rFonts w:ascii="Arial" w:cs="Arial" w:eastAsia="Arial" w:hAnsi="Arial"/>
                <w:sz w:val="20"/>
                <w:szCs w:val="20"/>
                <w:color w:val="auto"/>
                <w:w w:val="90"/>
              </w:rPr>
              <w:t xml:space="preserve">Repurchase of a portion of the Convertible Senior Notes </w:t>
            </w:r>
            <w:r>
              <w:rPr>
                <w:rFonts w:ascii="Arial" w:cs="Arial" w:eastAsia="Arial" w:hAnsi="Arial"/>
                <w:sz w:val="20"/>
                <w:szCs w:val="20"/>
                <w:color w:val="B4B4B4"/>
                <w:w w:val="90"/>
              </w:rPr>
              <w:t>. . . . . . . . . . . . . . . . . . . . . . . . . . .</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(260)</w:t>
            </w:r>
          </w:p>
        </w:tc>
        <w:tc>
          <w:tcPr>
            <w:tcW w:w="42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tcBorders>
              <w:right w:val="single" w:sz="8" w:color="E6E6E6"/>
            </w:tcBorders>
          </w:tcPr>
          <w:p>
            <w:pPr>
              <w:jc w:val="right"/>
              <w:ind w:right="3"/>
              <w:spacing w:after="0"/>
              <w:rPr>
                <w:sz w:val="20"/>
                <w:szCs w:val="20"/>
                <w:color w:val="auto"/>
              </w:rPr>
            </w:pPr>
            <w:r>
              <w:rPr>
                <w:rFonts w:ascii="Arial" w:cs="Arial" w:eastAsia="Arial" w:hAnsi="Arial"/>
                <w:sz w:val="20"/>
                <w:szCs w:val="20"/>
                <w:color w:val="auto"/>
              </w:rPr>
              <w:t>—</w:t>
            </w:r>
          </w:p>
        </w:tc>
      </w:tr>
      <w:tr>
        <w:trPr>
          <w:trHeight w:val="291"/>
        </w:trPr>
        <w:tc>
          <w:tcPr>
            <w:tcW w:w="7260" w:type="dxa"/>
            <w:vAlign w:val="bottom"/>
          </w:tcPr>
          <w:p>
            <w:pPr>
              <w:spacing w:after="0"/>
              <w:rPr>
                <w:sz w:val="20"/>
                <w:szCs w:val="20"/>
                <w:color w:val="auto"/>
              </w:rPr>
            </w:pPr>
            <w:r>
              <w:rPr>
                <w:rFonts w:ascii="Arial" w:cs="Arial" w:eastAsia="Arial" w:hAnsi="Arial"/>
                <w:sz w:val="20"/>
                <w:szCs w:val="20"/>
                <w:color w:val="auto"/>
                <w:w w:val="90"/>
              </w:rPr>
              <w:t xml:space="preserve">Exchange offer for the Vivint 5.750% Senior Notes, due 2029 </w:t>
            </w:r>
            <w:r>
              <w:rPr>
                <w:rFonts w:ascii="Arial" w:cs="Arial" w:eastAsia="Arial" w:hAnsi="Arial"/>
                <w:sz w:val="20"/>
                <w:szCs w:val="20"/>
                <w:color w:val="B4B4B4"/>
                <w:w w:val="90"/>
              </w:rPr>
              <w:t>.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w:cs="Arial" w:eastAsia="Arial" w:hAnsi="Arial"/>
                <w:sz w:val="20"/>
                <w:szCs w:val="20"/>
                <w:color w:val="auto"/>
              </w:rPr>
              <w:t>—</w:t>
            </w:r>
          </w:p>
        </w:tc>
      </w:tr>
      <w:tr>
        <w:trPr>
          <w:trHeight w:val="303"/>
        </w:trPr>
        <w:tc>
          <w:tcPr>
            <w:tcW w:w="7260" w:type="dxa"/>
            <w:vAlign w:val="bottom"/>
          </w:tcPr>
          <w:p>
            <w:pPr>
              <w:spacing w:after="0"/>
              <w:rPr>
                <w:sz w:val="20"/>
                <w:szCs w:val="20"/>
                <w:color w:val="auto"/>
              </w:rPr>
            </w:pPr>
            <w:r>
              <w:rPr>
                <w:rFonts w:ascii="Arial" w:cs="Arial" w:eastAsia="Arial" w:hAnsi="Arial"/>
                <w:sz w:val="20"/>
                <w:szCs w:val="20"/>
                <w:color w:val="auto"/>
                <w:w w:val="90"/>
              </w:rPr>
              <w:t xml:space="preserve">Repayment of the Vivint Senior Secured Term Loan B </w:t>
            </w:r>
            <w:r>
              <w:rPr>
                <w:rFonts w:ascii="Arial" w:cs="Arial" w:eastAsia="Arial" w:hAnsi="Arial"/>
                <w:sz w:val="20"/>
                <w:szCs w:val="20"/>
                <w:color w:val="B4B4B4"/>
                <w:w w:val="90"/>
              </w:rPr>
              <w:t>.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E6E6E6"/>
            </w:tcBorders>
          </w:tcPr>
          <w:p>
            <w:pPr>
              <w:jc w:val="right"/>
              <w:ind w:right="3"/>
              <w:spacing w:after="0"/>
              <w:rPr>
                <w:sz w:val="20"/>
                <w:szCs w:val="20"/>
                <w:color w:val="auto"/>
              </w:rPr>
            </w:pPr>
            <w:r>
              <w:rPr>
                <w:rFonts w:ascii="Arial" w:cs="Arial" w:eastAsia="Arial" w:hAnsi="Arial"/>
                <w:sz w:val="20"/>
                <w:szCs w:val="20"/>
                <w:color w:val="auto"/>
              </w:rPr>
              <w:t>—</w:t>
            </w:r>
          </w:p>
        </w:tc>
      </w:tr>
      <w:tr>
        <w:trPr>
          <w:trHeight w:val="291"/>
        </w:trPr>
        <w:tc>
          <w:tcPr>
            <w:tcW w:w="7260" w:type="dxa"/>
            <w:vAlign w:val="bottom"/>
          </w:tcPr>
          <w:p>
            <w:pPr>
              <w:spacing w:after="0"/>
              <w:rPr>
                <w:sz w:val="20"/>
                <w:szCs w:val="20"/>
                <w:color w:val="auto"/>
              </w:rPr>
            </w:pPr>
            <w:r>
              <w:rPr>
                <w:rFonts w:ascii="Arial" w:cs="Arial" w:eastAsia="Arial" w:hAnsi="Arial"/>
                <w:sz w:val="20"/>
                <w:szCs w:val="20"/>
                <w:color w:val="auto"/>
                <w:w w:val="90"/>
              </w:rPr>
              <w:t xml:space="preserve">Redemption of the Vivint 6.750% Senior Secured Notes, due 2027 </w:t>
            </w:r>
            <w:r>
              <w:rPr>
                <w:rFonts w:ascii="Arial" w:cs="Arial" w:eastAsia="Arial" w:hAnsi="Arial"/>
                <w:sz w:val="20"/>
                <w:szCs w:val="20"/>
                <w:color w:val="B4B4B4"/>
                <w:w w:val="90"/>
              </w:rPr>
              <w:t>.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w:cs="Arial" w:eastAsia="Arial" w:hAnsi="Arial"/>
                <w:sz w:val="20"/>
                <w:szCs w:val="20"/>
                <w:color w:val="auto"/>
              </w:rPr>
              <w:t>—</w:t>
            </w:r>
          </w:p>
        </w:tc>
      </w:tr>
      <w:tr>
        <w:trPr>
          <w:trHeight w:val="303"/>
        </w:trPr>
        <w:tc>
          <w:tcPr>
            <w:tcW w:w="7260" w:type="dxa"/>
            <w:vAlign w:val="bottom"/>
          </w:tcPr>
          <w:p>
            <w:pPr>
              <w:spacing w:after="0"/>
              <w:rPr>
                <w:sz w:val="20"/>
                <w:szCs w:val="20"/>
                <w:color w:val="auto"/>
              </w:rPr>
            </w:pPr>
            <w:r>
              <w:rPr>
                <w:rFonts w:ascii="Arial" w:cs="Arial" w:eastAsia="Arial" w:hAnsi="Arial"/>
                <w:sz w:val="20"/>
                <w:szCs w:val="20"/>
                <w:color w:val="auto"/>
                <w:w w:val="89"/>
              </w:rPr>
              <w:t xml:space="preserve">Redemption of the 6.625% Senior Notes, due 2027 </w:t>
            </w:r>
            <w:r>
              <w:rPr>
                <w:rFonts w:ascii="Arial" w:cs="Arial" w:eastAsia="Arial" w:hAnsi="Arial"/>
                <w:sz w:val="20"/>
                <w:szCs w:val="20"/>
                <w:color w:val="B4B4B4"/>
                <w:w w:val="89"/>
              </w:rPr>
              <w:t>.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E6E6E6"/>
            </w:tcBorders>
          </w:tcPr>
          <w:p>
            <w:pPr>
              <w:jc w:val="right"/>
              <w:ind w:right="3"/>
              <w:spacing w:after="0"/>
              <w:rPr>
                <w:sz w:val="20"/>
                <w:szCs w:val="20"/>
                <w:color w:val="auto"/>
              </w:rPr>
            </w:pPr>
            <w:r>
              <w:rPr>
                <w:rFonts w:ascii="Arial" w:cs="Arial" w:eastAsia="Arial" w:hAnsi="Arial"/>
                <w:sz w:val="20"/>
                <w:szCs w:val="20"/>
                <w:color w:val="auto"/>
              </w:rPr>
              <w:t>—</w:t>
            </w:r>
          </w:p>
        </w:tc>
      </w:tr>
      <w:tr>
        <w:trPr>
          <w:trHeight w:val="287"/>
        </w:trPr>
        <w:tc>
          <w:tcPr>
            <w:tcW w:w="7260" w:type="dxa"/>
            <w:vAlign w:val="bottom"/>
          </w:tcPr>
          <w:p>
            <w:pPr>
              <w:spacing w:after="0"/>
              <w:rPr>
                <w:sz w:val="20"/>
                <w:szCs w:val="20"/>
                <w:color w:val="auto"/>
              </w:rPr>
            </w:pPr>
            <w:r>
              <w:rPr>
                <w:rFonts w:ascii="Arial" w:cs="Arial" w:eastAsia="Arial" w:hAnsi="Arial"/>
                <w:sz w:val="20"/>
                <w:szCs w:val="20"/>
                <w:color w:val="auto"/>
                <w:w w:val="89"/>
              </w:rPr>
              <w:t xml:space="preserve">Partial redemption of the 3.875% Senior Notes, due 2032 </w:t>
            </w:r>
            <w:r>
              <w:rPr>
                <w:rFonts w:ascii="Arial" w:cs="Arial" w:eastAsia="Arial" w:hAnsi="Arial"/>
                <w:sz w:val="20"/>
                <w:szCs w:val="20"/>
                <w:color w:val="B4B4B4"/>
                <w:w w:val="89"/>
              </w:rPr>
              <w:t>. . . . . . . . . . . . . . . . . . . . . . . . . . .</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109</w:t>
            </w:r>
          </w:p>
        </w:tc>
      </w:tr>
      <w:tr>
        <w:trPr>
          <w:trHeight w:val="297"/>
        </w:trPr>
        <w:tc>
          <w:tcPr>
            <w:tcW w:w="7260" w:type="dxa"/>
            <w:vAlign w:val="bottom"/>
          </w:tcPr>
          <w:p>
            <w:pPr>
              <w:ind w:left="180"/>
              <w:spacing w:after="0"/>
              <w:rPr>
                <w:sz w:val="20"/>
                <w:szCs w:val="20"/>
                <w:color w:val="auto"/>
              </w:rPr>
            </w:pPr>
            <w:r>
              <w:rPr>
                <w:rFonts w:ascii="Arial" w:cs="Arial" w:eastAsia="Arial" w:hAnsi="Arial"/>
                <w:sz w:val="20"/>
                <w:szCs w:val="20"/>
                <w:color w:val="auto"/>
                <w:w w:val="90"/>
              </w:rPr>
              <w:t xml:space="preserve">(Loss)/Gain on Debt Extinguishment </w:t>
            </w:r>
            <w:r>
              <w:rPr>
                <w:rFonts w:ascii="Arial" w:cs="Arial" w:eastAsia="Arial" w:hAnsi="Arial"/>
                <w:sz w:val="20"/>
                <w:szCs w:val="20"/>
                <w:color w:val="B4B4B4"/>
                <w:w w:val="90"/>
              </w:rPr>
              <w:t>. . . . . . . . . . . . . . . . . . . . . . . . . . . . . . . . . . . . . . . . .</w:t>
            </w:r>
          </w:p>
        </w:tc>
        <w:tc>
          <w:tcPr>
            <w:tcW w:w="3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(382)</w:t>
            </w:r>
          </w:p>
        </w:tc>
        <w:tc>
          <w:tcPr>
            <w:tcW w:w="80" w:type="dxa"/>
            <w:vAlign w:val="bottom"/>
          </w:tcPr>
          <w:p>
            <w:pPr>
              <w:spacing w:after="0"/>
              <w:rPr>
                <w:sz w:val="24"/>
                <w:szCs w:val="24"/>
                <w:color w:val="auto"/>
              </w:rPr>
            </w:pPr>
          </w:p>
        </w:tc>
        <w:tc>
          <w:tcPr>
            <w:tcW w:w="3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E6E6E6"/>
            </w:tcBorders>
          </w:tcPr>
          <w:p>
            <w:pPr>
              <w:jc w:val="right"/>
              <w:ind w:right="3"/>
              <w:spacing w:after="0"/>
              <w:rPr>
                <w:sz w:val="20"/>
                <w:szCs w:val="20"/>
                <w:color w:val="auto"/>
              </w:rPr>
            </w:pPr>
            <w:r>
              <w:rPr>
                <w:rFonts w:ascii="Arial" w:cs="Arial" w:eastAsia="Arial" w:hAnsi="Arial"/>
                <w:sz w:val="20"/>
                <w:szCs w:val="20"/>
                <w:color w:val="auto"/>
              </w:rPr>
              <w:t>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-1351280</wp:posOffset>
            </wp:positionV>
            <wp:extent cx="6475095" cy="13582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7">
                      <a:extLst>
                        <a:ext uri="{28A0092B-C50C-407E-A947-70E740481C1C}"/>
                      </a:extLst>
                    </a:blip>
                    <a:srcRect/>
                    <a:stretch>
                      <a:fillRect/>
                    </a:stretch>
                  </pic:blipFill>
                  <pic:spPr bwMode="auto">
                    <a:xfrm>
                      <a:off x="0" y="0"/>
                      <a:ext cx="6475095" cy="1358265"/>
                    </a:xfrm>
                    <a:prstGeom prst="rect">
                      <a:avLst/>
                    </a:prstGeom>
                    <a:noFill/>
                  </pic:spPr>
                </pic:pic>
              </a:graphicData>
            </a:graphic>
          </wp:anchor>
        </w:drawing>
      </w:r>
    </w:p>
    <w:p>
      <w:pPr>
        <w:spacing w:after="0" w:line="103" w:lineRule="exact"/>
        <w:rPr>
          <w:sz w:val="20"/>
          <w:szCs w:val="20"/>
          <w:color w:val="auto"/>
        </w:rPr>
      </w:pPr>
    </w:p>
    <w:p>
      <w:pPr>
        <w:jc w:val="both"/>
        <w:ind w:firstLine="445"/>
        <w:spacing w:after="0" w:line="281" w:lineRule="auto"/>
        <w:rPr>
          <w:sz w:val="20"/>
          <w:szCs w:val="20"/>
          <w:color w:val="auto"/>
        </w:rPr>
      </w:pPr>
      <w:r>
        <w:rPr>
          <w:rFonts w:ascii="Arial" w:cs="Arial" w:eastAsia="Arial" w:hAnsi="Arial"/>
          <w:sz w:val="20"/>
          <w:szCs w:val="20"/>
          <w:color w:val="auto"/>
        </w:rPr>
        <w:t xml:space="preserve">Refer to Item 15 — Note 12, </w:t>
      </w:r>
      <w:r>
        <w:rPr>
          <w:rFonts w:ascii="Arial" w:cs="Arial" w:eastAsia="Arial" w:hAnsi="Arial"/>
          <w:sz w:val="20"/>
          <w:szCs w:val="20"/>
          <w:b w:val="1"/>
          <w:bCs w:val="1"/>
          <w:i w:val="1"/>
          <w:iCs w:val="1"/>
          <w:color w:val="auto"/>
        </w:rPr>
        <w:t>Long-term Debt and Finance Leases</w:t>
      </w:r>
      <w:r>
        <w:rPr>
          <w:rFonts w:ascii="Arial" w:cs="Arial" w:eastAsia="Arial" w:hAnsi="Arial"/>
          <w:sz w:val="20"/>
          <w:szCs w:val="20"/>
          <w:color w:val="auto"/>
        </w:rPr>
        <w:t>, to the Consolidated Financial Statements for further discussion.</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880" w:h="15480" w:orient="portrait"/>
          <w:cols w:equalWidth="0" w:num="1">
            <w:col w:w="10160"/>
          </w:cols>
          <w:pgMar w:left="860" w:top="505" w:right="860" w:bottom="0" w:gutter="0" w:footer="0" w:header="0"/>
          <w:type w:val="continuous"/>
        </w:sectPr>
      </w:pPr>
    </w:p>
    <w:bookmarkStart w:id="63" w:name="page64"/>
    <w:bookmarkEnd w:id="63"/>
    <w:p>
      <w:pPr>
        <w:ind w:left="440"/>
        <w:spacing w:after="0"/>
        <w:rPr>
          <w:sz w:val="20"/>
          <w:szCs w:val="20"/>
          <w:color w:val="auto"/>
        </w:rPr>
      </w:pPr>
      <w:r>
        <w:rPr>
          <w:rFonts w:ascii="Arial" w:cs="Arial" w:eastAsia="Arial" w:hAnsi="Arial"/>
          <w:sz w:val="20"/>
          <w:szCs w:val="20"/>
          <w:b w:val="1"/>
          <w:bCs w:val="1"/>
          <w:i w:val="1"/>
          <w:iCs w:val="1"/>
          <w:color w:val="auto"/>
        </w:rPr>
        <w:t>Income Tax Expense/(Benefit)</w:t>
      </w:r>
    </w:p>
    <w:p>
      <w:pPr>
        <w:spacing w:after="0" w:line="134"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9"/>
          <w:szCs w:val="19"/>
          <w:color w:val="auto"/>
        </w:rPr>
        <w:t>For the year ended December 31, 2024, NRG recorded an income tax expense of $323 million on pre-tax income of $1.4 billion. For the same period in 2023, NRG recorded income tax benefit of $11 million on a pre-tax loss of $213 million. The effective tax rate was 22.3% and 5.2% for the years ended December 31, 2024 and 2023, respectively.</w:t>
      </w:r>
    </w:p>
    <w:p>
      <w:pPr>
        <w:spacing w:after="0" w:line="6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For the year ended December 31, 2024, NRG's overall effective tax rate was higher than the federal statutory tax rate of 21%, primarily due to permanent differences and state tax expense partially offset by tax benefits from the revaluation of deferred tax assets and decrease of certain state valuation allowances.</w:t>
      </w:r>
    </w:p>
    <w:p>
      <w:pPr>
        <w:spacing w:after="0" w:line="22"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Year Ended December 31,</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6960" w:type="dxa"/>
            <w:vAlign w:val="bottom"/>
          </w:tcPr>
          <w:p>
            <w:pPr>
              <w:spacing w:after="0"/>
              <w:rPr>
                <w:sz w:val="20"/>
                <w:szCs w:val="20"/>
                <w:color w:val="auto"/>
              </w:rPr>
            </w:pPr>
            <w:r>
              <w:rPr>
                <w:rFonts w:ascii="Arial" w:cs="Arial" w:eastAsia="Arial" w:hAnsi="Arial"/>
                <w:sz w:val="16"/>
                <w:szCs w:val="16"/>
                <w:b w:val="1"/>
                <w:bCs w:val="1"/>
                <w:color w:val="auto"/>
              </w:rPr>
              <w:t>(In millions, except effective income tax rate)</w:t>
            </w:r>
          </w:p>
        </w:tc>
        <w:tc>
          <w:tcPr>
            <w:tcW w:w="4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57"/>
        </w:trPr>
        <w:tc>
          <w:tcPr>
            <w:tcW w:w="6960" w:type="dxa"/>
            <w:vAlign w:val="bottom"/>
          </w:tcPr>
          <w:p>
            <w:pPr>
              <w:spacing w:after="0"/>
              <w:rPr>
                <w:sz w:val="20"/>
                <w:szCs w:val="20"/>
                <w:color w:val="auto"/>
              </w:rPr>
            </w:pPr>
            <w:r>
              <w:rPr>
                <w:rFonts w:ascii="Arial" w:cs="Arial" w:eastAsia="Arial" w:hAnsi="Arial"/>
                <w:sz w:val="20"/>
                <w:szCs w:val="20"/>
                <w:color w:val="auto"/>
                <w:w w:val="90"/>
              </w:rPr>
              <w:t xml:space="preserve">Income/(Loss) before income taxes </w:t>
            </w:r>
            <w:r>
              <w:rPr>
                <w:rFonts w:ascii="Arial" w:cs="Arial" w:eastAsia="Arial" w:hAnsi="Arial"/>
                <w:sz w:val="20"/>
                <w:szCs w:val="20"/>
                <w:color w:val="B4B4B4"/>
                <w:w w:val="90"/>
              </w:rPr>
              <w:t>. . . . . . . . . . . . . . . . . . . . . . . . . . . . . . . . . . . . . . . . .</w:t>
            </w:r>
          </w:p>
        </w:tc>
        <w:tc>
          <w:tcPr>
            <w:tcW w:w="40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62"/>
              <w:spacing w:after="0"/>
              <w:rPr>
                <w:sz w:val="20"/>
                <w:szCs w:val="20"/>
                <w:color w:val="auto"/>
              </w:rPr>
            </w:pPr>
            <w:r>
              <w:rPr>
                <w:rFonts w:ascii="Arial" w:cs="Arial" w:eastAsia="Arial" w:hAnsi="Arial"/>
                <w:sz w:val="20"/>
                <w:szCs w:val="20"/>
                <w:color w:val="auto"/>
              </w:rPr>
              <w:t>1,448</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82"/>
              <w:spacing w:after="0"/>
              <w:rPr>
                <w:sz w:val="20"/>
                <w:szCs w:val="20"/>
                <w:color w:val="auto"/>
              </w:rPr>
            </w:pPr>
            <w:r>
              <w:rPr>
                <w:rFonts w:ascii="Arial" w:cs="Arial" w:eastAsia="Arial" w:hAnsi="Arial"/>
                <w:sz w:val="20"/>
                <w:szCs w:val="20"/>
                <w:color w:val="auto"/>
              </w:rPr>
              <w:t>(213)</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20"/>
                <w:szCs w:val="20"/>
                <w:color w:val="auto"/>
              </w:rPr>
              <w:t>Tax at federal statutory tax rate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960" w:type="dxa"/>
            <w:vAlign w:val="bottom"/>
            <w:vMerge w:val="continue"/>
          </w:tcPr>
          <w:p>
            <w:pPr>
              <w:jc w:val="right"/>
              <w:spacing w:after="0" w:line="195" w:lineRule="exact"/>
              <w:rPr>
                <w:sz w:val="20"/>
                <w:szCs w:val="20"/>
                <w:color w:val="auto"/>
              </w:rPr>
            </w:pPr>
            <w:r>
              <w:rPr>
                <w:rFonts w:ascii="Arial" w:cs="Arial" w:eastAsia="Arial" w:hAnsi="Arial"/>
                <w:sz w:val="20"/>
                <w:szCs w:val="20"/>
                <w:color w:val="B4B4B4"/>
              </w:rPr>
              <w:t>. . . . . . . . . . . . . . . . . . . . . . . . . . . . . . . . . . . . . . . . . . . .</w:t>
            </w:r>
          </w:p>
        </w:tc>
        <w:tc>
          <w:tcPr>
            <w:tcW w:w="400" w:type="dxa"/>
            <w:vAlign w:val="bottom"/>
          </w:tcPr>
          <w:p>
            <w:pPr>
              <w:spacing w:after="0"/>
              <w:rPr>
                <w:sz w:val="22"/>
                <w:szCs w:val="22"/>
                <w:color w:val="auto"/>
              </w:rPr>
            </w:pPr>
          </w:p>
        </w:tc>
        <w:tc>
          <w:tcPr>
            <w:tcW w:w="1260" w:type="dxa"/>
            <w:vAlign w:val="bottom"/>
          </w:tcPr>
          <w:p>
            <w:pPr>
              <w:jc w:val="right"/>
              <w:ind w:right="162"/>
              <w:spacing w:after="0"/>
              <w:rPr>
                <w:sz w:val="20"/>
                <w:szCs w:val="20"/>
                <w:color w:val="auto"/>
              </w:rPr>
            </w:pPr>
            <w:r>
              <w:rPr>
                <w:rFonts w:ascii="Arial" w:cs="Arial" w:eastAsia="Arial" w:hAnsi="Arial"/>
                <w:sz w:val="20"/>
                <w:szCs w:val="20"/>
                <w:color w:val="auto"/>
              </w:rPr>
              <w:t>304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82"/>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94"/>
        </w:trPr>
        <w:tc>
          <w:tcPr>
            <w:tcW w:w="6960" w:type="dxa"/>
            <w:vAlign w:val="bottom"/>
          </w:tcPr>
          <w:p>
            <w:pPr>
              <w:spacing w:after="0"/>
              <w:rPr>
                <w:sz w:val="20"/>
                <w:szCs w:val="20"/>
                <w:color w:val="auto"/>
              </w:rPr>
            </w:pPr>
            <w:r>
              <w:rPr>
                <w:rFonts w:ascii="Arial" w:cs="Arial" w:eastAsia="Arial" w:hAnsi="Arial"/>
                <w:sz w:val="20"/>
                <w:szCs w:val="20"/>
                <w:color w:val="auto"/>
                <w:w w:val="89"/>
              </w:rPr>
              <w:t xml:space="preserve">State taxes </w:t>
            </w:r>
            <w:r>
              <w:rPr>
                <w:rFonts w:ascii="Arial" w:cs="Arial" w:eastAsia="Arial" w:hAnsi="Arial"/>
                <w:sz w:val="20"/>
                <w:szCs w:val="20"/>
                <w:color w:val="B4B4B4"/>
                <w:w w:val="89"/>
              </w:rPr>
              <w:t>. . . . . . . . . . . . . . . . . . . . . . . . . . . . . . . . . . . . . . . . . . . . . . . . . . . . . . . . . . . . .</w:t>
            </w:r>
          </w:p>
        </w:tc>
        <w:tc>
          <w:tcPr>
            <w:tcW w:w="400" w:type="dxa"/>
            <w:vAlign w:val="bottom"/>
          </w:tcPr>
          <w:p>
            <w:pPr>
              <w:spacing w:after="0"/>
              <w:rPr>
                <w:sz w:val="24"/>
                <w:szCs w:val="24"/>
                <w:color w:val="auto"/>
              </w:rPr>
            </w:pPr>
          </w:p>
        </w:tc>
        <w:tc>
          <w:tcPr>
            <w:tcW w:w="1260" w:type="dxa"/>
            <w:vAlign w:val="bottom"/>
          </w:tcPr>
          <w:p>
            <w:pPr>
              <w:jc w:val="right"/>
              <w:ind w:right="162"/>
              <w:spacing w:after="0"/>
              <w:rPr>
                <w:sz w:val="20"/>
                <w:szCs w:val="20"/>
                <w:color w:val="auto"/>
              </w:rPr>
            </w:pPr>
            <w:r>
              <w:rPr>
                <w:rFonts w:ascii="Arial" w:cs="Arial" w:eastAsia="Arial" w:hAnsi="Arial"/>
                <w:sz w:val="20"/>
                <w:szCs w:val="20"/>
                <w:color w:val="auto"/>
              </w:rPr>
              <w:t>92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82"/>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97"/>
        </w:trPr>
        <w:tc>
          <w:tcPr>
            <w:tcW w:w="6960" w:type="dxa"/>
            <w:vAlign w:val="bottom"/>
          </w:tcPr>
          <w:p>
            <w:pPr>
              <w:spacing w:after="0"/>
              <w:rPr>
                <w:sz w:val="20"/>
                <w:szCs w:val="20"/>
                <w:color w:val="auto"/>
              </w:rPr>
            </w:pPr>
            <w:r>
              <w:rPr>
                <w:rFonts w:ascii="Arial" w:cs="Arial" w:eastAsia="Arial" w:hAnsi="Arial"/>
                <w:sz w:val="20"/>
                <w:szCs w:val="20"/>
                <w:color w:val="auto"/>
                <w:w w:val="91"/>
              </w:rPr>
              <w:t xml:space="preserve">Foreign rate differential </w:t>
            </w:r>
            <w:r>
              <w:rPr>
                <w:rFonts w:ascii="Arial" w:cs="Arial" w:eastAsia="Arial" w:hAnsi="Arial"/>
                <w:sz w:val="20"/>
                <w:szCs w:val="20"/>
                <w:color w:val="B4B4B4"/>
                <w:w w:val="91"/>
              </w:rPr>
              <w:t>. . . . . . . . . . . . . . . . . . . . . . . . . . . . . . . . . . . . . . . . . . . . . . . . . .</w:t>
            </w:r>
          </w:p>
        </w:tc>
        <w:tc>
          <w:tcPr>
            <w:tcW w:w="400" w:type="dxa"/>
            <w:vAlign w:val="bottom"/>
          </w:tcPr>
          <w:p>
            <w:pPr>
              <w:spacing w:after="0"/>
              <w:rPr>
                <w:sz w:val="24"/>
                <w:szCs w:val="24"/>
                <w:color w:val="auto"/>
              </w:rPr>
            </w:pPr>
          </w:p>
        </w:tc>
        <w:tc>
          <w:tcPr>
            <w:tcW w:w="1260" w:type="dxa"/>
            <w:vAlign w:val="bottom"/>
          </w:tcPr>
          <w:p>
            <w:pPr>
              <w:jc w:val="right"/>
              <w:ind w:right="162"/>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82"/>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97"/>
        </w:trPr>
        <w:tc>
          <w:tcPr>
            <w:tcW w:w="6960" w:type="dxa"/>
            <w:vAlign w:val="bottom"/>
          </w:tcPr>
          <w:p>
            <w:pPr>
              <w:spacing w:after="0"/>
              <w:rPr>
                <w:sz w:val="20"/>
                <w:szCs w:val="20"/>
                <w:color w:val="auto"/>
              </w:rPr>
            </w:pPr>
            <w:r>
              <w:rPr>
                <w:rFonts w:ascii="Arial" w:cs="Arial" w:eastAsia="Arial" w:hAnsi="Arial"/>
                <w:sz w:val="20"/>
                <w:szCs w:val="20"/>
                <w:color w:val="auto"/>
                <w:w w:val="89"/>
              </w:rPr>
              <w:t xml:space="preserve">Changes in state valuation allowances </w:t>
            </w:r>
            <w:r>
              <w:rPr>
                <w:rFonts w:ascii="Arial" w:cs="Arial" w:eastAsia="Arial" w:hAnsi="Arial"/>
                <w:sz w:val="20"/>
                <w:szCs w:val="20"/>
                <w:color w:val="B4B4B4"/>
                <w:w w:val="89"/>
              </w:rPr>
              <w:t>. . . . . . . . . . . . . . . . . . . . . . . . . . . . . . . . . . . . . . .</w:t>
            </w:r>
          </w:p>
        </w:tc>
        <w:tc>
          <w:tcPr>
            <w:tcW w:w="400" w:type="dxa"/>
            <w:vAlign w:val="bottom"/>
          </w:tcPr>
          <w:p>
            <w:pPr>
              <w:spacing w:after="0"/>
              <w:rPr>
                <w:sz w:val="24"/>
                <w:szCs w:val="24"/>
                <w:color w:val="auto"/>
              </w:rPr>
            </w:pPr>
          </w:p>
        </w:tc>
        <w:tc>
          <w:tcPr>
            <w:tcW w:w="1260" w:type="dxa"/>
            <w:vAlign w:val="bottom"/>
          </w:tcPr>
          <w:p>
            <w:pPr>
              <w:jc w:val="right"/>
              <w:ind w:right="82"/>
              <w:spacing w:after="0"/>
              <w:rPr>
                <w:sz w:val="20"/>
                <w:szCs w:val="20"/>
                <w:color w:val="auto"/>
              </w:rPr>
            </w:pPr>
            <w:r>
              <w:rPr>
                <w:rFonts w:ascii="Arial" w:cs="Arial" w:eastAsia="Arial" w:hAnsi="Arial"/>
                <w:sz w:val="20"/>
                <w:szCs w:val="20"/>
                <w:color w:val="auto"/>
              </w:rPr>
              <w:t>(110)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42"/>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97"/>
        </w:trPr>
        <w:tc>
          <w:tcPr>
            <w:tcW w:w="6960" w:type="dxa"/>
            <w:vAlign w:val="bottom"/>
          </w:tcPr>
          <w:p>
            <w:pPr>
              <w:spacing w:after="0"/>
              <w:rPr>
                <w:sz w:val="20"/>
                <w:szCs w:val="20"/>
                <w:color w:val="auto"/>
              </w:rPr>
            </w:pPr>
            <w:r>
              <w:rPr>
                <w:rFonts w:ascii="Arial" w:cs="Arial" w:eastAsia="Arial" w:hAnsi="Arial"/>
                <w:sz w:val="20"/>
                <w:szCs w:val="20"/>
                <w:color w:val="auto"/>
                <w:w w:val="89"/>
              </w:rPr>
              <w:t xml:space="preserve">Nondeductible loss on Convertible Senior Notes repurchases </w:t>
            </w:r>
            <w:r>
              <w:rPr>
                <w:rFonts w:ascii="Arial" w:cs="Arial" w:eastAsia="Arial" w:hAnsi="Arial"/>
                <w:sz w:val="20"/>
                <w:szCs w:val="20"/>
                <w:color w:val="B4B4B4"/>
                <w:w w:val="89"/>
              </w:rPr>
              <w:t>. . . . . . . . . . . . . . . . . . . . .</w:t>
            </w:r>
          </w:p>
        </w:tc>
        <w:tc>
          <w:tcPr>
            <w:tcW w:w="400" w:type="dxa"/>
            <w:vAlign w:val="bottom"/>
          </w:tcPr>
          <w:p>
            <w:pPr>
              <w:spacing w:after="0"/>
              <w:rPr>
                <w:sz w:val="24"/>
                <w:szCs w:val="24"/>
                <w:color w:val="auto"/>
              </w:rPr>
            </w:pPr>
          </w:p>
        </w:tc>
        <w:tc>
          <w:tcPr>
            <w:tcW w:w="1260" w:type="dxa"/>
            <w:vAlign w:val="bottom"/>
          </w:tcPr>
          <w:p>
            <w:pPr>
              <w:jc w:val="right"/>
              <w:ind w:right="162"/>
              <w:spacing w:after="0"/>
              <w:rPr>
                <w:sz w:val="20"/>
                <w:szCs w:val="20"/>
                <w:color w:val="auto"/>
              </w:rPr>
            </w:pPr>
            <w:r>
              <w:rPr>
                <w:rFonts w:ascii="Arial" w:cs="Arial" w:eastAsia="Arial" w:hAnsi="Arial"/>
                <w:sz w:val="20"/>
                <w:szCs w:val="20"/>
                <w:color w:val="auto"/>
              </w:rPr>
              <w:t>56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6960" w:type="dxa"/>
            <w:vAlign w:val="bottom"/>
          </w:tcPr>
          <w:p>
            <w:pPr>
              <w:spacing w:after="0"/>
              <w:rPr>
                <w:sz w:val="20"/>
                <w:szCs w:val="20"/>
                <w:color w:val="auto"/>
              </w:rPr>
            </w:pPr>
            <w:r>
              <w:rPr>
                <w:rFonts w:ascii="Arial" w:cs="Arial" w:eastAsia="Arial" w:hAnsi="Arial"/>
                <w:sz w:val="20"/>
                <w:szCs w:val="20"/>
                <w:color w:val="auto"/>
                <w:w w:val="89"/>
              </w:rPr>
              <w:t xml:space="preserve">Permanent differences  </w:t>
            </w:r>
            <w:r>
              <w:rPr>
                <w:rFonts w:ascii="Arial" w:cs="Arial" w:eastAsia="Arial" w:hAnsi="Arial"/>
                <w:sz w:val="20"/>
                <w:szCs w:val="20"/>
                <w:color w:val="B4B4B4"/>
                <w:w w:val="89"/>
              </w:rPr>
              <w:t>. . . . . . . . . . . . . . . . . . . . . . . . . . . . . . . . . . . . . . . . . . . . . . . . . . .</w:t>
            </w:r>
          </w:p>
        </w:tc>
        <w:tc>
          <w:tcPr>
            <w:tcW w:w="400" w:type="dxa"/>
            <w:vAlign w:val="bottom"/>
          </w:tcPr>
          <w:p>
            <w:pPr>
              <w:spacing w:after="0"/>
              <w:rPr>
                <w:sz w:val="24"/>
                <w:szCs w:val="24"/>
                <w:color w:val="auto"/>
              </w:rPr>
            </w:pPr>
          </w:p>
        </w:tc>
        <w:tc>
          <w:tcPr>
            <w:tcW w:w="1260" w:type="dxa"/>
            <w:vAlign w:val="bottom"/>
          </w:tcPr>
          <w:p>
            <w:pPr>
              <w:jc w:val="right"/>
              <w:ind w:right="162"/>
              <w:spacing w:after="0"/>
              <w:rPr>
                <w:sz w:val="20"/>
                <w:szCs w:val="20"/>
                <w:color w:val="auto"/>
              </w:rPr>
            </w:pPr>
            <w:r>
              <w:rPr>
                <w:rFonts w:ascii="Arial" w:cs="Arial" w:eastAsia="Arial" w:hAnsi="Arial"/>
                <w:sz w:val="20"/>
                <w:szCs w:val="20"/>
                <w:color w:val="auto"/>
              </w:rPr>
              <w:t>23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42"/>
              <w:spacing w:after="0"/>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297"/>
        </w:trPr>
        <w:tc>
          <w:tcPr>
            <w:tcW w:w="6960" w:type="dxa"/>
            <w:vAlign w:val="bottom"/>
          </w:tcPr>
          <w:p>
            <w:pPr>
              <w:spacing w:after="0"/>
              <w:rPr>
                <w:sz w:val="20"/>
                <w:szCs w:val="20"/>
                <w:color w:val="auto"/>
              </w:rPr>
            </w:pPr>
            <w:r>
              <w:rPr>
                <w:rFonts w:ascii="Arial" w:cs="Arial" w:eastAsia="Arial" w:hAnsi="Arial"/>
                <w:sz w:val="20"/>
                <w:szCs w:val="20"/>
                <w:color w:val="auto"/>
                <w:w w:val="90"/>
              </w:rPr>
              <w:t xml:space="preserve">Stock compensation </w:t>
            </w:r>
            <w:r>
              <w:rPr>
                <w:rFonts w:ascii="Arial" w:cs="Arial" w:eastAsia="Arial" w:hAnsi="Arial"/>
                <w:sz w:val="20"/>
                <w:szCs w:val="20"/>
                <w:color w:val="B4B4B4"/>
                <w:w w:val="90"/>
              </w:rPr>
              <w:t>. . . . . . . . . . . . . . . . . . . . . . . . . . . . . . . . . . . . . . . . . . . . . . . . . . . . .</w:t>
            </w:r>
          </w:p>
        </w:tc>
        <w:tc>
          <w:tcPr>
            <w:tcW w:w="400" w:type="dxa"/>
            <w:vAlign w:val="bottom"/>
          </w:tcPr>
          <w:p>
            <w:pPr>
              <w:spacing w:after="0"/>
              <w:rPr>
                <w:sz w:val="24"/>
                <w:szCs w:val="24"/>
                <w:color w:val="auto"/>
              </w:rPr>
            </w:pPr>
          </w:p>
        </w:tc>
        <w:tc>
          <w:tcPr>
            <w:tcW w:w="1260" w:type="dxa"/>
            <w:vAlign w:val="bottom"/>
          </w:tcPr>
          <w:p>
            <w:pPr>
              <w:jc w:val="right"/>
              <w:ind w:right="82"/>
              <w:spacing w:after="0"/>
              <w:rPr>
                <w:sz w:val="20"/>
                <w:szCs w:val="20"/>
                <w:color w:val="auto"/>
              </w:rPr>
            </w:pPr>
            <w:r>
              <w:rPr>
                <w:rFonts w:ascii="Arial" w:cs="Arial" w:eastAsia="Arial" w:hAnsi="Arial"/>
                <w:sz w:val="20"/>
                <w:szCs w:val="20"/>
                <w:color w:val="auto"/>
              </w:rPr>
              <w:t>(19)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6960" w:type="dxa"/>
            <w:vAlign w:val="bottom"/>
          </w:tcPr>
          <w:p>
            <w:pPr>
              <w:spacing w:after="0"/>
              <w:rPr>
                <w:sz w:val="20"/>
                <w:szCs w:val="20"/>
                <w:color w:val="auto"/>
              </w:rPr>
            </w:pPr>
            <w:r>
              <w:rPr>
                <w:rFonts w:ascii="Arial" w:cs="Arial" w:eastAsia="Arial" w:hAnsi="Arial"/>
                <w:sz w:val="20"/>
                <w:szCs w:val="20"/>
                <w:color w:val="auto"/>
                <w:w w:val="90"/>
              </w:rPr>
              <w:t xml:space="preserve">Recognition of uncertain tax benefits </w:t>
            </w:r>
            <w:r>
              <w:rPr>
                <w:rFonts w:ascii="Arial" w:cs="Arial" w:eastAsia="Arial" w:hAnsi="Arial"/>
                <w:sz w:val="20"/>
                <w:szCs w:val="20"/>
                <w:color w:val="B4B4B4"/>
                <w:w w:val="90"/>
              </w:rPr>
              <w:t>. . . . . . . . . . . . . . . . . . . . . . . . . . . . . . . . . . . . . . . .</w:t>
            </w:r>
          </w:p>
        </w:tc>
        <w:tc>
          <w:tcPr>
            <w:tcW w:w="400" w:type="dxa"/>
            <w:vAlign w:val="bottom"/>
          </w:tcPr>
          <w:p>
            <w:pPr>
              <w:spacing w:after="0"/>
              <w:rPr>
                <w:sz w:val="24"/>
                <w:szCs w:val="24"/>
                <w:color w:val="auto"/>
              </w:rPr>
            </w:pPr>
          </w:p>
        </w:tc>
        <w:tc>
          <w:tcPr>
            <w:tcW w:w="1260" w:type="dxa"/>
            <w:vAlign w:val="bottom"/>
          </w:tcPr>
          <w:p>
            <w:pPr>
              <w:jc w:val="right"/>
              <w:ind w:right="162"/>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42"/>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97"/>
        </w:trPr>
        <w:tc>
          <w:tcPr>
            <w:tcW w:w="6960" w:type="dxa"/>
            <w:vAlign w:val="bottom"/>
          </w:tcPr>
          <w:p>
            <w:pPr>
              <w:spacing w:after="0"/>
              <w:rPr>
                <w:sz w:val="20"/>
                <w:szCs w:val="20"/>
                <w:color w:val="auto"/>
              </w:rPr>
            </w:pPr>
            <w:r>
              <w:rPr>
                <w:rFonts w:ascii="Arial" w:cs="Arial" w:eastAsia="Arial" w:hAnsi="Arial"/>
                <w:sz w:val="20"/>
                <w:szCs w:val="20"/>
                <w:color w:val="auto"/>
                <w:w w:val="89"/>
              </w:rPr>
              <w:t xml:space="preserve">Deferred impact of state tax rate changes </w:t>
            </w:r>
            <w:r>
              <w:rPr>
                <w:rFonts w:ascii="Arial" w:cs="Arial" w:eastAsia="Arial" w:hAnsi="Arial"/>
                <w:sz w:val="20"/>
                <w:szCs w:val="20"/>
                <w:color w:val="B4B4B4"/>
                <w:w w:val="89"/>
              </w:rPr>
              <w:t>. . . . . . . . . . . . . . . . . . . . . . . . . . . . . . . . . . . . .</w:t>
            </w:r>
          </w:p>
        </w:tc>
        <w:tc>
          <w:tcPr>
            <w:tcW w:w="400" w:type="dxa"/>
            <w:vAlign w:val="bottom"/>
          </w:tcPr>
          <w:p>
            <w:pPr>
              <w:spacing w:after="0"/>
              <w:rPr>
                <w:sz w:val="24"/>
                <w:szCs w:val="24"/>
                <w:color w:val="auto"/>
              </w:rPr>
            </w:pPr>
          </w:p>
        </w:tc>
        <w:tc>
          <w:tcPr>
            <w:tcW w:w="1260" w:type="dxa"/>
            <w:vAlign w:val="bottom"/>
          </w:tcPr>
          <w:p>
            <w:pPr>
              <w:jc w:val="right"/>
              <w:ind w:right="82"/>
              <w:spacing w:after="0"/>
              <w:rPr>
                <w:sz w:val="20"/>
                <w:szCs w:val="20"/>
                <w:color w:val="auto"/>
              </w:rPr>
            </w:pPr>
            <w:r>
              <w:rPr>
                <w:rFonts w:ascii="Arial" w:cs="Arial" w:eastAsia="Arial" w:hAnsi="Arial"/>
                <w:sz w:val="20"/>
                <w:szCs w:val="20"/>
                <w:color w:val="auto"/>
              </w:rPr>
              <w:t>(24)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42"/>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97"/>
        </w:trPr>
        <w:tc>
          <w:tcPr>
            <w:tcW w:w="6960" w:type="dxa"/>
            <w:vAlign w:val="bottom"/>
          </w:tcPr>
          <w:p>
            <w:pPr>
              <w:spacing w:after="0"/>
              <w:rPr>
                <w:sz w:val="20"/>
                <w:szCs w:val="20"/>
                <w:color w:val="auto"/>
              </w:rPr>
            </w:pPr>
            <w:r>
              <w:rPr>
                <w:rFonts w:ascii="Arial" w:cs="Arial" w:eastAsia="Arial" w:hAnsi="Arial"/>
                <w:sz w:val="20"/>
                <w:szCs w:val="20"/>
                <w:color w:val="auto"/>
                <w:w w:val="89"/>
              </w:rPr>
              <w:t xml:space="preserve">Foreign tax refunds </w:t>
            </w:r>
            <w:r>
              <w:rPr>
                <w:rFonts w:ascii="Arial" w:cs="Arial" w:eastAsia="Arial" w:hAnsi="Arial"/>
                <w:sz w:val="20"/>
                <w:szCs w:val="20"/>
                <w:color w:val="B4B4B4"/>
                <w:w w:val="89"/>
              </w:rPr>
              <w:t>. . . . . . . . . . . . . . . . . . . . . . . . . . . . . . . . . . . . . . . . . . . . . . . . . . . . . .</w:t>
            </w:r>
          </w:p>
        </w:tc>
        <w:tc>
          <w:tcPr>
            <w:tcW w:w="400" w:type="dxa"/>
            <w:vAlign w:val="bottom"/>
          </w:tcPr>
          <w:p>
            <w:pPr>
              <w:spacing w:after="0"/>
              <w:rPr>
                <w:sz w:val="24"/>
                <w:szCs w:val="24"/>
                <w:color w:val="auto"/>
              </w:rPr>
            </w:pPr>
          </w:p>
        </w:tc>
        <w:tc>
          <w:tcPr>
            <w:tcW w:w="126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82"/>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99"/>
        </w:trPr>
        <w:tc>
          <w:tcPr>
            <w:tcW w:w="6960" w:type="dxa"/>
            <w:vAlign w:val="bottom"/>
          </w:tcPr>
          <w:p>
            <w:pPr>
              <w:spacing w:after="0"/>
              <w:rPr>
                <w:sz w:val="20"/>
                <w:szCs w:val="20"/>
                <w:color w:val="auto"/>
              </w:rPr>
            </w:pPr>
            <w:r>
              <w:rPr>
                <w:rFonts w:ascii="Arial" w:cs="Arial" w:eastAsia="Arial" w:hAnsi="Arial"/>
                <w:sz w:val="20"/>
                <w:szCs w:val="20"/>
                <w:color w:val="auto"/>
                <w:w w:val="90"/>
              </w:rPr>
              <w:t xml:space="preserve">Return to provision adjustments </w:t>
            </w:r>
            <w:r>
              <w:rPr>
                <w:rFonts w:ascii="Arial" w:cs="Arial" w:eastAsia="Arial" w:hAnsi="Arial"/>
                <w:sz w:val="20"/>
                <w:szCs w:val="20"/>
                <w:color w:val="B4B4B4"/>
                <w:w w:val="90"/>
              </w:rPr>
              <w:t>. . . . . . . . . . . . . . . . . . . . . . . . . . . . . . . . . . . . . . . . . . . .</w:t>
            </w: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57"/>
        </w:trPr>
        <w:tc>
          <w:tcPr>
            <w:tcW w:w="6960" w:type="dxa"/>
            <w:vAlign w:val="bottom"/>
          </w:tcPr>
          <w:p>
            <w:pPr>
              <w:spacing w:after="0"/>
              <w:rPr>
                <w:sz w:val="20"/>
                <w:szCs w:val="20"/>
                <w:color w:val="auto"/>
              </w:rPr>
            </w:pPr>
            <w:r>
              <w:rPr>
                <w:rFonts w:ascii="Arial" w:cs="Arial" w:eastAsia="Arial" w:hAnsi="Arial"/>
                <w:sz w:val="20"/>
                <w:szCs w:val="20"/>
                <w:color w:val="auto"/>
                <w:w w:val="90"/>
              </w:rPr>
              <w:t xml:space="preserve">Income tax expense/(benefit) </w:t>
            </w:r>
            <w:r>
              <w:rPr>
                <w:rFonts w:ascii="Arial" w:cs="Arial" w:eastAsia="Arial" w:hAnsi="Arial"/>
                <w:sz w:val="20"/>
                <w:szCs w:val="20"/>
                <w:color w:val="B4B4B4"/>
                <w:w w:val="90"/>
              </w:rPr>
              <w:t>. . . . . . . . . . . . . . . . . . . . . . . . . . . . . . . . . . . . . . . . . . . . . .</w:t>
            </w:r>
          </w:p>
        </w:tc>
        <w:tc>
          <w:tcPr>
            <w:tcW w:w="40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62"/>
              <w:spacing w:after="0"/>
              <w:rPr>
                <w:sz w:val="20"/>
                <w:szCs w:val="20"/>
                <w:color w:val="auto"/>
              </w:rPr>
            </w:pPr>
            <w:r>
              <w:rPr>
                <w:rFonts w:ascii="Arial" w:cs="Arial" w:eastAsia="Arial" w:hAnsi="Arial"/>
                <w:sz w:val="20"/>
                <w:szCs w:val="20"/>
                <w:color w:val="auto"/>
              </w:rPr>
              <w:t>323</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82"/>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140"/>
              <w:spacing w:after="0"/>
              <w:rPr>
                <w:sz w:val="20"/>
                <w:szCs w:val="20"/>
                <w:color w:val="auto"/>
              </w:rPr>
            </w:pPr>
            <w:r>
              <w:rPr>
                <w:rFonts w:ascii="Arial" w:cs="Arial" w:eastAsia="Arial" w:hAnsi="Arial"/>
                <w:sz w:val="20"/>
                <w:szCs w:val="20"/>
                <w:color w:val="auto"/>
              </w:rPr>
              <w:t>Effective income tax rate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960" w:type="dxa"/>
            <w:vAlign w:val="bottom"/>
            <w:vMerge w:val="continue"/>
          </w:tcPr>
          <w:p>
            <w:pPr>
              <w:jc w:val="right"/>
              <w:spacing w:after="0" w:line="195" w:lineRule="exact"/>
              <w:rPr>
                <w:sz w:val="20"/>
                <w:szCs w:val="20"/>
                <w:color w:val="auto"/>
              </w:rPr>
            </w:pPr>
            <w:r>
              <w:rPr>
                <w:rFonts w:ascii="Arial" w:cs="Arial" w:eastAsia="Arial" w:hAnsi="Arial"/>
                <w:sz w:val="20"/>
                <w:szCs w:val="20"/>
                <w:color w:val="B4B4B4"/>
              </w:rPr>
              <w:t>. . . . . . . . . . . . . . . . . . . . . . . . . . . . . . . . . . . . . . . . . . . . . . . .</w:t>
            </w: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22.3 %</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-2646680</wp:posOffset>
            </wp:positionV>
            <wp:extent cx="6475095" cy="26657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8">
                      <a:extLst>
                        <a:ext uri="{28A0092B-C50C-407E-A947-70E740481C1C}"/>
                      </a:extLst>
                    </a:blip>
                    <a:srcRect/>
                    <a:stretch>
                      <a:fillRect/>
                    </a:stretch>
                  </pic:blipFill>
                  <pic:spPr bwMode="auto">
                    <a:xfrm>
                      <a:off x="0" y="0"/>
                      <a:ext cx="6475095" cy="2665730"/>
                    </a:xfrm>
                    <a:prstGeom prst="rect">
                      <a:avLst/>
                    </a:prstGeom>
                    <a:noFill/>
                  </pic:spPr>
                </pic:pic>
              </a:graphicData>
            </a:graphic>
          </wp:anchor>
        </w:drawing>
      </w:r>
    </w:p>
    <w:p>
      <w:pPr>
        <w:spacing w:after="0" w:line="14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 xml:space="preserve">The effective income tax rate may vary from period to period depending on, among other factors, the geographic and business mix of earnings and losses and changes in valuation allowances in accordance with ASC 740, </w:t>
      </w:r>
      <w:r>
        <w:rPr>
          <w:rFonts w:ascii="Arial" w:cs="Arial" w:eastAsia="Arial" w:hAnsi="Arial"/>
          <w:sz w:val="20"/>
          <w:szCs w:val="20"/>
          <w:b w:val="1"/>
          <w:bCs w:val="1"/>
          <w:i w:val="1"/>
          <w:iCs w:val="1"/>
          <w:color w:val="auto"/>
        </w:rPr>
        <w:t>Income Taxes</w:t>
      </w:r>
      <w:r>
        <w:rPr>
          <w:rFonts w:ascii="Arial" w:cs="Arial" w:eastAsia="Arial" w:hAnsi="Arial"/>
          <w:sz w:val="20"/>
          <w:szCs w:val="20"/>
          <w:color w:val="auto"/>
        </w:rPr>
        <w:t xml:space="preserve"> ("ASC 740"). These factors and others, including the Company's history of pre-tax earnings and losses, are taken into account in assessing the ability to realize deferred tax assets.</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Liquidity and Capital Resources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Liquidity Position</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As of December 31, 2024 and 2023, NRG's liquidity, excluding collateral funds deposited by counterparties, was approximately $5.4 billion and $4.8 billion, respectively, comprised of the following:</w:t>
      </w:r>
    </w:p>
    <w:p>
      <w:pPr>
        <w:spacing w:after="0" w:line="52"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As of December 31,</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684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8"/>
                <w:szCs w:val="18"/>
                <w:b w:val="1"/>
                <w:bCs w:val="1"/>
                <w:color w:val="auto"/>
              </w:rPr>
              <w:t>2023</w:t>
            </w:r>
          </w:p>
        </w:tc>
      </w:tr>
      <w:tr>
        <w:trPr>
          <w:trHeight w:val="275"/>
        </w:trPr>
        <w:tc>
          <w:tcPr>
            <w:tcW w:w="6840" w:type="dxa"/>
            <w:vAlign w:val="bottom"/>
          </w:tcPr>
          <w:p>
            <w:pPr>
              <w:jc w:val="right"/>
              <w:spacing w:after="0"/>
              <w:rPr>
                <w:sz w:val="20"/>
                <w:szCs w:val="20"/>
                <w:color w:val="auto"/>
              </w:rPr>
            </w:pPr>
            <w:r>
              <w:rPr>
                <w:rFonts w:ascii="Arial" w:cs="Arial" w:eastAsia="Arial" w:hAnsi="Arial"/>
                <w:sz w:val="20"/>
                <w:szCs w:val="20"/>
                <w:color w:val="auto"/>
                <w:w w:val="88"/>
              </w:rPr>
              <w:t xml:space="preserve">Cash and cash equivalents </w:t>
            </w:r>
            <w:r>
              <w:rPr>
                <w:rFonts w:ascii="Arial" w:cs="Arial" w:eastAsia="Arial" w:hAnsi="Arial"/>
                <w:sz w:val="20"/>
                <w:szCs w:val="20"/>
                <w:color w:val="B4B4B4"/>
                <w:w w:val="88"/>
              </w:rPr>
              <w:t>. . . . . . . . . . . . . . . . . . . . . . . . . . . . . . . . . . . . . . . . . . . . . . .</w:t>
            </w:r>
          </w:p>
        </w:tc>
        <w:tc>
          <w:tcPr>
            <w:tcW w:w="40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966</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541</w:t>
            </w:r>
          </w:p>
        </w:tc>
      </w:tr>
      <w:tr>
        <w:trPr>
          <w:trHeight w:val="297"/>
        </w:trPr>
        <w:tc>
          <w:tcPr>
            <w:tcW w:w="6840" w:type="dxa"/>
            <w:vAlign w:val="bottom"/>
          </w:tcPr>
          <w:p>
            <w:pPr>
              <w:jc w:val="right"/>
              <w:spacing w:after="0"/>
              <w:rPr>
                <w:sz w:val="20"/>
                <w:szCs w:val="20"/>
                <w:color w:val="auto"/>
              </w:rPr>
            </w:pPr>
            <w:r>
              <w:rPr>
                <w:rFonts w:ascii="Arial" w:cs="Arial" w:eastAsia="Arial" w:hAnsi="Arial"/>
                <w:sz w:val="20"/>
                <w:szCs w:val="20"/>
                <w:color w:val="auto"/>
                <w:w w:val="89"/>
              </w:rPr>
              <w:t xml:space="preserve">Restricted cash - operating  </w:t>
            </w:r>
            <w:r>
              <w:rPr>
                <w:rFonts w:ascii="Arial" w:cs="Arial" w:eastAsia="Arial" w:hAnsi="Arial"/>
                <w:sz w:val="20"/>
                <w:szCs w:val="20"/>
                <w:color w:val="B4B4B4"/>
                <w:w w:val="89"/>
              </w:rPr>
              <w:t>. . . . . . . . . . . . . . . . . . . . . . . . . . . . . . . . . . . . . . . . . . . . . .</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99"/>
        </w:trPr>
        <w:tc>
          <w:tcPr>
            <w:tcW w:w="6840" w:type="dxa"/>
            <w:vAlign w:val="bottom"/>
          </w:tcPr>
          <w:p>
            <w:pPr>
              <w:jc w:val="right"/>
              <w:spacing w:after="0"/>
              <w:rPr>
                <w:sz w:val="20"/>
                <w:szCs w:val="20"/>
                <w:color w:val="auto"/>
              </w:rPr>
            </w:pPr>
            <w:r>
              <w:rPr>
                <w:rFonts w:ascii="Arial" w:cs="Arial" w:eastAsia="Arial" w:hAnsi="Arial"/>
                <w:sz w:val="20"/>
                <w:szCs w:val="20"/>
                <w:color w:val="auto"/>
                <w:w w:val="87"/>
              </w:rPr>
              <w:t xml:space="preserve">Restricted cash - reserves </w:t>
            </w:r>
            <w:r>
              <w:rPr>
                <w:rFonts w:ascii="Arial" w:cs="Arial" w:eastAsia="Arial" w:hAnsi="Arial"/>
                <w:sz w:val="25"/>
                <w:szCs w:val="25"/>
                <w:color w:val="auto"/>
                <w:w w:val="87"/>
                <w:vertAlign w:val="superscript"/>
              </w:rPr>
              <w:t>(a)</w:t>
            </w:r>
            <w:r>
              <w:rPr>
                <w:rFonts w:ascii="Arial" w:cs="Arial" w:eastAsia="Arial" w:hAnsi="Arial"/>
                <w:sz w:val="20"/>
                <w:szCs w:val="20"/>
                <w:color w:val="auto"/>
                <w:w w:val="87"/>
              </w:rPr>
              <w:t xml:space="preserve">  </w:t>
            </w:r>
            <w:r>
              <w:rPr>
                <w:rFonts w:ascii="Arial" w:cs="Arial" w:eastAsia="Arial" w:hAnsi="Arial"/>
                <w:sz w:val="20"/>
                <w:szCs w:val="20"/>
                <w:color w:val="B4B4B4"/>
                <w:w w:val="87"/>
              </w:rPr>
              <w:t>. . . . . . . . . . . . . . . . . . . . . . . . . . . . . . . . . . . . . . . . . . . . . .</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r>
      <w:tr>
        <w:trPr>
          <w:trHeight w:val="275"/>
        </w:trPr>
        <w:tc>
          <w:tcPr>
            <w:tcW w:w="6840" w:type="dxa"/>
            <w:vAlign w:val="bottom"/>
          </w:tcPr>
          <w:p>
            <w:pPr>
              <w:jc w:val="right"/>
              <w:spacing w:after="0"/>
              <w:rPr>
                <w:sz w:val="20"/>
                <w:szCs w:val="20"/>
                <w:color w:val="auto"/>
              </w:rPr>
            </w:pPr>
            <w:r>
              <w:rPr>
                <w:rFonts w:ascii="Arial" w:cs="Arial" w:eastAsia="Arial" w:hAnsi="Arial"/>
                <w:sz w:val="20"/>
                <w:szCs w:val="20"/>
                <w:color w:val="auto"/>
                <w:w w:val="90"/>
              </w:rPr>
              <w:t xml:space="preserve">Total </w:t>
            </w:r>
            <w:r>
              <w:rPr>
                <w:rFonts w:ascii="Arial" w:cs="Arial" w:eastAsia="Arial" w:hAnsi="Arial"/>
                <w:sz w:val="20"/>
                <w:szCs w:val="20"/>
                <w:color w:val="B4B4B4"/>
                <w:w w:val="90"/>
              </w:rPr>
              <w:t>. . . . . . . . . . . . . . . . . . . . . . . . . . . . . . . . . . . . . . . . . . . . . . . . . . . . . . . . . . . . . . .</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974</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565</w:t>
            </w:r>
          </w:p>
        </w:tc>
      </w:tr>
      <w:tr>
        <w:trPr>
          <w:trHeight w:val="299"/>
        </w:trPr>
        <w:tc>
          <w:tcPr>
            <w:tcW w:w="6840" w:type="dxa"/>
            <w:vAlign w:val="bottom"/>
          </w:tcPr>
          <w:p>
            <w:pPr>
              <w:spacing w:after="0"/>
              <w:rPr>
                <w:sz w:val="20"/>
                <w:szCs w:val="20"/>
                <w:color w:val="auto"/>
              </w:rPr>
            </w:pPr>
            <w:r>
              <w:rPr>
                <w:rFonts w:ascii="Arial" w:cs="Arial" w:eastAsia="Arial" w:hAnsi="Arial"/>
                <w:sz w:val="20"/>
                <w:szCs w:val="20"/>
                <w:color w:val="auto"/>
                <w:w w:val="93"/>
              </w:rPr>
              <w:t>Total availability under Revolving Credit Facility and collective collateral facilities</w:t>
            </w:r>
            <w:r>
              <w:rPr>
                <w:rFonts w:ascii="Arial" w:cs="Arial" w:eastAsia="Arial" w:hAnsi="Arial"/>
                <w:sz w:val="25"/>
                <w:szCs w:val="25"/>
                <w:color w:val="auto"/>
                <w:w w:val="93"/>
                <w:vertAlign w:val="superscript"/>
              </w:rPr>
              <w:t>(b)</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4,469</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4,278</w:t>
            </w:r>
          </w:p>
        </w:tc>
      </w:tr>
      <w:tr>
        <w:trPr>
          <w:trHeight w:val="257"/>
        </w:trPr>
        <w:tc>
          <w:tcPr>
            <w:tcW w:w="6840" w:type="dxa"/>
            <w:vAlign w:val="bottom"/>
          </w:tcPr>
          <w:p>
            <w:pPr>
              <w:jc w:val="right"/>
              <w:spacing w:after="0"/>
              <w:rPr>
                <w:sz w:val="20"/>
                <w:szCs w:val="20"/>
                <w:color w:val="auto"/>
              </w:rPr>
            </w:pPr>
            <w:r>
              <w:rPr>
                <w:rFonts w:ascii="Arial" w:cs="Arial" w:eastAsia="Arial" w:hAnsi="Arial"/>
                <w:sz w:val="20"/>
                <w:szCs w:val="20"/>
                <w:color w:val="auto"/>
                <w:w w:val="93"/>
              </w:rPr>
              <w:t xml:space="preserve">Total liquidity, excluding collateral funds deposited by counterparties </w:t>
            </w:r>
            <w:r>
              <w:rPr>
                <w:rFonts w:ascii="Arial" w:cs="Arial" w:eastAsia="Arial" w:hAnsi="Arial"/>
                <w:sz w:val="20"/>
                <w:szCs w:val="20"/>
                <w:color w:val="B4B4B4"/>
                <w:w w:val="93"/>
              </w:rPr>
              <w:t>. . . . . . . . . . .</w:t>
            </w:r>
          </w:p>
        </w:tc>
        <w:tc>
          <w:tcPr>
            <w:tcW w:w="40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5,443</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4,843</w:t>
            </w:r>
          </w:p>
        </w:tc>
      </w:tr>
      <w:tr>
        <w:trPr>
          <w:trHeight w:val="20"/>
        </w:trPr>
        <w:tc>
          <w:tcPr>
            <w:tcW w:w="6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-1162685</wp:posOffset>
            </wp:positionV>
            <wp:extent cx="6475095" cy="11696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9">
                      <a:extLst>
                        <a:ext uri="{28A0092B-C50C-407E-A947-70E740481C1C}"/>
                      </a:extLst>
                    </a:blip>
                    <a:srcRect/>
                    <a:stretch>
                      <a:fillRect/>
                    </a:stretch>
                  </pic:blipFill>
                  <pic:spPr bwMode="auto">
                    <a:xfrm>
                      <a:off x="0" y="0"/>
                      <a:ext cx="6475095" cy="1169670"/>
                    </a:xfrm>
                    <a:prstGeom prst="rect">
                      <a:avLst/>
                    </a:prstGeom>
                    <a:noFill/>
                  </pic:spPr>
                </pic:pic>
              </a:graphicData>
            </a:graphic>
          </wp:anchor>
        </w:drawing>
      </w:r>
    </w:p>
    <w:p>
      <w:pPr>
        <w:ind w:left="360" w:hanging="359"/>
        <w:spacing w:after="0"/>
        <w:tabs>
          <w:tab w:leader="none" w:pos="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reserves primarily for debt service, performance obligations and capital expenditures</w:t>
      </w:r>
    </w:p>
    <w:p>
      <w:pPr>
        <w:spacing w:after="0" w:line="23" w:lineRule="exact"/>
        <w:rPr>
          <w:rFonts w:ascii="Arial" w:cs="Arial" w:eastAsia="Arial" w:hAnsi="Arial"/>
          <w:sz w:val="16"/>
          <w:szCs w:val="16"/>
          <w:color w:val="auto"/>
        </w:rPr>
      </w:pPr>
    </w:p>
    <w:p>
      <w:pPr>
        <w:ind w:left="360" w:right="20" w:hanging="359"/>
        <w:spacing w:after="0" w:line="255" w:lineRule="auto"/>
        <w:tabs>
          <w:tab w:leader="none" w:pos="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Total capacity of Revolving Credit Facility and collective collateral facilities was $7.3 billion and $7.4 billion as of December 31, 2024 and December 31, 2023, respectively</w:t>
      </w:r>
    </w:p>
    <w:p>
      <w:pPr>
        <w:spacing w:after="0" w:line="150"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 xml:space="preserve">As of December 31, 2024, total liquidity, excluding collateral funds deposited by counterparties, increased by $600 million. Changes in cash and cash equivalent balances are further discussed under the heading </w:t>
      </w:r>
      <w:r>
        <w:rPr>
          <w:rFonts w:ascii="Arial" w:cs="Arial" w:eastAsia="Arial" w:hAnsi="Arial"/>
          <w:sz w:val="20"/>
          <w:szCs w:val="20"/>
          <w:b w:val="1"/>
          <w:bCs w:val="1"/>
          <w:i w:val="1"/>
          <w:iCs w:val="1"/>
          <w:color w:val="auto"/>
        </w:rPr>
        <w:t>Cash Flow Discussion</w:t>
      </w:r>
      <w:r>
        <w:rPr>
          <w:rFonts w:ascii="Arial" w:cs="Arial" w:eastAsia="Arial" w:hAnsi="Arial"/>
          <w:sz w:val="20"/>
          <w:szCs w:val="20"/>
          <w:color w:val="auto"/>
        </w:rPr>
        <w:t>. Cash and cash equivalents at December 31, 2024, were predominantly held in bank deposits.</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880" w:h="15480" w:orient="portrait"/>
          <w:cols w:equalWidth="0" w:num="1">
            <w:col w:w="10160"/>
          </w:cols>
          <w:pgMar w:left="860" w:top="505" w:right="860" w:bottom="0" w:gutter="0" w:footer="0" w:header="0"/>
          <w:type w:val="continuous"/>
        </w:sectPr>
      </w:pPr>
    </w:p>
    <w:bookmarkStart w:id="64" w:name="page65"/>
    <w:bookmarkEnd w:id="64"/>
    <w:p>
      <w:pPr>
        <w:jc w:val="both"/>
        <w:ind w:firstLine="445"/>
        <w:spacing w:after="0" w:line="275" w:lineRule="auto"/>
        <w:rPr>
          <w:sz w:val="20"/>
          <w:szCs w:val="20"/>
          <w:color w:val="auto"/>
        </w:rPr>
      </w:pPr>
      <w:r>
        <w:rPr>
          <w:rFonts w:ascii="Arial" w:cs="Arial" w:eastAsia="Arial" w:hAnsi="Arial"/>
          <w:sz w:val="19"/>
          <w:szCs w:val="19"/>
          <w:color w:val="auto"/>
        </w:rPr>
        <w:t>Management believes that the Company's liquidity position and cash flows from operations will be adequate to finance operating and maintenance capital expenditures, to fund dividends, and to fund other liquidity commitments in the short and long-term. Management continues to regularly monitor the Company's ability to finance the needs of its operating, financing and investing activity within the dictates of prudent balance sheet management.</w:t>
      </w:r>
    </w:p>
    <w:p>
      <w:pPr>
        <w:spacing w:after="0" w:line="68" w:lineRule="exact"/>
        <w:rPr>
          <w:sz w:val="20"/>
          <w:szCs w:val="20"/>
          <w:color w:val="auto"/>
        </w:rPr>
      </w:pPr>
    </w:p>
    <w:p>
      <w:pPr>
        <w:jc w:val="both"/>
        <w:ind w:firstLine="445"/>
        <w:spacing w:after="0" w:line="304" w:lineRule="auto"/>
        <w:rPr>
          <w:sz w:val="20"/>
          <w:szCs w:val="20"/>
          <w:color w:val="auto"/>
        </w:rPr>
      </w:pPr>
      <w:r>
        <w:rPr>
          <w:rFonts w:ascii="Arial" w:cs="Arial" w:eastAsia="Arial" w:hAnsi="Arial"/>
          <w:sz w:val="19"/>
          <w:szCs w:val="19"/>
          <w:color w:val="auto"/>
        </w:rPr>
        <w:t>The consolidated statement of cash flows includes certain draws from, and payments to, the revolving credit facility and other credit facilities which are not eligible for net reporting. These transactions are for short term liquidity purposes.</w:t>
      </w:r>
    </w:p>
    <w:p>
      <w:pPr>
        <w:spacing w:after="0" w:line="3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Credit Ratings</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On March 18, 2024, S&amp;P affirmed the Company's issuer credit rating of BB and changed the rating outlook from Stable to Positive.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summarizes the Company's current credit ratings:</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58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S&amp;P</w:t>
            </w:r>
          </w:p>
        </w:tc>
        <w:tc>
          <w:tcPr>
            <w:tcW w:w="8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Moody's</w:t>
            </w:r>
          </w:p>
        </w:tc>
        <w:tc>
          <w:tcPr>
            <w:tcW w:w="8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Fitch</w:t>
            </w:r>
          </w:p>
        </w:tc>
      </w:tr>
      <w:tr>
        <w:trPr>
          <w:trHeight w:val="275"/>
        </w:trPr>
        <w:tc>
          <w:tcPr>
            <w:tcW w:w="5800" w:type="dxa"/>
            <w:vAlign w:val="bottom"/>
          </w:tcPr>
          <w:p>
            <w:pPr>
              <w:spacing w:after="0"/>
              <w:rPr>
                <w:sz w:val="20"/>
                <w:szCs w:val="20"/>
                <w:color w:val="auto"/>
              </w:rPr>
            </w:pPr>
            <w:r>
              <w:rPr>
                <w:rFonts w:ascii="Arial" w:cs="Arial" w:eastAsia="Arial" w:hAnsi="Arial"/>
                <w:sz w:val="20"/>
                <w:szCs w:val="20"/>
                <w:color w:val="auto"/>
                <w:w w:val="91"/>
              </w:rPr>
              <w:t xml:space="preserve">NRG Energy, Inc. </w:t>
            </w:r>
            <w:r>
              <w:rPr>
                <w:rFonts w:ascii="Arial" w:cs="Arial" w:eastAsia="Arial" w:hAnsi="Arial"/>
                <w:sz w:val="20"/>
                <w:szCs w:val="20"/>
                <w:color w:val="B4B4B4"/>
                <w:w w:val="91"/>
              </w:rPr>
              <w:t>. . . . . . . . . . . . . . . . . . . . . . . . . . . . . . . . . . . . . . . . . . .</w:t>
            </w:r>
          </w:p>
        </w:tc>
        <w:tc>
          <w:tcPr>
            <w:tcW w:w="1380" w:type="dxa"/>
            <w:vAlign w:val="bottom"/>
          </w:tcPr>
          <w:p>
            <w:pPr>
              <w:jc w:val="center"/>
              <w:spacing w:after="0"/>
              <w:rPr>
                <w:sz w:val="20"/>
                <w:szCs w:val="20"/>
                <w:color w:val="auto"/>
              </w:rPr>
            </w:pPr>
            <w:r>
              <w:rPr>
                <w:rFonts w:ascii="Arial" w:cs="Arial" w:eastAsia="Arial" w:hAnsi="Arial"/>
                <w:sz w:val="20"/>
                <w:szCs w:val="20"/>
                <w:color w:val="auto"/>
                <w:w w:val="93"/>
              </w:rPr>
              <w:t>BB Positive</w:t>
            </w:r>
          </w:p>
        </w:tc>
        <w:tc>
          <w:tcPr>
            <w:tcW w:w="8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87"/>
              </w:rPr>
              <w:t>Ba1 Stable</w:t>
            </w:r>
          </w:p>
        </w:tc>
        <w:tc>
          <w:tcPr>
            <w:tcW w:w="8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91"/>
              </w:rPr>
              <w:t>BB+ Stable</w:t>
            </w:r>
          </w:p>
        </w:tc>
      </w:tr>
      <w:tr>
        <w:trPr>
          <w:trHeight w:val="297"/>
        </w:trPr>
        <w:tc>
          <w:tcPr>
            <w:tcW w:w="5800" w:type="dxa"/>
            <w:vAlign w:val="bottom"/>
          </w:tcPr>
          <w:p>
            <w:pPr>
              <w:spacing w:after="0"/>
              <w:rPr>
                <w:sz w:val="20"/>
                <w:szCs w:val="20"/>
                <w:color w:val="auto"/>
              </w:rPr>
            </w:pPr>
            <w:r>
              <w:rPr>
                <w:rFonts w:ascii="Arial" w:cs="Arial" w:eastAsia="Arial" w:hAnsi="Arial"/>
                <w:sz w:val="20"/>
                <w:szCs w:val="20"/>
                <w:color w:val="auto"/>
                <w:w w:val="90"/>
              </w:rPr>
              <w:t xml:space="preserve">Senior Secured Debt </w:t>
            </w:r>
            <w:r>
              <w:rPr>
                <w:rFonts w:ascii="Arial" w:cs="Arial" w:eastAsia="Arial" w:hAnsi="Arial"/>
                <w:sz w:val="20"/>
                <w:szCs w:val="20"/>
                <w:color w:val="B4B4B4"/>
                <w:w w:val="90"/>
              </w:rPr>
              <w:t>. . . . . . . . . . . . . . . . . . . . . . . . . . . . . . . . . . . . . . . . .</w:t>
            </w:r>
          </w:p>
        </w:tc>
        <w:tc>
          <w:tcPr>
            <w:tcW w:w="1380" w:type="dxa"/>
            <w:vAlign w:val="bottom"/>
          </w:tcPr>
          <w:p>
            <w:pPr>
              <w:jc w:val="center"/>
              <w:spacing w:after="0"/>
              <w:rPr>
                <w:sz w:val="20"/>
                <w:szCs w:val="20"/>
                <w:color w:val="auto"/>
              </w:rPr>
            </w:pPr>
            <w:r>
              <w:rPr>
                <w:rFonts w:ascii="Arial" w:cs="Arial" w:eastAsia="Arial" w:hAnsi="Arial"/>
                <w:sz w:val="20"/>
                <w:szCs w:val="20"/>
                <w:color w:val="auto"/>
                <w:w w:val="98"/>
              </w:rPr>
              <w:t>BBB-</w:t>
            </w:r>
          </w:p>
        </w:tc>
        <w:tc>
          <w:tcPr>
            <w:tcW w:w="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89"/>
              </w:rPr>
              <w:t>Baa3</w:t>
            </w:r>
          </w:p>
        </w:tc>
        <w:tc>
          <w:tcPr>
            <w:tcW w:w="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98"/>
              </w:rPr>
              <w:t>BBB-</w:t>
            </w:r>
          </w:p>
        </w:tc>
      </w:tr>
      <w:tr>
        <w:trPr>
          <w:trHeight w:val="297"/>
        </w:trPr>
        <w:tc>
          <w:tcPr>
            <w:tcW w:w="5800" w:type="dxa"/>
            <w:vAlign w:val="bottom"/>
          </w:tcPr>
          <w:p>
            <w:pPr>
              <w:spacing w:after="0"/>
              <w:rPr>
                <w:sz w:val="20"/>
                <w:szCs w:val="20"/>
                <w:color w:val="auto"/>
              </w:rPr>
            </w:pPr>
            <w:r>
              <w:rPr>
                <w:rFonts w:ascii="Arial" w:cs="Arial" w:eastAsia="Arial" w:hAnsi="Arial"/>
                <w:sz w:val="20"/>
                <w:szCs w:val="20"/>
                <w:color w:val="auto"/>
                <w:w w:val="90"/>
              </w:rPr>
              <w:t xml:space="preserve">Senior Unsecured Debt </w:t>
            </w:r>
            <w:r>
              <w:rPr>
                <w:rFonts w:ascii="Arial" w:cs="Arial" w:eastAsia="Arial" w:hAnsi="Arial"/>
                <w:sz w:val="20"/>
                <w:szCs w:val="20"/>
                <w:color w:val="B4B4B4"/>
                <w:w w:val="90"/>
              </w:rPr>
              <w:t>. . . . . . . . . . . . . . . . . . . . . . . . . . . . . . . . . . . . . . .</w:t>
            </w:r>
          </w:p>
        </w:tc>
        <w:tc>
          <w:tcPr>
            <w:tcW w:w="1380" w:type="dxa"/>
            <w:vAlign w:val="bottom"/>
          </w:tcPr>
          <w:p>
            <w:pPr>
              <w:jc w:val="center"/>
              <w:spacing w:after="0"/>
              <w:rPr>
                <w:sz w:val="20"/>
                <w:szCs w:val="20"/>
                <w:color w:val="auto"/>
              </w:rPr>
            </w:pPr>
            <w:r>
              <w:rPr>
                <w:rFonts w:ascii="Arial" w:cs="Arial" w:eastAsia="Arial" w:hAnsi="Arial"/>
                <w:sz w:val="20"/>
                <w:szCs w:val="20"/>
                <w:color w:val="auto"/>
                <w:w w:val="97"/>
              </w:rPr>
              <w:t>BB</w:t>
            </w:r>
          </w:p>
        </w:tc>
        <w:tc>
          <w:tcPr>
            <w:tcW w:w="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89"/>
              </w:rPr>
              <w:t>Ba2</w:t>
            </w:r>
          </w:p>
        </w:tc>
        <w:tc>
          <w:tcPr>
            <w:tcW w:w="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98"/>
              </w:rPr>
              <w:t>BB+</w:t>
            </w:r>
          </w:p>
        </w:tc>
      </w:tr>
      <w:tr>
        <w:trPr>
          <w:trHeight w:val="312"/>
        </w:trPr>
        <w:tc>
          <w:tcPr>
            <w:tcW w:w="5800" w:type="dxa"/>
            <w:vAlign w:val="bottom"/>
          </w:tcPr>
          <w:p>
            <w:pPr>
              <w:spacing w:after="0"/>
              <w:rPr>
                <w:sz w:val="20"/>
                <w:szCs w:val="20"/>
                <w:color w:val="auto"/>
              </w:rPr>
            </w:pPr>
            <w:r>
              <w:rPr>
                <w:rFonts w:ascii="Arial" w:cs="Arial" w:eastAsia="Arial" w:hAnsi="Arial"/>
                <w:sz w:val="20"/>
                <w:szCs w:val="20"/>
                <w:color w:val="auto"/>
                <w:w w:val="90"/>
              </w:rPr>
              <w:t xml:space="preserve">Preferred Stock </w:t>
            </w:r>
            <w:r>
              <w:rPr>
                <w:rFonts w:ascii="Arial" w:cs="Arial" w:eastAsia="Arial" w:hAnsi="Arial"/>
                <w:sz w:val="20"/>
                <w:szCs w:val="20"/>
                <w:color w:val="B4B4B4"/>
                <w:w w:val="90"/>
              </w:rPr>
              <w:t>. . . . . . . . . . . . . . . . . . . . . . . . . . . . . . . . . . . . . . . . . . . . .</w:t>
            </w:r>
          </w:p>
        </w:tc>
        <w:tc>
          <w:tcPr>
            <w:tcW w:w="1380" w:type="dxa"/>
            <w:vAlign w:val="bottom"/>
          </w:tcPr>
          <w:p>
            <w:pPr>
              <w:jc w:val="center"/>
              <w:spacing w:after="0"/>
              <w:rPr>
                <w:sz w:val="20"/>
                <w:szCs w:val="20"/>
                <w:color w:val="auto"/>
              </w:rPr>
            </w:pPr>
            <w:r>
              <w:rPr>
                <w:rFonts w:ascii="Arial" w:cs="Arial" w:eastAsia="Arial" w:hAnsi="Arial"/>
                <w:sz w:val="20"/>
                <w:szCs w:val="20"/>
                <w:color w:val="auto"/>
                <w:w w:val="89"/>
              </w:rPr>
              <w:t>B</w:t>
            </w:r>
          </w:p>
        </w:tc>
        <w:tc>
          <w:tcPr>
            <w:tcW w:w="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89"/>
              </w:rPr>
              <w:t>Ba3</w:t>
            </w:r>
          </w:p>
        </w:tc>
        <w:tc>
          <w:tcPr>
            <w:tcW w:w="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rPr>
              <w:t>BB-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-768350</wp:posOffset>
            </wp:positionV>
            <wp:extent cx="6475095" cy="789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0">
                      <a:extLst>
                        <a:ext uri="{28A0092B-C50C-407E-A947-70E740481C1C}"/>
                      </a:extLst>
                    </a:blip>
                    <a:srcRect/>
                    <a:stretch>
                      <a:fillRect/>
                    </a:stretch>
                  </pic:blipFill>
                  <pic:spPr bwMode="auto">
                    <a:xfrm>
                      <a:off x="0" y="0"/>
                      <a:ext cx="6475095" cy="789305"/>
                    </a:xfrm>
                    <a:prstGeom prst="rect">
                      <a:avLst/>
                    </a:prstGeom>
                    <a:noFill/>
                  </pic:spPr>
                </pic:pic>
              </a:graphicData>
            </a:graphic>
          </wp:anchor>
        </w:drawing>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Liquidity</w:t>
      </w:r>
    </w:p>
    <w:p>
      <w:pPr>
        <w:spacing w:after="0" w:line="13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 xml:space="preserve">The principal sources of liquidity for NRG's operating and capital expenditures are expected to be derived from cash on hand, cash flows from operations and financing arrangements. As described in Item 15 — Note 12, </w:t>
      </w:r>
      <w:r>
        <w:rPr>
          <w:rFonts w:ascii="Arial" w:cs="Arial" w:eastAsia="Arial" w:hAnsi="Arial"/>
          <w:sz w:val="20"/>
          <w:szCs w:val="20"/>
          <w:b w:val="1"/>
          <w:bCs w:val="1"/>
          <w:i w:val="1"/>
          <w:iCs w:val="1"/>
          <w:color w:val="auto"/>
        </w:rPr>
        <w:t>Long-term Debt and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Finance Leases, </w:t>
      </w:r>
      <w:r>
        <w:rPr>
          <w:rFonts w:ascii="Arial" w:cs="Arial" w:eastAsia="Arial" w:hAnsi="Arial"/>
          <w:sz w:val="20"/>
          <w:szCs w:val="20"/>
          <w:color w:val="auto"/>
        </w:rPr>
        <w:t>to the Consolidated Financial Statements, the Company's financing arrangements consist mainly of the Senior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Notes, Convertible Senior Notes, Senior Secured First Lien Notes, Revolving Credit Facility, the Receivables Securitization Facilities and tax-exempt bonds. The Company also issues letters of credit through bilateral letter of credit facilities and the pre-capitalized trust securities facility.</w:t>
      </w:r>
    </w:p>
    <w:p>
      <w:pPr>
        <w:spacing w:after="0" w:line="90"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color w:val="auto"/>
        </w:rPr>
        <w:t xml:space="preserve">The Company's requirements for liquidity and capital resources, other than for operating its facilities, can generally be categorized by the following: (i) market operations activities; (ii) debt service obligations, as described more fully in Item 15 — Note 12, </w:t>
      </w:r>
      <w:r>
        <w:rPr>
          <w:rFonts w:ascii="Arial" w:cs="Arial" w:eastAsia="Arial" w:hAnsi="Arial"/>
          <w:sz w:val="19"/>
          <w:szCs w:val="19"/>
          <w:b w:val="1"/>
          <w:bCs w:val="1"/>
          <w:i w:val="1"/>
          <w:iCs w:val="1"/>
          <w:color w:val="auto"/>
        </w:rPr>
        <w:t>Long-term Debt and Finance Leases</w:t>
      </w:r>
      <w:r>
        <w:rPr>
          <w:rFonts w:ascii="Arial" w:cs="Arial" w:eastAsia="Arial" w:hAnsi="Arial"/>
          <w:sz w:val="19"/>
          <w:szCs w:val="19"/>
          <w:color w:val="auto"/>
        </w:rPr>
        <w:t xml:space="preserve">, to the Consolidated Financial Statements; (iii) capital expenditures, including maintenance, environmental, and investments and integration; and (iv) allocations in connection with acquisition opportunities, debt repayments, share repurchases and dividend payments to stockholders, as described in Item 15 — Note 15, </w:t>
      </w:r>
      <w:r>
        <w:rPr>
          <w:rFonts w:ascii="Arial" w:cs="Arial" w:eastAsia="Arial" w:hAnsi="Arial"/>
          <w:sz w:val="19"/>
          <w:szCs w:val="19"/>
          <w:b w:val="1"/>
          <w:bCs w:val="1"/>
          <w:i w:val="1"/>
          <w:iCs w:val="1"/>
          <w:color w:val="auto"/>
        </w:rPr>
        <w:t>Capital Structure</w:t>
      </w:r>
      <w:r>
        <w:rPr>
          <w:rFonts w:ascii="Arial" w:cs="Arial" w:eastAsia="Arial" w:hAnsi="Arial"/>
          <w:sz w:val="19"/>
          <w:szCs w:val="19"/>
          <w:color w:val="auto"/>
        </w:rPr>
        <w:t>, to the Consolidated Financial Statements.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Sale of Airtron</w:t>
      </w:r>
    </w:p>
    <w:p>
      <w:pPr>
        <w:spacing w:after="0" w:line="130" w:lineRule="exact"/>
        <w:rPr>
          <w:sz w:val="20"/>
          <w:szCs w:val="20"/>
          <w:color w:val="auto"/>
        </w:rPr>
      </w:pPr>
    </w:p>
    <w:p>
      <w:pPr>
        <w:jc w:val="both"/>
        <w:ind w:firstLine="445"/>
        <w:spacing w:after="0" w:line="335" w:lineRule="auto"/>
        <w:rPr>
          <w:sz w:val="20"/>
          <w:szCs w:val="20"/>
          <w:color w:val="auto"/>
        </w:rPr>
      </w:pPr>
      <w:r>
        <w:rPr>
          <w:rFonts w:ascii="Arial" w:cs="Arial" w:eastAsia="Arial" w:hAnsi="Arial"/>
          <w:sz w:val="18"/>
          <w:szCs w:val="18"/>
          <w:color w:val="auto"/>
        </w:rPr>
        <w:t>On September 16, 2024, the Company closed on the sale of its 100% ownership in the Airtron business unit. Proceeds of $500 million were reduced by working capital and other adjustments of $20 million, resulting in net proceeds of $480 million.</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Senior Credit Facility</w:t>
      </w:r>
    </w:p>
    <w:p>
      <w:pPr>
        <w:spacing w:after="0" w:line="130"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On April 16, 2024, the Company, as borrower, and certain of its subsidiaries, as guarantors, entered into the Eighth Amendment, which amended the Credit Agreement, in order to (i) establish the Existing Term Loan B Facility with borrowings of $875 million in aggregate principal amount and the Existing Term Loans and (ii) make certain other modifications to the Credit Agreement as set forth therein. The proceeds from the Existing Term Loans were used to repay a portion of the Company’s Convertible Senior notes, all of the Company’s 3.750% senior secured first lien notes due 2024 and for general corporate purposes.</w:t>
      </w:r>
    </w:p>
    <w:p>
      <w:pPr>
        <w:spacing w:after="0" w:line="90" w:lineRule="exact"/>
        <w:rPr>
          <w:sz w:val="20"/>
          <w:szCs w:val="20"/>
          <w:color w:val="auto"/>
        </w:rPr>
      </w:pPr>
    </w:p>
    <w:p>
      <w:pPr>
        <w:jc w:val="both"/>
        <w:ind w:firstLine="445"/>
        <w:spacing w:after="0" w:line="283" w:lineRule="auto"/>
        <w:rPr>
          <w:sz w:val="20"/>
          <w:szCs w:val="20"/>
          <w:color w:val="auto"/>
        </w:rPr>
      </w:pPr>
      <w:r>
        <w:rPr>
          <w:rFonts w:ascii="Arial" w:cs="Arial" w:eastAsia="Arial" w:hAnsi="Arial"/>
          <w:sz w:val="19"/>
          <w:szCs w:val="19"/>
          <w:color w:val="auto"/>
        </w:rPr>
        <w:t xml:space="preserve">On April 22, 2024, the Company, as borrower, and certain of its subsidiaries, as guarantors, entered into the Ninth Amendment to its Revolving Credit Facility to extend the maturity date of a portion of the revolving commitments thereunder to February 14, 2028. For further discussion, see Item 15 — Note 12, </w:t>
      </w:r>
      <w:r>
        <w:rPr>
          <w:rFonts w:ascii="Arial" w:cs="Arial" w:eastAsia="Arial" w:hAnsi="Arial"/>
          <w:sz w:val="19"/>
          <w:szCs w:val="19"/>
          <w:b w:val="1"/>
          <w:bCs w:val="1"/>
          <w:i w:val="1"/>
          <w:iCs w:val="1"/>
          <w:color w:val="auto"/>
        </w:rPr>
        <w:t>Long-term Debt and Finance Leases.</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880" w:h="15480" w:orient="portrait"/>
          <w:cols w:equalWidth="0" w:num="1">
            <w:col w:w="10160"/>
          </w:cols>
          <w:pgMar w:left="860" w:top="512" w:right="860" w:bottom="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62"/>
        </w:trPr>
        <w:tc>
          <w:tcPr>
            <w:tcW w:w="3080" w:type="dxa"/>
            <w:vAlign w:val="bottom"/>
          </w:tcPr>
          <w:p>
            <w:pPr>
              <w:ind w:left="440"/>
              <w:spacing w:after="0"/>
              <w:rPr>
                <w:sz w:val="20"/>
                <w:szCs w:val="20"/>
                <w:color w:val="auto"/>
              </w:rPr>
            </w:pPr>
            <w:r>
              <w:rPr>
                <w:rFonts w:ascii="Arial" w:cs="Arial" w:eastAsia="Arial" w:hAnsi="Arial"/>
                <w:sz w:val="20"/>
                <w:szCs w:val="20"/>
                <w:b w:val="1"/>
                <w:bCs w:val="1"/>
                <w:i w:val="1"/>
                <w:iCs w:val="1"/>
                <w:color w:val="auto"/>
                <w:w w:val="88"/>
              </w:rPr>
              <w:t>Debt Refinancing Transactions</w:t>
            </w: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6"/>
        </w:trPr>
        <w:tc>
          <w:tcPr>
            <w:tcW w:w="8180" w:type="dxa"/>
            <w:vAlign w:val="bottom"/>
            <w:gridSpan w:val="4"/>
          </w:tcPr>
          <w:p>
            <w:pPr>
              <w:ind w:left="440"/>
              <w:spacing w:after="0"/>
              <w:rPr>
                <w:sz w:val="20"/>
                <w:szCs w:val="20"/>
                <w:color w:val="auto"/>
              </w:rPr>
            </w:pPr>
            <w:r>
              <w:rPr>
                <w:rFonts w:ascii="Arial" w:cs="Arial" w:eastAsia="Arial" w:hAnsi="Arial"/>
                <w:sz w:val="20"/>
                <w:szCs w:val="20"/>
                <w:color w:val="auto"/>
              </w:rPr>
              <w:t>In the fourth quarter of 2024, the Company entered into the following debt transactions:</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3080" w:type="dxa"/>
            <w:vAlign w:val="bottom"/>
            <w:tcBorders>
              <w:bottom w:val="single" w:sz="8" w:color="auto"/>
            </w:tcBorders>
          </w:tcPr>
          <w:p>
            <w:pPr>
              <w:ind w:left="2200"/>
              <w:spacing w:after="0"/>
              <w:rPr>
                <w:sz w:val="20"/>
                <w:szCs w:val="20"/>
                <w:color w:val="auto"/>
              </w:rPr>
            </w:pPr>
            <w:r>
              <w:rPr>
                <w:rFonts w:ascii="Arial" w:cs="Arial" w:eastAsia="Arial" w:hAnsi="Arial"/>
                <w:sz w:val="20"/>
                <w:szCs w:val="20"/>
                <w:b w:val="1"/>
                <w:bCs w:val="1"/>
                <w:color w:val="auto"/>
              </w:rPr>
              <w:t>Sources</w:t>
            </w:r>
          </w:p>
        </w:tc>
        <w:tc>
          <w:tcPr>
            <w:tcW w:w="1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Borders>
              <w:bottom w:val="single" w:sz="8" w:color="auto"/>
            </w:tcBorders>
          </w:tcPr>
          <w:p>
            <w:pPr>
              <w:ind w:left="2300"/>
              <w:spacing w:after="0"/>
              <w:rPr>
                <w:sz w:val="20"/>
                <w:szCs w:val="20"/>
                <w:color w:val="auto"/>
              </w:rPr>
            </w:pPr>
            <w:r>
              <w:rPr>
                <w:rFonts w:ascii="Arial" w:cs="Arial" w:eastAsia="Arial" w:hAnsi="Arial"/>
                <w:sz w:val="20"/>
                <w:szCs w:val="20"/>
                <w:b w:val="1"/>
                <w:bCs w:val="1"/>
                <w:color w:val="auto"/>
              </w:rPr>
              <w:t>Uses</w:t>
            </w:r>
          </w:p>
        </w:tc>
        <w:tc>
          <w:tcPr>
            <w:tcW w:w="2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80" w:type="dxa"/>
            <w:vAlign w:val="bottom"/>
          </w:tcPr>
          <w:p>
            <w:pPr>
              <w:ind w:left="60"/>
              <w:spacing w:after="0" w:line="209" w:lineRule="exact"/>
              <w:rPr>
                <w:sz w:val="20"/>
                <w:szCs w:val="20"/>
                <w:color w:val="auto"/>
              </w:rPr>
            </w:pPr>
            <w:r>
              <w:rPr>
                <w:rFonts w:ascii="Arial" w:cs="Arial" w:eastAsia="Arial" w:hAnsi="Arial"/>
                <w:sz w:val="20"/>
                <w:szCs w:val="20"/>
                <w:color w:val="auto"/>
                <w:w w:val="95"/>
              </w:rPr>
              <w:t>Issuance by NRG of 6.000% Senior</w:t>
            </w:r>
          </w:p>
        </w:tc>
        <w:tc>
          <w:tcPr>
            <w:tcW w:w="1980" w:type="dxa"/>
            <w:vAlign w:val="bottom"/>
            <w:vMerge w:val="restart"/>
          </w:tcPr>
          <w:p>
            <w:pPr>
              <w:jc w:val="right"/>
              <w:spacing w:after="0"/>
              <w:rPr>
                <w:sz w:val="20"/>
                <w:szCs w:val="20"/>
                <w:color w:val="auto"/>
              </w:rPr>
            </w:pPr>
            <w:r>
              <w:rPr>
                <w:rFonts w:ascii="Arial" w:cs="Arial" w:eastAsia="Arial" w:hAnsi="Arial"/>
                <w:sz w:val="20"/>
                <w:szCs w:val="20"/>
                <w:color w:val="auto"/>
              </w:rPr>
              <w:t>$925 million</w:t>
            </w:r>
          </w:p>
        </w:tc>
        <w:tc>
          <w:tcPr>
            <w:tcW w:w="100" w:type="dxa"/>
            <w:vAlign w:val="bottom"/>
          </w:tcPr>
          <w:p>
            <w:pPr>
              <w:spacing w:after="0"/>
              <w:rPr>
                <w:sz w:val="18"/>
                <w:szCs w:val="18"/>
                <w:color w:val="auto"/>
              </w:rPr>
            </w:pPr>
          </w:p>
        </w:tc>
        <w:tc>
          <w:tcPr>
            <w:tcW w:w="3020" w:type="dxa"/>
            <w:vAlign w:val="bottom"/>
          </w:tcPr>
          <w:p>
            <w:pPr>
              <w:ind w:left="40"/>
              <w:spacing w:after="0" w:line="209" w:lineRule="exact"/>
              <w:rPr>
                <w:sz w:val="20"/>
                <w:szCs w:val="20"/>
                <w:color w:val="auto"/>
              </w:rPr>
            </w:pPr>
            <w:r>
              <w:rPr>
                <w:rFonts w:ascii="Arial" w:cs="Arial" w:eastAsia="Arial" w:hAnsi="Arial"/>
                <w:sz w:val="20"/>
                <w:szCs w:val="20"/>
                <w:color w:val="auto"/>
              </w:rPr>
              <w:t>Repayment of the Vivint Senior</w:t>
            </w:r>
          </w:p>
        </w:tc>
        <w:tc>
          <w:tcPr>
            <w:tcW w:w="2000" w:type="dxa"/>
            <w:vAlign w:val="bottom"/>
            <w:tcBorders>
              <w:right w:val="single" w:sz="8" w:color="E6E6E6"/>
            </w:tcBorders>
            <w:vMerge w:val="restart"/>
          </w:tcPr>
          <w:p>
            <w:pPr>
              <w:jc w:val="right"/>
              <w:spacing w:after="0"/>
              <w:rPr>
                <w:sz w:val="20"/>
                <w:szCs w:val="20"/>
                <w:color w:val="auto"/>
              </w:rPr>
            </w:pPr>
            <w:r>
              <w:rPr>
                <w:rFonts w:ascii="Arial" w:cs="Arial" w:eastAsia="Arial" w:hAnsi="Arial"/>
                <w:sz w:val="20"/>
                <w:szCs w:val="20"/>
                <w:color w:val="auto"/>
              </w:rPr>
              <w:t>$1.310 billion</w:t>
            </w:r>
          </w:p>
        </w:tc>
        <w:tc>
          <w:tcPr>
            <w:tcW w:w="0" w:type="dxa"/>
            <w:vAlign w:val="bottom"/>
          </w:tcPr>
          <w:p>
            <w:pPr>
              <w:spacing w:after="0"/>
              <w:rPr>
                <w:sz w:val="1"/>
                <w:szCs w:val="1"/>
                <w:color w:val="auto"/>
              </w:rPr>
            </w:pPr>
          </w:p>
        </w:tc>
      </w:tr>
      <w:tr>
        <w:trPr>
          <w:trHeight w:val="270"/>
        </w:trPr>
        <w:tc>
          <w:tcPr>
            <w:tcW w:w="3080" w:type="dxa"/>
            <w:vAlign w:val="bottom"/>
          </w:tcPr>
          <w:p>
            <w:pPr>
              <w:ind w:left="60"/>
              <w:spacing w:after="0"/>
              <w:rPr>
                <w:sz w:val="20"/>
                <w:szCs w:val="20"/>
                <w:color w:val="auto"/>
              </w:rPr>
            </w:pPr>
            <w:r>
              <w:rPr>
                <w:rFonts w:ascii="Arial" w:cs="Arial" w:eastAsia="Arial" w:hAnsi="Arial"/>
                <w:sz w:val="20"/>
                <w:szCs w:val="20"/>
                <w:color w:val="auto"/>
                <w:w w:val="93"/>
              </w:rPr>
              <w:t xml:space="preserve">Notes due 2033 </w:t>
            </w:r>
            <w:r>
              <w:rPr>
                <w:rFonts w:ascii="Arial" w:cs="Arial" w:eastAsia="Arial" w:hAnsi="Arial"/>
                <w:sz w:val="20"/>
                <w:szCs w:val="20"/>
                <w:color w:val="B4B4B4"/>
                <w:w w:val="93"/>
              </w:rPr>
              <w:t>. . . . . . . . . . . . . . . .</w:t>
            </w:r>
          </w:p>
        </w:tc>
        <w:tc>
          <w:tcPr>
            <w:tcW w:w="19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3020" w:type="dxa"/>
            <w:vAlign w:val="bottom"/>
          </w:tcPr>
          <w:p>
            <w:pPr>
              <w:ind w:left="40"/>
              <w:spacing w:after="0"/>
              <w:rPr>
                <w:sz w:val="20"/>
                <w:szCs w:val="20"/>
                <w:color w:val="auto"/>
              </w:rPr>
            </w:pPr>
            <w:r>
              <w:rPr>
                <w:rFonts w:ascii="Arial" w:cs="Arial" w:eastAsia="Arial" w:hAnsi="Arial"/>
                <w:sz w:val="20"/>
                <w:szCs w:val="20"/>
                <w:color w:val="auto"/>
                <w:w w:val="96"/>
              </w:rPr>
              <w:t xml:space="preserve">Secured Term Loan B </w:t>
            </w:r>
            <w:r>
              <w:rPr>
                <w:rFonts w:ascii="Arial" w:cs="Arial" w:eastAsia="Arial" w:hAnsi="Arial"/>
                <w:sz w:val="20"/>
                <w:szCs w:val="20"/>
                <w:color w:val="B4B4B4"/>
                <w:w w:val="96"/>
              </w:rPr>
              <w:t>. . . . . . . . . .</w:t>
            </w:r>
          </w:p>
        </w:tc>
        <w:tc>
          <w:tcPr>
            <w:tcW w:w="2000" w:type="dxa"/>
            <w:vAlign w:val="bottom"/>
            <w:tcBorders>
              <w:right w:val="single" w:sz="8" w:color="E6E6E6"/>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80" w:type="dxa"/>
            <w:vAlign w:val="bottom"/>
            <w:vMerge w:val="restart"/>
          </w:tcPr>
          <w:p>
            <w:pPr>
              <w:ind w:left="60"/>
              <w:spacing w:after="0"/>
              <w:rPr>
                <w:sz w:val="20"/>
                <w:szCs w:val="20"/>
                <w:color w:val="auto"/>
              </w:rPr>
            </w:pPr>
            <w:r>
              <w:rPr>
                <w:rFonts w:ascii="Arial" w:cs="Arial" w:eastAsia="Arial" w:hAnsi="Arial"/>
                <w:sz w:val="20"/>
                <w:szCs w:val="20"/>
                <w:color w:val="auto"/>
                <w:w w:val="95"/>
              </w:rPr>
              <w:t>Issuance by NRG of 6.250% Senior</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tcPr>
          <w:p>
            <w:pPr>
              <w:ind w:left="40"/>
              <w:spacing w:after="0"/>
              <w:rPr>
                <w:sz w:val="20"/>
                <w:szCs w:val="20"/>
                <w:color w:val="auto"/>
              </w:rPr>
            </w:pPr>
            <w:r>
              <w:rPr>
                <w:rFonts w:ascii="Arial" w:cs="Arial" w:eastAsia="Arial" w:hAnsi="Arial"/>
                <w:sz w:val="20"/>
                <w:szCs w:val="20"/>
                <w:color w:val="auto"/>
              </w:rPr>
              <w:t>Cash tender offer for Vivint</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080" w:type="dxa"/>
            <w:vAlign w:val="bottom"/>
            <w:vMerge w:val="continue"/>
          </w:tcPr>
          <w:p>
            <w:pPr>
              <w:spacing w:after="0"/>
              <w:rPr>
                <w:sz w:val="17"/>
                <w:szCs w:val="17"/>
                <w:color w:val="auto"/>
              </w:rPr>
            </w:pPr>
          </w:p>
        </w:tc>
        <w:tc>
          <w:tcPr>
            <w:tcW w:w="1980" w:type="dxa"/>
            <w:vAlign w:val="bottom"/>
            <w:vMerge w:val="restart"/>
          </w:tcPr>
          <w:p>
            <w:pPr>
              <w:jc w:val="right"/>
              <w:spacing w:after="0"/>
              <w:rPr>
                <w:sz w:val="20"/>
                <w:szCs w:val="20"/>
                <w:color w:val="auto"/>
              </w:rPr>
            </w:pPr>
            <w:r>
              <w:rPr>
                <w:rFonts w:ascii="Arial" w:cs="Arial" w:eastAsia="Arial" w:hAnsi="Arial"/>
                <w:sz w:val="20"/>
                <w:szCs w:val="20"/>
                <w:color w:val="auto"/>
              </w:rPr>
              <w:t>$950 million</w:t>
            </w:r>
          </w:p>
        </w:tc>
        <w:tc>
          <w:tcPr>
            <w:tcW w:w="100" w:type="dxa"/>
            <w:vAlign w:val="bottom"/>
          </w:tcPr>
          <w:p>
            <w:pPr>
              <w:spacing w:after="0"/>
              <w:rPr>
                <w:sz w:val="17"/>
                <w:szCs w:val="17"/>
                <w:color w:val="auto"/>
              </w:rPr>
            </w:pPr>
          </w:p>
        </w:tc>
        <w:tc>
          <w:tcPr>
            <w:tcW w:w="3020" w:type="dxa"/>
            <w:vAlign w:val="bottom"/>
          </w:tcPr>
          <w:p>
            <w:pPr>
              <w:ind w:left="40"/>
              <w:spacing w:after="0" w:line="198" w:lineRule="exact"/>
              <w:rPr>
                <w:sz w:val="20"/>
                <w:szCs w:val="20"/>
                <w:color w:val="auto"/>
              </w:rPr>
            </w:pPr>
            <w:r>
              <w:rPr>
                <w:rFonts w:ascii="Arial" w:cs="Arial" w:eastAsia="Arial" w:hAnsi="Arial"/>
                <w:sz w:val="20"/>
                <w:szCs w:val="20"/>
                <w:color w:val="auto"/>
                <w:w w:val="96"/>
              </w:rPr>
              <w:t>6.750% Senior Secured Notes due</w:t>
            </w: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$600 million</w:t>
            </w:r>
          </w:p>
        </w:tc>
        <w:tc>
          <w:tcPr>
            <w:tcW w:w="0" w:type="dxa"/>
            <w:vAlign w:val="bottom"/>
          </w:tcPr>
          <w:p>
            <w:pPr>
              <w:spacing w:after="0"/>
              <w:rPr>
                <w:sz w:val="1"/>
                <w:szCs w:val="1"/>
                <w:color w:val="auto"/>
              </w:rPr>
            </w:pPr>
          </w:p>
        </w:tc>
      </w:tr>
      <w:tr>
        <w:trPr>
          <w:trHeight w:val="270"/>
        </w:trPr>
        <w:tc>
          <w:tcPr>
            <w:tcW w:w="3080" w:type="dxa"/>
            <w:vAlign w:val="bottom"/>
          </w:tcPr>
          <w:p>
            <w:pPr>
              <w:ind w:left="60"/>
              <w:spacing w:after="0"/>
              <w:rPr>
                <w:sz w:val="20"/>
                <w:szCs w:val="20"/>
                <w:color w:val="auto"/>
              </w:rPr>
            </w:pPr>
            <w:r>
              <w:rPr>
                <w:rFonts w:ascii="Arial" w:cs="Arial" w:eastAsia="Arial" w:hAnsi="Arial"/>
                <w:sz w:val="20"/>
                <w:szCs w:val="20"/>
                <w:color w:val="auto"/>
                <w:w w:val="93"/>
              </w:rPr>
              <w:t xml:space="preserve">Notes due 2034 </w:t>
            </w:r>
            <w:r>
              <w:rPr>
                <w:rFonts w:ascii="Arial" w:cs="Arial" w:eastAsia="Arial" w:hAnsi="Arial"/>
                <w:sz w:val="20"/>
                <w:szCs w:val="20"/>
                <w:color w:val="B4B4B4"/>
                <w:w w:val="93"/>
              </w:rPr>
              <w:t>. . . . . . . . . . . . . . . .</w:t>
            </w:r>
          </w:p>
        </w:tc>
        <w:tc>
          <w:tcPr>
            <w:tcW w:w="19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3020" w:type="dxa"/>
            <w:vAlign w:val="bottom"/>
          </w:tcPr>
          <w:p>
            <w:pPr>
              <w:ind w:left="40"/>
              <w:spacing w:after="0" w:line="270" w:lineRule="exact"/>
              <w:rPr>
                <w:sz w:val="20"/>
                <w:szCs w:val="20"/>
                <w:color w:val="auto"/>
              </w:rPr>
            </w:pPr>
            <w:r>
              <w:rPr>
                <w:rFonts w:ascii="Arial" w:cs="Arial" w:eastAsia="Arial" w:hAnsi="Arial"/>
                <w:sz w:val="20"/>
                <w:szCs w:val="20"/>
                <w:color w:val="auto"/>
                <w:w w:val="92"/>
              </w:rPr>
              <w:t>2027</w:t>
            </w:r>
            <w:r>
              <w:rPr>
                <w:rFonts w:ascii="Arial" w:cs="Arial" w:eastAsia="Arial" w:hAnsi="Arial"/>
                <w:sz w:val="25"/>
                <w:szCs w:val="25"/>
                <w:color w:val="auto"/>
                <w:w w:val="92"/>
                <w:vertAlign w:val="superscript"/>
              </w:rPr>
              <w:t>(a)</w:t>
            </w:r>
            <w:r>
              <w:rPr>
                <w:rFonts w:ascii="Arial" w:cs="Arial" w:eastAsia="Arial" w:hAnsi="Arial"/>
                <w:sz w:val="20"/>
                <w:szCs w:val="20"/>
                <w:color w:val="auto"/>
                <w:w w:val="92"/>
              </w:rPr>
              <w:t xml:space="preserve"> </w:t>
            </w:r>
            <w:r>
              <w:rPr>
                <w:rFonts w:ascii="Arial" w:cs="Arial" w:eastAsia="Arial" w:hAnsi="Arial"/>
                <w:sz w:val="20"/>
                <w:szCs w:val="20"/>
                <w:color w:val="B4B4B4"/>
                <w:w w:val="92"/>
              </w:rPr>
              <w:t>. . . . . . . . . . . . . . . . . . . . . . .</w:t>
            </w:r>
          </w:p>
        </w:tc>
        <w:tc>
          <w:tcPr>
            <w:tcW w:w="20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60"/>
              <w:spacing w:after="0" w:line="220" w:lineRule="exact"/>
              <w:rPr>
                <w:sz w:val="20"/>
                <w:szCs w:val="20"/>
                <w:color w:val="auto"/>
              </w:rPr>
            </w:pPr>
            <w:r>
              <w:rPr>
                <w:rFonts w:ascii="Arial" w:cs="Arial" w:eastAsia="Arial" w:hAnsi="Arial"/>
                <w:sz w:val="20"/>
                <w:szCs w:val="20"/>
                <w:color w:val="auto"/>
              </w:rPr>
              <w:t>Exchange offer for New NRG</w:t>
            </w:r>
          </w:p>
        </w:tc>
        <w:tc>
          <w:tcPr>
            <w:tcW w:w="1980" w:type="dxa"/>
            <w:vAlign w:val="bottom"/>
            <w:vMerge w:val="restart"/>
          </w:tcPr>
          <w:p>
            <w:pPr>
              <w:jc w:val="right"/>
              <w:spacing w:after="0"/>
              <w:rPr>
                <w:sz w:val="20"/>
                <w:szCs w:val="20"/>
                <w:color w:val="auto"/>
              </w:rPr>
            </w:pPr>
            <w:r>
              <w:rPr>
                <w:rFonts w:ascii="Arial" w:cs="Arial" w:eastAsia="Arial" w:hAnsi="Arial"/>
                <w:sz w:val="20"/>
                <w:szCs w:val="20"/>
                <w:color w:val="auto"/>
              </w:rPr>
              <w:t>$798 million</w:t>
            </w:r>
          </w:p>
        </w:tc>
        <w:tc>
          <w:tcPr>
            <w:tcW w:w="100" w:type="dxa"/>
            <w:vAlign w:val="bottom"/>
          </w:tcPr>
          <w:p>
            <w:pPr>
              <w:spacing w:after="0"/>
              <w:rPr>
                <w:sz w:val="19"/>
                <w:szCs w:val="19"/>
                <w:color w:val="auto"/>
              </w:rPr>
            </w:pPr>
          </w:p>
        </w:tc>
        <w:tc>
          <w:tcPr>
            <w:tcW w:w="3020" w:type="dxa"/>
            <w:vAlign w:val="bottom"/>
          </w:tcPr>
          <w:p>
            <w:pPr>
              <w:ind w:left="40"/>
              <w:spacing w:after="0" w:line="220" w:lineRule="exact"/>
              <w:rPr>
                <w:sz w:val="20"/>
                <w:szCs w:val="20"/>
                <w:color w:val="auto"/>
              </w:rPr>
            </w:pPr>
            <w:r>
              <w:rPr>
                <w:rFonts w:ascii="Arial" w:cs="Arial" w:eastAsia="Arial" w:hAnsi="Arial"/>
                <w:sz w:val="20"/>
                <w:szCs w:val="20"/>
                <w:color w:val="auto"/>
              </w:rPr>
              <w:t>Exchange offer for Vivint 5.750%</w:t>
            </w:r>
          </w:p>
        </w:tc>
        <w:tc>
          <w:tcPr>
            <w:tcW w:w="2000" w:type="dxa"/>
            <w:vAlign w:val="bottom"/>
            <w:tcBorders>
              <w:right w:val="single" w:sz="8" w:color="E6E6E6"/>
            </w:tcBorders>
            <w:vMerge w:val="restart"/>
          </w:tcPr>
          <w:p>
            <w:pPr>
              <w:jc w:val="right"/>
              <w:spacing w:after="0"/>
              <w:rPr>
                <w:sz w:val="20"/>
                <w:szCs w:val="20"/>
                <w:color w:val="auto"/>
              </w:rPr>
            </w:pPr>
            <w:r>
              <w:rPr>
                <w:rFonts w:ascii="Arial" w:cs="Arial" w:eastAsia="Arial" w:hAnsi="Arial"/>
                <w:sz w:val="20"/>
                <w:szCs w:val="20"/>
                <w:color w:val="auto"/>
              </w:rPr>
              <w:t>$798 million</w:t>
            </w:r>
          </w:p>
        </w:tc>
        <w:tc>
          <w:tcPr>
            <w:tcW w:w="0" w:type="dxa"/>
            <w:vAlign w:val="bottom"/>
          </w:tcPr>
          <w:p>
            <w:pPr>
              <w:spacing w:after="0"/>
              <w:rPr>
                <w:sz w:val="1"/>
                <w:szCs w:val="1"/>
                <w:color w:val="auto"/>
              </w:rPr>
            </w:pPr>
          </w:p>
        </w:tc>
      </w:tr>
      <w:tr>
        <w:trPr>
          <w:trHeight w:val="270"/>
        </w:trPr>
        <w:tc>
          <w:tcPr>
            <w:tcW w:w="3080" w:type="dxa"/>
            <w:vAlign w:val="bottom"/>
          </w:tcPr>
          <w:p>
            <w:pPr>
              <w:ind w:left="60"/>
              <w:spacing w:after="0"/>
              <w:rPr>
                <w:sz w:val="20"/>
                <w:szCs w:val="20"/>
                <w:color w:val="auto"/>
              </w:rPr>
            </w:pPr>
            <w:r>
              <w:rPr>
                <w:rFonts w:ascii="Arial" w:cs="Arial" w:eastAsia="Arial" w:hAnsi="Arial"/>
                <w:sz w:val="20"/>
                <w:szCs w:val="20"/>
                <w:color w:val="auto"/>
                <w:w w:val="93"/>
              </w:rPr>
              <w:t xml:space="preserve">5.750% Senior Notes due 2029 </w:t>
            </w:r>
            <w:r>
              <w:rPr>
                <w:rFonts w:ascii="Arial" w:cs="Arial" w:eastAsia="Arial" w:hAnsi="Arial"/>
                <w:sz w:val="20"/>
                <w:szCs w:val="20"/>
                <w:color w:val="B4B4B4"/>
                <w:w w:val="93"/>
              </w:rPr>
              <w:t>. . . .</w:t>
            </w:r>
          </w:p>
        </w:tc>
        <w:tc>
          <w:tcPr>
            <w:tcW w:w="19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3020" w:type="dxa"/>
            <w:vAlign w:val="bottom"/>
          </w:tcPr>
          <w:p>
            <w:pPr>
              <w:ind w:left="40"/>
              <w:spacing w:after="0" w:line="270" w:lineRule="exact"/>
              <w:rPr>
                <w:sz w:val="20"/>
                <w:szCs w:val="20"/>
                <w:color w:val="auto"/>
              </w:rPr>
            </w:pPr>
            <w:r>
              <w:rPr>
                <w:rFonts w:ascii="Arial" w:cs="Arial" w:eastAsia="Arial" w:hAnsi="Arial"/>
                <w:sz w:val="20"/>
                <w:szCs w:val="20"/>
                <w:color w:val="auto"/>
                <w:w w:val="92"/>
              </w:rPr>
              <w:t>Senior Notes due 2029</w:t>
            </w:r>
            <w:r>
              <w:rPr>
                <w:rFonts w:ascii="Arial" w:cs="Arial" w:eastAsia="Arial" w:hAnsi="Arial"/>
                <w:sz w:val="25"/>
                <w:szCs w:val="25"/>
                <w:color w:val="auto"/>
                <w:w w:val="92"/>
                <w:vertAlign w:val="superscript"/>
              </w:rPr>
              <w:t>(b)</w:t>
            </w:r>
            <w:r>
              <w:rPr>
                <w:rFonts w:ascii="Arial" w:cs="Arial" w:eastAsia="Arial" w:hAnsi="Arial"/>
                <w:sz w:val="20"/>
                <w:szCs w:val="20"/>
                <w:color w:val="auto"/>
                <w:w w:val="92"/>
              </w:rPr>
              <w:t xml:space="preserve">  </w:t>
            </w:r>
            <w:r>
              <w:rPr>
                <w:rFonts w:ascii="Arial" w:cs="Arial" w:eastAsia="Arial" w:hAnsi="Arial"/>
                <w:sz w:val="20"/>
                <w:szCs w:val="20"/>
                <w:color w:val="B4B4B4"/>
                <w:w w:val="92"/>
              </w:rPr>
              <w:t>. . . . . . . .</w:t>
            </w:r>
          </w:p>
        </w:tc>
        <w:tc>
          <w:tcPr>
            <w:tcW w:w="2000" w:type="dxa"/>
            <w:vAlign w:val="bottom"/>
            <w:tcBorders>
              <w:right w:val="single" w:sz="8" w:color="E6E6E6"/>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60"/>
              <w:spacing w:after="0" w:line="220" w:lineRule="exact"/>
              <w:rPr>
                <w:sz w:val="20"/>
                <w:szCs w:val="20"/>
                <w:color w:val="auto"/>
              </w:rPr>
            </w:pPr>
            <w:r>
              <w:rPr>
                <w:rFonts w:ascii="Arial" w:cs="Arial" w:eastAsia="Arial" w:hAnsi="Arial"/>
                <w:sz w:val="20"/>
                <w:szCs w:val="20"/>
                <w:color w:val="auto"/>
                <w:w w:val="95"/>
              </w:rPr>
              <w:t>Incremental Term Loan B issued by</w:t>
            </w:r>
          </w:p>
        </w:tc>
        <w:tc>
          <w:tcPr>
            <w:tcW w:w="1980" w:type="dxa"/>
            <w:vAlign w:val="bottom"/>
            <w:vMerge w:val="restart"/>
          </w:tcPr>
          <w:p>
            <w:pPr>
              <w:jc w:val="right"/>
              <w:spacing w:after="0"/>
              <w:rPr>
                <w:sz w:val="20"/>
                <w:szCs w:val="20"/>
                <w:color w:val="auto"/>
              </w:rPr>
            </w:pPr>
            <w:r>
              <w:rPr>
                <w:rFonts w:ascii="Arial" w:cs="Arial" w:eastAsia="Arial" w:hAnsi="Arial"/>
                <w:sz w:val="20"/>
                <w:szCs w:val="20"/>
                <w:color w:val="auto"/>
              </w:rPr>
              <w:t>$450 million</w:t>
            </w:r>
          </w:p>
        </w:tc>
        <w:tc>
          <w:tcPr>
            <w:tcW w:w="100" w:type="dxa"/>
            <w:vAlign w:val="bottom"/>
          </w:tcPr>
          <w:p>
            <w:pPr>
              <w:spacing w:after="0"/>
              <w:rPr>
                <w:sz w:val="19"/>
                <w:szCs w:val="19"/>
                <w:color w:val="auto"/>
              </w:rPr>
            </w:pPr>
          </w:p>
        </w:tc>
        <w:tc>
          <w:tcPr>
            <w:tcW w:w="3020" w:type="dxa"/>
            <w:vAlign w:val="bottom"/>
          </w:tcPr>
          <w:p>
            <w:pPr>
              <w:ind w:left="40"/>
              <w:spacing w:after="0" w:line="220" w:lineRule="exact"/>
              <w:rPr>
                <w:sz w:val="20"/>
                <w:szCs w:val="20"/>
                <w:color w:val="auto"/>
              </w:rPr>
            </w:pPr>
            <w:r>
              <w:rPr>
                <w:rFonts w:ascii="Arial" w:cs="Arial" w:eastAsia="Arial" w:hAnsi="Arial"/>
                <w:sz w:val="20"/>
                <w:szCs w:val="20"/>
                <w:color w:val="auto"/>
                <w:w w:val="95"/>
              </w:rPr>
              <w:t>Repayment of NRG 6.625% Senior</w:t>
            </w: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$375 million</w:t>
            </w:r>
          </w:p>
        </w:tc>
        <w:tc>
          <w:tcPr>
            <w:tcW w:w="0" w:type="dxa"/>
            <w:vAlign w:val="bottom"/>
          </w:tcPr>
          <w:p>
            <w:pPr>
              <w:spacing w:after="0"/>
              <w:rPr>
                <w:sz w:val="1"/>
                <w:szCs w:val="1"/>
                <w:color w:val="auto"/>
              </w:rPr>
            </w:pPr>
          </w:p>
        </w:tc>
      </w:tr>
      <w:tr>
        <w:trPr>
          <w:trHeight w:val="258"/>
        </w:trPr>
        <w:tc>
          <w:tcPr>
            <w:tcW w:w="3080" w:type="dxa"/>
            <w:vAlign w:val="bottom"/>
          </w:tcPr>
          <w:p>
            <w:pPr>
              <w:ind w:left="60"/>
              <w:spacing w:after="0"/>
              <w:rPr>
                <w:sz w:val="20"/>
                <w:szCs w:val="20"/>
                <w:color w:val="auto"/>
              </w:rPr>
            </w:pPr>
            <w:r>
              <w:rPr>
                <w:rFonts w:ascii="Arial" w:cs="Arial" w:eastAsia="Arial" w:hAnsi="Arial"/>
                <w:sz w:val="20"/>
                <w:szCs w:val="20"/>
                <w:color w:val="auto"/>
                <w:w w:val="96"/>
              </w:rPr>
              <w:t xml:space="preserve">NRG </w:t>
            </w:r>
            <w:r>
              <w:rPr>
                <w:rFonts w:ascii="Arial" w:cs="Arial" w:eastAsia="Arial" w:hAnsi="Arial"/>
                <w:sz w:val="20"/>
                <w:szCs w:val="20"/>
                <w:color w:val="B4B4B4"/>
                <w:w w:val="96"/>
              </w:rPr>
              <w:t>. . . . . . . . . . . . . . . . . . . . . . . .</w:t>
            </w:r>
          </w:p>
        </w:tc>
        <w:tc>
          <w:tcPr>
            <w:tcW w:w="19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3020" w:type="dxa"/>
            <w:vAlign w:val="bottom"/>
          </w:tcPr>
          <w:p>
            <w:pPr>
              <w:ind w:left="40"/>
              <w:spacing w:after="0"/>
              <w:rPr>
                <w:sz w:val="20"/>
                <w:szCs w:val="20"/>
                <w:color w:val="auto"/>
              </w:rPr>
            </w:pPr>
            <w:r>
              <w:rPr>
                <w:rFonts w:ascii="Arial" w:cs="Arial" w:eastAsia="Arial" w:hAnsi="Arial"/>
                <w:sz w:val="20"/>
                <w:szCs w:val="20"/>
                <w:color w:val="auto"/>
                <w:w w:val="94"/>
              </w:rPr>
              <w:t xml:space="preserve">Notes due 2027  </w:t>
            </w:r>
            <w:r>
              <w:rPr>
                <w:rFonts w:ascii="Arial" w:cs="Arial" w:eastAsia="Arial" w:hAnsi="Arial"/>
                <w:sz w:val="20"/>
                <w:szCs w:val="20"/>
                <w:color w:val="B4B4B4"/>
                <w:w w:val="94"/>
              </w:rPr>
              <w:t>. . . . . . . . . . . . . . .</w:t>
            </w:r>
          </w:p>
        </w:tc>
        <w:tc>
          <w:tcPr>
            <w:tcW w:w="2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0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tcPr>
          <w:p>
            <w:pPr>
              <w:ind w:left="40"/>
              <w:spacing w:after="0"/>
              <w:rPr>
                <w:sz w:val="20"/>
                <w:szCs w:val="20"/>
                <w:color w:val="auto"/>
              </w:rPr>
            </w:pPr>
            <w:r>
              <w:rPr>
                <w:rFonts w:ascii="Arial" w:cs="Arial" w:eastAsia="Arial" w:hAnsi="Arial"/>
                <w:sz w:val="20"/>
                <w:szCs w:val="20"/>
                <w:color w:val="auto"/>
              </w:rPr>
              <w:t>Transactions fees, expenses and</w:t>
            </w:r>
          </w:p>
        </w:tc>
        <w:tc>
          <w:tcPr>
            <w:tcW w:w="2000" w:type="dxa"/>
            <w:vAlign w:val="bottom"/>
            <w:tcBorders>
              <w:right w:val="single" w:sz="8" w:color="E6E6E6"/>
            </w:tcBorders>
            <w:vMerge w:val="restart"/>
          </w:tcPr>
          <w:p>
            <w:pPr>
              <w:jc w:val="right"/>
              <w:spacing w:after="0"/>
              <w:rPr>
                <w:sz w:val="20"/>
                <w:szCs w:val="20"/>
                <w:color w:val="auto"/>
              </w:rPr>
            </w:pPr>
            <w:r>
              <w:rPr>
                <w:rFonts w:ascii="Arial" w:cs="Arial" w:eastAsia="Arial" w:hAnsi="Arial"/>
                <w:sz w:val="20"/>
                <w:szCs w:val="20"/>
                <w:color w:val="auto"/>
              </w:rPr>
              <w:t>$40 million</w:t>
            </w:r>
          </w:p>
        </w:tc>
        <w:tc>
          <w:tcPr>
            <w:tcW w:w="0" w:type="dxa"/>
            <w:vAlign w:val="bottom"/>
          </w:tcPr>
          <w:p>
            <w:pPr>
              <w:spacing w:after="0"/>
              <w:rPr>
                <w:sz w:val="1"/>
                <w:szCs w:val="1"/>
                <w:color w:val="auto"/>
              </w:rPr>
            </w:pPr>
          </w:p>
        </w:tc>
      </w:tr>
      <w:tr>
        <w:trPr>
          <w:trHeight w:val="260"/>
        </w:trPr>
        <w:tc>
          <w:tcPr>
            <w:tcW w:w="3080" w:type="dxa"/>
            <w:vAlign w:val="bottom"/>
          </w:tcPr>
          <w:p>
            <w:pPr>
              <w:spacing w:after="0"/>
              <w:rPr>
                <w:sz w:val="22"/>
                <w:szCs w:val="22"/>
                <w:color w:val="auto"/>
              </w:rPr>
            </w:pPr>
          </w:p>
        </w:tc>
        <w:tc>
          <w:tcPr>
            <w:tcW w:w="1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20" w:type="dxa"/>
            <w:vAlign w:val="bottom"/>
          </w:tcPr>
          <w:p>
            <w:pPr>
              <w:ind w:left="40"/>
              <w:spacing w:after="0"/>
              <w:rPr>
                <w:sz w:val="20"/>
                <w:szCs w:val="20"/>
                <w:color w:val="auto"/>
              </w:rPr>
            </w:pPr>
            <w:r>
              <w:rPr>
                <w:rFonts w:ascii="Arial" w:cs="Arial" w:eastAsia="Arial" w:hAnsi="Arial"/>
                <w:sz w:val="20"/>
                <w:szCs w:val="20"/>
                <w:color w:val="auto"/>
                <w:w w:val="95"/>
              </w:rPr>
              <w:t xml:space="preserve">premiums </w:t>
            </w:r>
            <w:r>
              <w:rPr>
                <w:rFonts w:ascii="Arial" w:cs="Arial" w:eastAsia="Arial" w:hAnsi="Arial"/>
                <w:sz w:val="20"/>
                <w:szCs w:val="20"/>
                <w:color w:val="B4B4B4"/>
                <w:w w:val="95"/>
              </w:rPr>
              <w:t>. . . . . . . . . . . . . . . . . . . .</w:t>
            </w:r>
          </w:p>
        </w:tc>
        <w:tc>
          <w:tcPr>
            <w:tcW w:w="2000" w:type="dxa"/>
            <w:vAlign w:val="bottom"/>
            <w:tcBorders>
              <w:bottom w:val="single" w:sz="8" w:color="auto"/>
              <w:right w:val="single" w:sz="8" w:color="E6E6E6"/>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80" w:type="dxa"/>
            <w:vAlign w:val="bottom"/>
          </w:tcPr>
          <w:p>
            <w:pPr>
              <w:ind w:left="2460"/>
              <w:spacing w:after="0"/>
              <w:rPr>
                <w:sz w:val="20"/>
                <w:szCs w:val="20"/>
                <w:color w:val="auto"/>
              </w:rPr>
            </w:pPr>
            <w:r>
              <w:rPr>
                <w:rFonts w:ascii="Arial" w:cs="Arial" w:eastAsia="Arial" w:hAnsi="Arial"/>
                <w:sz w:val="20"/>
                <w:szCs w:val="20"/>
                <w:b w:val="1"/>
                <w:bCs w:val="1"/>
                <w:color w:val="auto"/>
              </w:rPr>
              <w:t>Total</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$3.123 billion</w:t>
            </w:r>
          </w:p>
        </w:tc>
        <w:tc>
          <w:tcPr>
            <w:tcW w:w="100" w:type="dxa"/>
            <w:vAlign w:val="bottom"/>
          </w:tcPr>
          <w:p>
            <w:pPr>
              <w:spacing w:after="0"/>
              <w:rPr>
                <w:sz w:val="22"/>
                <w:szCs w:val="22"/>
                <w:color w:val="auto"/>
              </w:rPr>
            </w:pPr>
          </w:p>
        </w:tc>
        <w:tc>
          <w:tcPr>
            <w:tcW w:w="3020" w:type="dxa"/>
            <w:vAlign w:val="bottom"/>
          </w:tcPr>
          <w:p>
            <w:pPr>
              <w:ind w:left="2420"/>
              <w:spacing w:after="0"/>
              <w:rPr>
                <w:sz w:val="20"/>
                <w:szCs w:val="20"/>
                <w:color w:val="auto"/>
              </w:rPr>
            </w:pPr>
            <w:r>
              <w:rPr>
                <w:rFonts w:ascii="Arial" w:cs="Arial" w:eastAsia="Arial" w:hAnsi="Arial"/>
                <w:sz w:val="20"/>
                <w:szCs w:val="20"/>
                <w:b w:val="1"/>
                <w:bCs w:val="1"/>
                <w:color w:val="auto"/>
              </w:rPr>
              <w:t>Total</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$3.123 billion</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-1907540</wp:posOffset>
            </wp:positionV>
            <wp:extent cx="6475095" cy="1914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1">
                      <a:extLst>
                        <a:ext uri="{28A0092B-C50C-407E-A947-70E740481C1C}"/>
                      </a:extLst>
                    </a:blip>
                    <a:srcRect/>
                    <a:stretch>
                      <a:fillRect/>
                    </a:stretch>
                  </pic:blipFill>
                  <pic:spPr bwMode="auto">
                    <a:xfrm>
                      <a:off x="0" y="0"/>
                      <a:ext cx="6475095" cy="1914525"/>
                    </a:xfrm>
                    <a:prstGeom prst="rect">
                      <a:avLst/>
                    </a:prstGeom>
                    <a:noFill/>
                  </pic:spPr>
                </pic:pic>
              </a:graphicData>
            </a:graphic>
          </wp:anchor>
        </w:drawing>
      </w:r>
    </w:p>
    <w:p>
      <w:pPr>
        <w:spacing w:after="0" w:line="59" w:lineRule="exact"/>
        <w:rPr>
          <w:sz w:val="20"/>
          <w:szCs w:val="20"/>
          <w:color w:val="auto"/>
        </w:rPr>
      </w:pPr>
    </w:p>
    <w:p>
      <w:pPr>
        <w:ind w:left="440" w:hanging="439"/>
        <w:spacing w:after="0" w:line="296" w:lineRule="auto"/>
        <w:tabs>
          <w:tab w:leader="none" w:pos="4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 October 15, 2024, APX Group, Inc. launched the Cash Tender Offer for the Vivint 6.750% Senior Secured Notes due 2027 and on October 30, 2024, delivered a notice of redemption with respect to the $11 million of the Vivint 6.750% Senior Secured Notes due 2027 that remained outstanding</w:t>
      </w:r>
    </w:p>
    <w:p>
      <w:pPr>
        <w:jc w:val="both"/>
        <w:ind w:left="440" w:hanging="439"/>
        <w:spacing w:after="0" w:line="251" w:lineRule="auto"/>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 October 15, 2024, APX Group, Inc. launched an Exchange Offer for the Vivint 5.750% Senior Notes due 2029 and on November 4, 2024, delivered a notice of redemption with respect to the $2 million of the Vivint 5.750% Senior Notes due 2029 that remained outstanding following the Exchange Offer</w:t>
      </w:r>
    </w:p>
    <w:p>
      <w:pPr>
        <w:spacing w:after="0" w:line="8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As part of the above transactions, the Company entered into the Tenth and Eleventh Amendments to the Credit Agreement to (i) include the Incremental Term Loan B Facility in an aggregate principal amount of $450 million and the Incremental Term Loans, (ii) extend the maturity date of its revolving credit facility to October 30, 2029 and (iii) make certain other amendments to the Credit Agreement.</w:t>
      </w:r>
    </w:p>
    <w:p>
      <w:pPr>
        <w:spacing w:after="0" w:line="8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On November 26, 2024, the Company, as borrower, entered into the Twelfth Amendment to the Credit Agreement to (i) reprice both the Existing Term Loan B Facility and the Incremental Term Loan B Facility and (ii) make certain other modifications to the Credit Agreement as set forth therein.</w:t>
      </w:r>
    </w:p>
    <w:p>
      <w:pPr>
        <w:spacing w:after="0" w:line="78" w:lineRule="exact"/>
        <w:rPr>
          <w:sz w:val="20"/>
          <w:szCs w:val="20"/>
          <w:color w:val="auto"/>
        </w:rPr>
      </w:pPr>
    </w:p>
    <w:p>
      <w:pPr>
        <w:jc w:val="both"/>
        <w:ind w:firstLine="445"/>
        <w:spacing w:after="0" w:line="295" w:lineRule="auto"/>
        <w:rPr>
          <w:sz w:val="20"/>
          <w:szCs w:val="20"/>
          <w:color w:val="auto"/>
        </w:rPr>
      </w:pPr>
      <w:r>
        <w:rPr>
          <w:rFonts w:ascii="Arial" w:cs="Arial" w:eastAsia="Arial" w:hAnsi="Arial"/>
          <w:sz w:val="18"/>
          <w:szCs w:val="18"/>
          <w:color w:val="auto"/>
        </w:rPr>
        <w:t xml:space="preserve">On December 20, 2024, the Company, as borrower, entered into the Thirteenth Amendment to the Credit Agreement to (i) add APX Group, Inc. as an additional borrower of the loans under the Credit Agreement on a joint and several basis with the Company and (ii) make certain other modifications to the Credit Agreement as set forth therein. For further discussion on these amendments and the debt transactions in the table above, see Item 15 — Note 12, </w:t>
      </w:r>
      <w:r>
        <w:rPr>
          <w:rFonts w:ascii="Arial" w:cs="Arial" w:eastAsia="Arial" w:hAnsi="Arial"/>
          <w:sz w:val="18"/>
          <w:szCs w:val="18"/>
          <w:b w:val="1"/>
          <w:bCs w:val="1"/>
          <w:i w:val="1"/>
          <w:iCs w:val="1"/>
          <w:color w:val="auto"/>
        </w:rPr>
        <w:t>Long-term Debt and Finance Leases.</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Convertible Senior Notes</w:t>
      </w:r>
    </w:p>
    <w:p>
      <w:pPr>
        <w:spacing w:after="0" w:line="130" w:lineRule="exact"/>
        <w:rPr>
          <w:sz w:val="20"/>
          <w:szCs w:val="20"/>
          <w:color w:val="auto"/>
        </w:rPr>
      </w:pPr>
    </w:p>
    <w:p>
      <w:pPr>
        <w:jc w:val="both"/>
        <w:ind w:firstLine="445"/>
        <w:spacing w:after="0" w:line="295" w:lineRule="auto"/>
        <w:rPr>
          <w:sz w:val="20"/>
          <w:szCs w:val="20"/>
          <w:color w:val="auto"/>
        </w:rPr>
      </w:pPr>
      <w:r>
        <w:rPr>
          <w:rFonts w:ascii="Arial" w:cs="Arial" w:eastAsia="Arial" w:hAnsi="Arial"/>
          <w:sz w:val="18"/>
          <w:szCs w:val="18"/>
          <w:color w:val="auto"/>
        </w:rPr>
        <w:t xml:space="preserve">As of January 1, 2025, the Company’s Convertible Senior Notes are convertible during the quarterly period ending March 31, 2025 due to the satisfaction of the Common Stock Sale Price Condition. In addition, the Convertible Senior Notes are also convertible from December 1, 2024 until the close of business on the second scheduled trading day immediately before June 1, 2025. For further discussion, see Item 15 — Note 12, </w:t>
      </w:r>
      <w:r>
        <w:rPr>
          <w:rFonts w:ascii="Arial" w:cs="Arial" w:eastAsia="Arial" w:hAnsi="Arial"/>
          <w:sz w:val="18"/>
          <w:szCs w:val="18"/>
          <w:b w:val="1"/>
          <w:bCs w:val="1"/>
          <w:i w:val="1"/>
          <w:iCs w:val="1"/>
          <w:color w:val="auto"/>
        </w:rPr>
        <w:t>Long-term Debt and Finance Leases.</w:t>
      </w:r>
    </w:p>
    <w:p>
      <w:pPr>
        <w:spacing w:after="0" w:line="52"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9"/>
          <w:szCs w:val="19"/>
          <w:color w:val="auto"/>
        </w:rPr>
        <w:t>During the year ended December 31, 2024, the Company completed repurchases of a portion of the Convertible Senior Notes using cash on hand and a portion of the proceeds from the Existing Term Loans, as detailed in the table below. For the year ended December 31, 2024, a $260 million loss on debt extinguishment was recorded.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20" w:type="dxa"/>
            <w:vAlign w:val="bottom"/>
          </w:tcPr>
          <w:p>
            <w:pPr>
              <w:ind w:left="60"/>
              <w:spacing w:after="0"/>
              <w:rPr>
                <w:sz w:val="20"/>
                <w:szCs w:val="20"/>
                <w:color w:val="auto"/>
              </w:rPr>
            </w:pPr>
            <w:r>
              <w:rPr>
                <w:rFonts w:ascii="Arial" w:cs="Arial" w:eastAsia="Arial" w:hAnsi="Arial"/>
                <w:sz w:val="16"/>
                <w:szCs w:val="16"/>
                <w:b w:val="1"/>
                <w:bCs w:val="1"/>
                <w:color w:val="auto"/>
              </w:rPr>
              <w:t>(In millions, except percentages)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Settlement Period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vMerge w:val="restart"/>
          </w:tcPr>
          <w:p>
            <w:pPr>
              <w:jc w:val="right"/>
              <w:ind w:right="266"/>
              <w:spacing w:after="0"/>
              <w:rPr>
                <w:sz w:val="20"/>
                <w:szCs w:val="20"/>
                <w:color w:val="auto"/>
              </w:rPr>
            </w:pPr>
            <w:r>
              <w:rPr>
                <w:rFonts w:ascii="Arial" w:cs="Arial" w:eastAsia="Arial" w:hAnsi="Arial"/>
                <w:sz w:val="16"/>
                <w:szCs w:val="16"/>
                <w:b w:val="1"/>
                <w:bCs w:val="1"/>
                <w:color w:val="auto"/>
                <w:w w:val="94"/>
              </w:rPr>
              <w:t>Principal Repurchased</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vMerge w:val="restart"/>
          </w:tcPr>
          <w:p>
            <w:pPr>
              <w:jc w:val="right"/>
              <w:ind w:right="646"/>
              <w:spacing w:after="0"/>
              <w:rPr>
                <w:sz w:val="20"/>
                <w:szCs w:val="20"/>
                <w:color w:val="auto"/>
              </w:rPr>
            </w:pPr>
            <w:r>
              <w:rPr>
                <w:rFonts w:ascii="Arial" w:cs="Arial" w:eastAsia="Arial" w:hAnsi="Arial"/>
                <w:sz w:val="16"/>
                <w:szCs w:val="16"/>
                <w:b w:val="1"/>
                <w:bCs w:val="1"/>
                <w:color w:val="auto"/>
              </w:rPr>
              <w:t>Cash Paid</w:t>
            </w:r>
            <w:r>
              <w:rPr>
                <w:rFonts w:ascii="Arial" w:cs="Arial" w:eastAsia="Arial" w:hAnsi="Arial"/>
                <w:sz w:val="20"/>
                <w:szCs w:val="20"/>
                <w:b w:val="1"/>
                <w:bCs w:val="1"/>
                <w:color w:val="auto"/>
                <w:vertAlign w:val="superscript"/>
              </w:rPr>
              <w:t>(a)</w:t>
            </w:r>
          </w:p>
        </w:tc>
        <w:tc>
          <w:tcPr>
            <w:tcW w:w="1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87"/>
              </w:rPr>
              <w:t>Average Repurchase</w:t>
            </w:r>
          </w:p>
        </w:tc>
        <w:tc>
          <w:tcPr>
            <w:tcW w:w="0" w:type="dxa"/>
            <w:vAlign w:val="bottom"/>
          </w:tcPr>
          <w:p>
            <w:pPr>
              <w:spacing w:after="0"/>
              <w:rPr>
                <w:sz w:val="1"/>
                <w:szCs w:val="1"/>
                <w:color w:val="auto"/>
              </w:rPr>
            </w:pPr>
          </w:p>
        </w:tc>
      </w:tr>
      <w:tr>
        <w:trPr>
          <w:trHeight w:val="212"/>
        </w:trPr>
        <w:tc>
          <w:tcPr>
            <w:tcW w:w="33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Percentage</w:t>
            </w:r>
          </w:p>
        </w:tc>
        <w:tc>
          <w:tcPr>
            <w:tcW w:w="0" w:type="dxa"/>
            <w:vAlign w:val="bottom"/>
          </w:tcPr>
          <w:p>
            <w:pPr>
              <w:spacing w:after="0"/>
              <w:rPr>
                <w:sz w:val="1"/>
                <w:szCs w:val="1"/>
                <w:color w:val="auto"/>
              </w:rPr>
            </w:pPr>
          </w:p>
        </w:tc>
      </w:tr>
      <w:tr>
        <w:trPr>
          <w:trHeight w:val="287"/>
        </w:trPr>
        <w:tc>
          <w:tcPr>
            <w:tcW w:w="3320" w:type="dxa"/>
            <w:vAlign w:val="bottom"/>
          </w:tcPr>
          <w:p>
            <w:pPr>
              <w:ind w:left="60"/>
              <w:spacing w:after="0"/>
              <w:rPr>
                <w:sz w:val="20"/>
                <w:szCs w:val="20"/>
                <w:color w:val="auto"/>
              </w:rPr>
            </w:pPr>
            <w:r>
              <w:rPr>
                <w:rFonts w:ascii="Arial" w:cs="Arial" w:eastAsia="Arial" w:hAnsi="Arial"/>
                <w:sz w:val="20"/>
                <w:szCs w:val="20"/>
                <w:color w:val="auto"/>
                <w:w w:val="92"/>
              </w:rPr>
              <w:t xml:space="preserve">March 2024 </w:t>
            </w:r>
            <w:r>
              <w:rPr>
                <w:rFonts w:ascii="Arial" w:cs="Arial" w:eastAsia="Arial" w:hAnsi="Arial"/>
                <w:sz w:val="20"/>
                <w:szCs w:val="20"/>
                <w:color w:val="B4B4B4"/>
                <w:w w:val="92"/>
              </w:rPr>
              <w:t>. . . . . . . . . . . . . . . . . . . . . .</w:t>
            </w:r>
          </w:p>
        </w:tc>
        <w:tc>
          <w:tcPr>
            <w:tcW w:w="36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2020" w:type="dxa"/>
            <w:vAlign w:val="bottom"/>
          </w:tcPr>
          <w:p>
            <w:pPr>
              <w:jc w:val="right"/>
              <w:spacing w:after="0"/>
              <w:rPr>
                <w:sz w:val="20"/>
                <w:szCs w:val="20"/>
                <w:color w:val="auto"/>
              </w:rPr>
            </w:pPr>
            <w:r>
              <w:rPr>
                <w:rFonts w:ascii="Arial" w:cs="Arial" w:eastAsia="Arial" w:hAnsi="Arial"/>
                <w:sz w:val="20"/>
                <w:szCs w:val="20"/>
                <w:color w:val="auto"/>
              </w:rPr>
              <w:t>92</w:t>
            </w:r>
          </w:p>
        </w:tc>
        <w:tc>
          <w:tcPr>
            <w:tcW w:w="540" w:type="dxa"/>
            <w:vAlign w:val="bottom"/>
            <w:gridSpan w:val="2"/>
          </w:tcPr>
          <w:p>
            <w:pPr>
              <w:jc w:val="right"/>
              <w:ind w:right="181"/>
              <w:spacing w:after="0"/>
              <w:rPr>
                <w:sz w:val="20"/>
                <w:szCs w:val="20"/>
                <w:color w:val="auto"/>
              </w:rPr>
            </w:pPr>
            <w:r>
              <w:rPr>
                <w:rFonts w:ascii="Arial" w:cs="Arial" w:eastAsia="Arial" w:hAnsi="Arial"/>
                <w:sz w:val="20"/>
                <w:szCs w:val="20"/>
                <w:color w:val="auto"/>
              </w:rPr>
              <w:t>$</w:t>
            </w:r>
          </w:p>
        </w:tc>
        <w:tc>
          <w:tcPr>
            <w:tcW w:w="1840" w:type="dxa"/>
            <w:vAlign w:val="bottom"/>
          </w:tcPr>
          <w:p>
            <w:pPr>
              <w:jc w:val="right"/>
              <w:spacing w:after="0"/>
              <w:rPr>
                <w:sz w:val="20"/>
                <w:szCs w:val="20"/>
                <w:color w:val="auto"/>
              </w:rPr>
            </w:pPr>
            <w:r>
              <w:rPr>
                <w:rFonts w:ascii="Arial" w:cs="Arial" w:eastAsia="Arial" w:hAnsi="Arial"/>
                <w:sz w:val="20"/>
                <w:szCs w:val="20"/>
                <w:color w:val="auto"/>
              </w:rPr>
              <w:t>151</w:t>
            </w:r>
          </w:p>
        </w:tc>
        <w:tc>
          <w:tcPr>
            <w:tcW w:w="2100" w:type="dxa"/>
            <w:vAlign w:val="bottom"/>
            <w:tcBorders>
              <w:right w:val="single" w:sz="8" w:color="E6E6E6"/>
            </w:tcBorders>
            <w:gridSpan w:val="2"/>
          </w:tcPr>
          <w:p>
            <w:pPr>
              <w:jc w:val="center"/>
              <w:ind w:left="21"/>
              <w:spacing w:after="0"/>
              <w:rPr>
                <w:sz w:val="20"/>
                <w:szCs w:val="20"/>
                <w:color w:val="auto"/>
              </w:rPr>
            </w:pPr>
            <w:r>
              <w:rPr>
                <w:rFonts w:ascii="Arial" w:cs="Arial" w:eastAsia="Arial" w:hAnsi="Arial"/>
                <w:sz w:val="20"/>
                <w:szCs w:val="20"/>
                <w:color w:val="auto"/>
                <w:w w:val="90"/>
              </w:rPr>
              <w:t>162.356%</w:t>
            </w:r>
          </w:p>
        </w:tc>
        <w:tc>
          <w:tcPr>
            <w:tcW w:w="0" w:type="dxa"/>
            <w:vAlign w:val="bottom"/>
          </w:tcPr>
          <w:p>
            <w:pPr>
              <w:spacing w:after="0"/>
              <w:rPr>
                <w:sz w:val="1"/>
                <w:szCs w:val="1"/>
                <w:color w:val="auto"/>
              </w:rPr>
            </w:pPr>
          </w:p>
        </w:tc>
      </w:tr>
      <w:tr>
        <w:trPr>
          <w:trHeight w:val="287"/>
        </w:trPr>
        <w:tc>
          <w:tcPr>
            <w:tcW w:w="3320" w:type="dxa"/>
            <w:vAlign w:val="bottom"/>
          </w:tcPr>
          <w:p>
            <w:pPr>
              <w:ind w:left="60"/>
              <w:spacing w:after="0"/>
              <w:rPr>
                <w:sz w:val="20"/>
                <w:szCs w:val="20"/>
                <w:color w:val="auto"/>
              </w:rPr>
            </w:pPr>
            <w:r>
              <w:rPr>
                <w:rFonts w:ascii="Arial" w:cs="Arial" w:eastAsia="Arial" w:hAnsi="Arial"/>
                <w:sz w:val="20"/>
                <w:szCs w:val="20"/>
                <w:color w:val="auto"/>
                <w:w w:val="93"/>
              </w:rPr>
              <w:t xml:space="preserve">April 2024 </w:t>
            </w:r>
            <w:r>
              <w:rPr>
                <w:rFonts w:ascii="Arial" w:cs="Arial" w:eastAsia="Arial" w:hAnsi="Arial"/>
                <w:sz w:val="20"/>
                <w:szCs w:val="20"/>
                <w:color w:val="B4B4B4"/>
                <w:w w:val="93"/>
              </w:rPr>
              <w:t>. . . . . . . . . . . . . . . . . . . . . . .</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452</w:t>
            </w:r>
          </w:p>
        </w:tc>
        <w:tc>
          <w:tcPr>
            <w:tcW w:w="2100" w:type="dxa"/>
            <w:vAlign w:val="bottom"/>
            <w:gridSpan w:val="2"/>
          </w:tcPr>
          <w:p>
            <w:pPr>
              <w:jc w:val="center"/>
              <w:ind w:left="21"/>
              <w:spacing w:after="0"/>
              <w:rPr>
                <w:sz w:val="20"/>
                <w:szCs w:val="20"/>
                <w:color w:val="auto"/>
              </w:rPr>
            </w:pPr>
            <w:r>
              <w:rPr>
                <w:rFonts w:ascii="Arial" w:cs="Arial" w:eastAsia="Arial" w:hAnsi="Arial"/>
                <w:sz w:val="20"/>
                <w:szCs w:val="20"/>
                <w:color w:val="auto"/>
                <w:w w:val="90"/>
              </w:rPr>
              <w:t>179.454%</w:t>
            </w:r>
          </w:p>
        </w:tc>
        <w:tc>
          <w:tcPr>
            <w:tcW w:w="0" w:type="dxa"/>
            <w:vAlign w:val="bottom"/>
          </w:tcPr>
          <w:p>
            <w:pPr>
              <w:spacing w:after="0"/>
              <w:rPr>
                <w:sz w:val="1"/>
                <w:szCs w:val="1"/>
                <w:color w:val="auto"/>
              </w:rPr>
            </w:pPr>
          </w:p>
        </w:tc>
      </w:tr>
      <w:tr>
        <w:trPr>
          <w:trHeight w:val="297"/>
        </w:trPr>
        <w:tc>
          <w:tcPr>
            <w:tcW w:w="3320" w:type="dxa"/>
            <w:vAlign w:val="bottom"/>
          </w:tcPr>
          <w:p>
            <w:pPr>
              <w:ind w:left="300"/>
              <w:spacing w:after="0"/>
              <w:rPr>
                <w:sz w:val="20"/>
                <w:szCs w:val="20"/>
                <w:color w:val="auto"/>
              </w:rPr>
            </w:pPr>
            <w:r>
              <w:rPr>
                <w:rFonts w:ascii="Arial" w:cs="Arial" w:eastAsia="Arial" w:hAnsi="Arial"/>
                <w:sz w:val="20"/>
                <w:szCs w:val="20"/>
                <w:b w:val="1"/>
                <w:bCs w:val="1"/>
                <w:color w:val="auto"/>
                <w:w w:val="89"/>
              </w:rPr>
              <w:t xml:space="preserve">Total Repurchases </w:t>
            </w:r>
            <w:r>
              <w:rPr>
                <w:rFonts w:ascii="Arial" w:cs="Arial" w:eastAsia="Arial" w:hAnsi="Arial"/>
                <w:sz w:val="20"/>
                <w:szCs w:val="20"/>
                <w:b w:val="1"/>
                <w:bCs w:val="1"/>
                <w:color w:val="B4B4B4"/>
                <w:w w:val="89"/>
              </w:rPr>
              <w:t>. . . . . . . . . . . . . .</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343</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603</w:t>
            </w:r>
          </w:p>
        </w:tc>
        <w:tc>
          <w:tcPr>
            <w:tcW w:w="100" w:type="dxa"/>
            <w:vAlign w:val="bottom"/>
          </w:tcPr>
          <w:p>
            <w:pPr>
              <w:spacing w:after="0"/>
              <w:rPr>
                <w:sz w:val="24"/>
                <w:szCs w:val="24"/>
                <w:color w:val="auto"/>
              </w:rPr>
            </w:pPr>
          </w:p>
        </w:tc>
        <w:tc>
          <w:tcPr>
            <w:tcW w:w="2000" w:type="dxa"/>
            <w:vAlign w:val="bottom"/>
            <w:tcBorders>
              <w:right w:val="single" w:sz="8" w:color="E6E6E6"/>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-596900</wp:posOffset>
            </wp:positionV>
            <wp:extent cx="6475095" cy="603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2">
                      <a:extLst>
                        <a:ext uri="{28A0092B-C50C-407E-A947-70E740481C1C}"/>
                      </a:extLst>
                    </a:blip>
                    <a:srcRect/>
                    <a:stretch>
                      <a:fillRect/>
                    </a:stretch>
                  </pic:blipFill>
                  <pic:spPr bwMode="auto">
                    <a:xfrm>
                      <a:off x="0" y="0"/>
                      <a:ext cx="6475095" cy="603885"/>
                    </a:xfrm>
                    <a:prstGeom prst="rect">
                      <a:avLst/>
                    </a:prstGeom>
                    <a:noFill/>
                  </pic:spPr>
                </pic:pic>
              </a:graphicData>
            </a:graphic>
          </wp:anchor>
        </w:drawing>
      </w:r>
    </w:p>
    <w:p>
      <w:pPr>
        <w:ind w:left="440" w:hanging="439"/>
        <w:spacing w:after="0"/>
        <w:tabs>
          <w:tab w:leader="none" w:pos="4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accrued interest of $1 million and $2 million for the March and April repurchases, respectively</w:t>
      </w:r>
    </w:p>
    <w:p>
      <w:pPr>
        <w:spacing w:after="0" w:line="113"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color w:val="auto"/>
        </w:rPr>
        <w:t xml:space="preserve">During the second quarter of 2024, the Company entered into privately negotiated capped call transactions with certain counterparties. The Capped Calls have a cap price of $249.00 per share, subject to certain adjustments, and effectively lock in a conversion premium of $257 million on the remaining $232 million balance of the Convertible Senior Notes. The option price of $257 million was incurred when the Company entered into the Capped Calls, which will be payable upon the earlier of settlement and expiration of the applicable Capped Calls. For further discussion, see Item 15 - Note 15, </w:t>
      </w:r>
      <w:r>
        <w:rPr>
          <w:rFonts w:ascii="Arial" w:cs="Arial" w:eastAsia="Arial" w:hAnsi="Arial"/>
          <w:sz w:val="19"/>
          <w:szCs w:val="19"/>
          <w:b w:val="1"/>
          <w:bCs w:val="1"/>
          <w:i w:val="1"/>
          <w:iCs w:val="1"/>
          <w:color w:val="auto"/>
        </w:rPr>
        <w:t>Capital Structure</w:t>
      </w:r>
      <w:r>
        <w:rPr>
          <w:rFonts w:ascii="Arial" w:cs="Arial" w:eastAsia="Arial" w:hAnsi="Arial"/>
          <w:sz w:val="19"/>
          <w:szCs w:val="19"/>
          <w:color w:val="auto"/>
        </w:rPr>
        <w:t>, to the Consolidated Financial Statements for additional discussion.</w:t>
      </w:r>
    </w:p>
    <w:p>
      <w:pPr>
        <w:sectPr>
          <w:pgSz w:w="11880" w:h="15480" w:orient="portrait"/>
          <w:cols w:equalWidth="0" w:num="1">
            <w:col w:w="10160"/>
          </w:cols>
          <w:pgMar w:left="860" w:top="50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880" w:h="15480" w:orient="portrait"/>
          <w:cols w:equalWidth="0" w:num="1">
            <w:col w:w="10160"/>
          </w:cols>
          <w:pgMar w:left="860" w:top="508" w:right="860" w:bottom="0" w:gutter="0" w:footer="0" w:header="0"/>
          <w:type w:val="continuous"/>
        </w:sectPr>
      </w:pPr>
    </w:p>
    <w:bookmarkStart w:id="66" w:name="page67"/>
    <w:bookmarkEnd w:id="66"/>
    <w:p>
      <w:pPr>
        <w:ind w:left="440"/>
        <w:spacing w:after="0"/>
        <w:rPr>
          <w:sz w:val="20"/>
          <w:szCs w:val="20"/>
          <w:color w:val="auto"/>
        </w:rPr>
      </w:pPr>
      <w:r>
        <w:rPr>
          <w:rFonts w:ascii="Arial" w:cs="Arial" w:eastAsia="Arial" w:hAnsi="Arial"/>
          <w:sz w:val="20"/>
          <w:szCs w:val="20"/>
          <w:b w:val="1"/>
          <w:bCs w:val="1"/>
          <w:i w:val="1"/>
          <w:iCs w:val="1"/>
          <w:color w:val="auto"/>
        </w:rPr>
        <w:t>Receivables Securitization Facilities</w:t>
      </w:r>
    </w:p>
    <w:p>
      <w:pPr>
        <w:spacing w:after="0" w:line="13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On June 21, 2024, NRG Receivables, amended its existing Receivables Facility to, among other things, (i) extend the scheduled termination date to June 20, 2025, (ii) increase the aggregate commitments from $1.4 billion to $2.3 billion (adjusted seasonally) and (iii) add a new originator. As of December 31, 2024, there were no outstanding borrowings and there were $1.4 billion in letters of credit issued.</w:t>
      </w:r>
    </w:p>
    <w:p>
      <w:pPr>
        <w:spacing w:after="0" w:line="84"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20"/>
          <w:szCs w:val="20"/>
          <w:color w:val="auto"/>
        </w:rPr>
        <w:t>Also on June 21, 2024, the Additional Originator entered into the Joinder Agreement to join as Additional Originator to the Receivables Sale Agreement, dated as of September 22, 2020, among Direct Energy, LP, Direct Energy Business, LLC, Green Mountain Energy Company, NRG Business Marketing, LLC, Reliant Energy Northeast LLC, Reliant Energy Retail Services, LLC, Stream SPE, Ltd., US Retailers LLC and XOOM Energy Texas, LLC, as Originators, NRG Retail, as the servicer, and the Receivables Sale Agreement. Pursuant to the Joinder Agreement, the Additional Originator agrees to be bound by the terms of the Receivables Sale Agreement, will sell to NRG Receivables substantially all of its Receivables and in connection therewith have transferred to NRG Receivables the deposit accounts into which the proceeds of such Receivables are paid.</w:t>
      </w:r>
    </w:p>
    <w:p>
      <w:pPr>
        <w:spacing w:after="0" w:line="8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Concurrently with the amendments to the Receivables Facility, the Company and the originators thereunder terminated the existing uncommitted Repurchase Facility.</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Senior Secured First Lien Note Repayment</w:t>
      </w:r>
    </w:p>
    <w:p>
      <w:pPr>
        <w:spacing w:after="0" w:line="13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During the second quarter of 2024, the Company repaid $600 million in aggregate principal amount of its 3.750% Senior Secured First Lien Notes due 2024.</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Vivint Term Loan</w:t>
      </w:r>
    </w:p>
    <w:p>
      <w:pPr>
        <w:spacing w:after="0" w:line="130"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On April 10, 2024, the Company’s wholly-owned indirect subsidiary, Vivint, entered into Amendment No. 2 (the “Second Amendment”) to the Second Amended and Restated Credit Agreement dated as of June 9, 2021 (the “Vivint Credit Agreement”) with, among others, Bank of America, N.A. as administrative agent (the “Vivint Agent”), and certain financial institutions, as lenders, which amended the Vivint Credit Agreement in order to (i) reprice its term loan B facility (the term loans thereunder, the “Vivint Term Loans”) and (ii) make certain other modifications to the Vivint Credit Agreement as set forth therein.</w:t>
      </w:r>
    </w:p>
    <w:p>
      <w:pPr>
        <w:spacing w:after="0" w:line="9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On October 30, 2024, the Company repaid in full the outstanding Vivint Term Loans of approximately $1.3 billion and terminated the revolving credit facility under the Vivint Credit Agreement.</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Liability Management</w:t>
      </w:r>
    </w:p>
    <w:p>
      <w:pPr>
        <w:spacing w:after="0" w:line="11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Company executed $342 million in liability management in 2024 and achieved its targeted credit metrics. The Company intends to spend approximately $270 million from cash from operations during 2025. The Company remains committed to maintaining a strong balance sheet and its targeted credit metrics.</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Pension and Other Postretirement Benefit Contributions</w:t>
      </w:r>
    </w:p>
    <w:p>
      <w:pPr>
        <w:spacing w:after="0" w:line="130"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 xml:space="preserve">As of December 31, 2024, the Company’s estimated pension minimum funding requirements for the next 5 years were $108 million, of which $16 million are required to be made within the next 12 months. As of December 31, 2024, the Company’s estimated other postretirement benefits minimum funding requirements for the next 5 years were $24 million, of which $5 million are required to be made within the next 12 months. These amounts represent estimates based on assumptions that are subject to change. For further discussion, see Item 15 — Note 14, </w:t>
      </w:r>
      <w:r>
        <w:rPr>
          <w:rFonts w:ascii="Arial" w:cs="Arial" w:eastAsia="Arial" w:hAnsi="Arial"/>
          <w:sz w:val="20"/>
          <w:szCs w:val="20"/>
          <w:b w:val="1"/>
          <w:bCs w:val="1"/>
          <w:i w:val="1"/>
          <w:iCs w:val="1"/>
          <w:color w:val="auto"/>
        </w:rPr>
        <w:t>Benefit Plans and Other Postretirement Benefits</w:t>
      </w:r>
      <w:r>
        <w:rPr>
          <w:rFonts w:ascii="Arial" w:cs="Arial" w:eastAsia="Arial" w:hAnsi="Arial"/>
          <w:sz w:val="20"/>
          <w:szCs w:val="20"/>
          <w:color w:val="auto"/>
        </w:rPr>
        <w:t>, to the Consolidated Financial Statements.</w:t>
      </w:r>
    </w:p>
    <w:p>
      <w:pPr>
        <w:sectPr>
          <w:pgSz w:w="11880" w:h="15480" w:orient="portrait"/>
          <w:cols w:equalWidth="0" w:num="1">
            <w:col w:w="10160"/>
          </w:cols>
          <w:pgMar w:left="860" w:top="50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880" w:h="15480" w:orient="portrait"/>
          <w:cols w:equalWidth="0" w:num="1">
            <w:col w:w="10160"/>
          </w:cols>
          <w:pgMar w:left="860" w:top="508" w:right="860" w:bottom="0" w:gutter="0" w:footer="0" w:header="0"/>
          <w:type w:val="continuous"/>
        </w:sectPr>
      </w:pPr>
    </w:p>
    <w:bookmarkStart w:id="67" w:name="page68"/>
    <w:bookmarkEnd w:id="67"/>
    <w:p>
      <w:pPr>
        <w:ind w:left="440"/>
        <w:spacing w:after="0"/>
        <w:rPr>
          <w:sz w:val="20"/>
          <w:szCs w:val="20"/>
          <w:color w:val="auto"/>
        </w:rPr>
      </w:pPr>
      <w:r>
        <w:rPr>
          <w:rFonts w:ascii="Arial" w:cs="Arial" w:eastAsia="Arial" w:hAnsi="Arial"/>
          <w:sz w:val="20"/>
          <w:szCs w:val="20"/>
          <w:b w:val="1"/>
          <w:bCs w:val="1"/>
          <w:i w:val="1"/>
          <w:iCs w:val="1"/>
          <w:color w:val="auto"/>
        </w:rPr>
        <w:t>Debt Service Obligations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Principal payments on debt and finance leases as of December 31, 2024, are due in the following periods:</w:t>
      </w:r>
    </w:p>
    <w:p>
      <w:pPr>
        <w:spacing w:after="0" w:line="126"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39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3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1"/>
              <w:spacing w:after="0"/>
              <w:rPr>
                <w:sz w:val="20"/>
                <w:szCs w:val="20"/>
                <w:color w:val="auto"/>
              </w:rPr>
            </w:pPr>
            <w:r>
              <w:rPr>
                <w:rFonts w:ascii="Arial" w:cs="Arial" w:eastAsia="Arial" w:hAnsi="Arial"/>
                <w:sz w:val="18"/>
                <w:szCs w:val="18"/>
                <w:b w:val="1"/>
                <w:bCs w:val="1"/>
                <w:color w:val="auto"/>
                <w:w w:val="94"/>
              </w:rPr>
              <w:t>2025</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1"/>
              <w:spacing w:after="0"/>
              <w:rPr>
                <w:sz w:val="20"/>
                <w:szCs w:val="20"/>
                <w:color w:val="auto"/>
              </w:rPr>
            </w:pPr>
            <w:r>
              <w:rPr>
                <w:rFonts w:ascii="Arial" w:cs="Arial" w:eastAsia="Arial" w:hAnsi="Arial"/>
                <w:sz w:val="18"/>
                <w:szCs w:val="18"/>
                <w:b w:val="1"/>
                <w:bCs w:val="1"/>
                <w:color w:val="auto"/>
                <w:w w:val="89"/>
              </w:rPr>
              <w:t>2026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1"/>
              <w:spacing w:after="0"/>
              <w:rPr>
                <w:sz w:val="20"/>
                <w:szCs w:val="20"/>
                <w:color w:val="auto"/>
              </w:rPr>
            </w:pPr>
            <w:r>
              <w:rPr>
                <w:rFonts w:ascii="Arial" w:cs="Arial" w:eastAsia="Arial" w:hAnsi="Arial"/>
                <w:sz w:val="18"/>
                <w:szCs w:val="18"/>
                <w:b w:val="1"/>
                <w:bCs w:val="1"/>
                <w:color w:val="auto"/>
                <w:w w:val="89"/>
              </w:rPr>
              <w:t>2027</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1"/>
              <w:spacing w:after="0"/>
              <w:rPr>
                <w:sz w:val="20"/>
                <w:szCs w:val="20"/>
                <w:color w:val="auto"/>
              </w:rPr>
            </w:pPr>
            <w:r>
              <w:rPr>
                <w:rFonts w:ascii="Arial" w:cs="Arial" w:eastAsia="Arial" w:hAnsi="Arial"/>
                <w:sz w:val="18"/>
                <w:szCs w:val="18"/>
                <w:b w:val="1"/>
                <w:bCs w:val="1"/>
                <w:color w:val="auto"/>
                <w:w w:val="89"/>
              </w:rPr>
              <w:t>2028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21"/>
              <w:spacing w:after="0"/>
              <w:rPr>
                <w:sz w:val="20"/>
                <w:szCs w:val="20"/>
                <w:color w:val="auto"/>
              </w:rPr>
            </w:pPr>
            <w:r>
              <w:rPr>
                <w:rFonts w:ascii="Arial" w:cs="Arial" w:eastAsia="Arial" w:hAnsi="Arial"/>
                <w:sz w:val="18"/>
                <w:szCs w:val="18"/>
                <w:b w:val="1"/>
                <w:bCs w:val="1"/>
                <w:color w:val="auto"/>
                <w:w w:val="89"/>
              </w:rPr>
              <w:t>2029</w:t>
            </w:r>
          </w:p>
        </w:tc>
        <w:tc>
          <w:tcPr>
            <w:tcW w:w="80" w:type="dxa"/>
            <w:vAlign w:val="bottom"/>
          </w:tcPr>
          <w:p>
            <w:pPr>
              <w:spacing w:after="0"/>
              <w:rPr>
                <w:sz w:val="21"/>
                <w:szCs w:val="21"/>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Thereafter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01"/>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3"/>
        </w:trPr>
        <w:tc>
          <w:tcPr>
            <w:tcW w:w="396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Recourse Debt:</w:t>
            </w: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960" w:type="dxa"/>
            <w:vAlign w:val="bottom"/>
            <w:gridSpan w:val="2"/>
            <w:vMerge w:val="continue"/>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960" w:type="dxa"/>
            <w:vAlign w:val="bottom"/>
            <w:gridSpan w:val="2"/>
          </w:tcPr>
          <w:p>
            <w:pPr>
              <w:spacing w:after="0"/>
              <w:rPr>
                <w:sz w:val="20"/>
                <w:szCs w:val="20"/>
                <w:color w:val="auto"/>
              </w:rPr>
            </w:pPr>
            <w:r>
              <w:rPr>
                <w:rFonts w:ascii="Arial" w:cs="Arial" w:eastAsia="Arial" w:hAnsi="Arial"/>
                <w:sz w:val="20"/>
                <w:szCs w:val="20"/>
                <w:color w:val="auto"/>
                <w:w w:val="89"/>
              </w:rPr>
              <w:t xml:space="preserve">5.750% Senior Notes, due 2028 </w:t>
            </w:r>
            <w:r>
              <w:rPr>
                <w:rFonts w:ascii="Arial" w:cs="Arial" w:eastAsia="Arial" w:hAnsi="Arial"/>
                <w:sz w:val="20"/>
                <w:szCs w:val="20"/>
                <w:color w:val="B4B4B4"/>
                <w:w w:val="89"/>
              </w:rPr>
              <w:t>. . . . .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821</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821</w:t>
            </w:r>
          </w:p>
        </w:tc>
        <w:tc>
          <w:tcPr>
            <w:tcW w:w="0" w:type="dxa"/>
            <w:vAlign w:val="bottom"/>
          </w:tcPr>
          <w:p>
            <w:pPr>
              <w:spacing w:after="0"/>
              <w:rPr>
                <w:sz w:val="1"/>
                <w:szCs w:val="1"/>
                <w:color w:val="auto"/>
              </w:rPr>
            </w:pPr>
          </w:p>
        </w:tc>
      </w:tr>
      <w:tr>
        <w:trPr>
          <w:trHeight w:val="297"/>
        </w:trPr>
        <w:tc>
          <w:tcPr>
            <w:tcW w:w="3960" w:type="dxa"/>
            <w:vAlign w:val="bottom"/>
            <w:gridSpan w:val="2"/>
          </w:tcPr>
          <w:p>
            <w:pPr>
              <w:spacing w:after="0"/>
              <w:rPr>
                <w:sz w:val="20"/>
                <w:szCs w:val="20"/>
                <w:color w:val="auto"/>
              </w:rPr>
            </w:pPr>
            <w:r>
              <w:rPr>
                <w:rFonts w:ascii="Arial" w:cs="Arial" w:eastAsia="Arial" w:hAnsi="Arial"/>
                <w:sz w:val="20"/>
                <w:szCs w:val="20"/>
                <w:color w:val="auto"/>
                <w:w w:val="89"/>
              </w:rPr>
              <w:t xml:space="preserve">5.250% Senior Notes, due 2029 </w:t>
            </w:r>
            <w:r>
              <w:rPr>
                <w:rFonts w:ascii="Arial" w:cs="Arial" w:eastAsia="Arial" w:hAnsi="Arial"/>
                <w:sz w:val="20"/>
                <w:szCs w:val="20"/>
                <w:color w:val="B4B4B4"/>
                <w:w w:val="89"/>
              </w:rPr>
              <w:t>. . . . . . . . . . . . .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733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733</w:t>
            </w:r>
          </w:p>
        </w:tc>
        <w:tc>
          <w:tcPr>
            <w:tcW w:w="0" w:type="dxa"/>
            <w:vAlign w:val="bottom"/>
          </w:tcPr>
          <w:p>
            <w:pPr>
              <w:spacing w:after="0"/>
              <w:rPr>
                <w:sz w:val="1"/>
                <w:szCs w:val="1"/>
                <w:color w:val="auto"/>
              </w:rPr>
            </w:pPr>
          </w:p>
        </w:tc>
      </w:tr>
      <w:tr>
        <w:trPr>
          <w:trHeight w:val="297"/>
        </w:trPr>
        <w:tc>
          <w:tcPr>
            <w:tcW w:w="3960" w:type="dxa"/>
            <w:vAlign w:val="bottom"/>
            <w:gridSpan w:val="2"/>
          </w:tcPr>
          <w:p>
            <w:pPr>
              <w:spacing w:after="0"/>
              <w:rPr>
                <w:sz w:val="20"/>
                <w:szCs w:val="20"/>
                <w:color w:val="auto"/>
              </w:rPr>
            </w:pPr>
            <w:r>
              <w:rPr>
                <w:rFonts w:ascii="Arial" w:cs="Arial" w:eastAsia="Arial" w:hAnsi="Arial"/>
                <w:sz w:val="20"/>
                <w:szCs w:val="20"/>
                <w:color w:val="auto"/>
                <w:w w:val="89"/>
              </w:rPr>
              <w:t xml:space="preserve">3.375% Senior Notes, due 2029 </w:t>
            </w:r>
            <w:r>
              <w:rPr>
                <w:rFonts w:ascii="Arial" w:cs="Arial" w:eastAsia="Arial" w:hAnsi="Arial"/>
                <w:sz w:val="20"/>
                <w:szCs w:val="20"/>
                <w:color w:val="B4B4B4"/>
                <w:w w:val="89"/>
              </w:rPr>
              <w:t>. . . . . . . . . . . . .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500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500</w:t>
            </w:r>
          </w:p>
        </w:tc>
        <w:tc>
          <w:tcPr>
            <w:tcW w:w="0" w:type="dxa"/>
            <w:vAlign w:val="bottom"/>
          </w:tcPr>
          <w:p>
            <w:pPr>
              <w:spacing w:after="0"/>
              <w:rPr>
                <w:sz w:val="1"/>
                <w:szCs w:val="1"/>
                <w:color w:val="auto"/>
              </w:rPr>
            </w:pPr>
          </w:p>
        </w:tc>
      </w:tr>
      <w:tr>
        <w:trPr>
          <w:trHeight w:val="297"/>
        </w:trPr>
        <w:tc>
          <w:tcPr>
            <w:tcW w:w="3960" w:type="dxa"/>
            <w:vAlign w:val="bottom"/>
            <w:gridSpan w:val="2"/>
          </w:tcPr>
          <w:p>
            <w:pPr>
              <w:spacing w:after="0"/>
              <w:rPr>
                <w:sz w:val="20"/>
                <w:szCs w:val="20"/>
                <w:color w:val="auto"/>
              </w:rPr>
            </w:pPr>
            <w:r>
              <w:rPr>
                <w:rFonts w:ascii="Arial" w:cs="Arial" w:eastAsia="Arial" w:hAnsi="Arial"/>
                <w:sz w:val="20"/>
                <w:szCs w:val="20"/>
                <w:color w:val="auto"/>
                <w:w w:val="89"/>
              </w:rPr>
              <w:t xml:space="preserve">5.750% Senior Notes, due 2029 </w:t>
            </w:r>
            <w:r>
              <w:rPr>
                <w:rFonts w:ascii="Arial" w:cs="Arial" w:eastAsia="Arial" w:hAnsi="Arial"/>
                <w:sz w:val="20"/>
                <w:szCs w:val="20"/>
                <w:color w:val="B4B4B4"/>
                <w:w w:val="89"/>
              </w:rPr>
              <w:t>. . . . . . . . . . . . .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798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798</w:t>
            </w:r>
          </w:p>
        </w:tc>
        <w:tc>
          <w:tcPr>
            <w:tcW w:w="0" w:type="dxa"/>
            <w:vAlign w:val="bottom"/>
          </w:tcPr>
          <w:p>
            <w:pPr>
              <w:spacing w:after="0"/>
              <w:rPr>
                <w:sz w:val="1"/>
                <w:szCs w:val="1"/>
                <w:color w:val="auto"/>
              </w:rPr>
            </w:pPr>
          </w:p>
        </w:tc>
      </w:tr>
      <w:tr>
        <w:trPr>
          <w:trHeight w:val="297"/>
        </w:trPr>
        <w:tc>
          <w:tcPr>
            <w:tcW w:w="3960" w:type="dxa"/>
            <w:vAlign w:val="bottom"/>
            <w:gridSpan w:val="2"/>
          </w:tcPr>
          <w:p>
            <w:pPr>
              <w:spacing w:after="0"/>
              <w:rPr>
                <w:sz w:val="20"/>
                <w:szCs w:val="20"/>
                <w:color w:val="auto"/>
              </w:rPr>
            </w:pPr>
            <w:r>
              <w:rPr>
                <w:rFonts w:ascii="Arial" w:cs="Arial" w:eastAsia="Arial" w:hAnsi="Arial"/>
                <w:sz w:val="20"/>
                <w:szCs w:val="20"/>
                <w:color w:val="auto"/>
                <w:w w:val="89"/>
              </w:rPr>
              <w:t xml:space="preserve">3.625% Senior Notes, due 2031 </w:t>
            </w:r>
            <w:r>
              <w:rPr>
                <w:rFonts w:ascii="Arial" w:cs="Arial" w:eastAsia="Arial" w:hAnsi="Arial"/>
                <w:sz w:val="20"/>
                <w:szCs w:val="20"/>
                <w:color w:val="B4B4B4"/>
                <w:w w:val="89"/>
              </w:rPr>
              <w:t>. . . . . . . . . . . . .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1,030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1,030</w:t>
            </w:r>
          </w:p>
        </w:tc>
        <w:tc>
          <w:tcPr>
            <w:tcW w:w="0" w:type="dxa"/>
            <w:vAlign w:val="bottom"/>
          </w:tcPr>
          <w:p>
            <w:pPr>
              <w:spacing w:after="0"/>
              <w:rPr>
                <w:sz w:val="1"/>
                <w:szCs w:val="1"/>
                <w:color w:val="auto"/>
              </w:rPr>
            </w:pPr>
          </w:p>
        </w:tc>
      </w:tr>
      <w:tr>
        <w:trPr>
          <w:trHeight w:val="297"/>
        </w:trPr>
        <w:tc>
          <w:tcPr>
            <w:tcW w:w="3960" w:type="dxa"/>
            <w:vAlign w:val="bottom"/>
            <w:gridSpan w:val="2"/>
          </w:tcPr>
          <w:p>
            <w:pPr>
              <w:spacing w:after="0"/>
              <w:rPr>
                <w:sz w:val="20"/>
                <w:szCs w:val="20"/>
                <w:color w:val="auto"/>
              </w:rPr>
            </w:pPr>
            <w:r>
              <w:rPr>
                <w:rFonts w:ascii="Arial" w:cs="Arial" w:eastAsia="Arial" w:hAnsi="Arial"/>
                <w:sz w:val="20"/>
                <w:szCs w:val="20"/>
                <w:color w:val="auto"/>
                <w:w w:val="89"/>
              </w:rPr>
              <w:t xml:space="preserve">3.875% Senior Notes, due 2032 </w:t>
            </w:r>
            <w:r>
              <w:rPr>
                <w:rFonts w:ascii="Arial" w:cs="Arial" w:eastAsia="Arial" w:hAnsi="Arial"/>
                <w:sz w:val="20"/>
                <w:szCs w:val="20"/>
                <w:color w:val="B4B4B4"/>
                <w:w w:val="89"/>
              </w:rPr>
              <w:t>. . . . . . . . . . . . .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480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480</w:t>
            </w:r>
          </w:p>
        </w:tc>
        <w:tc>
          <w:tcPr>
            <w:tcW w:w="0" w:type="dxa"/>
            <w:vAlign w:val="bottom"/>
          </w:tcPr>
          <w:p>
            <w:pPr>
              <w:spacing w:after="0"/>
              <w:rPr>
                <w:sz w:val="1"/>
                <w:szCs w:val="1"/>
                <w:color w:val="auto"/>
              </w:rPr>
            </w:pPr>
          </w:p>
        </w:tc>
      </w:tr>
      <w:tr>
        <w:trPr>
          <w:trHeight w:val="297"/>
        </w:trPr>
        <w:tc>
          <w:tcPr>
            <w:tcW w:w="3960" w:type="dxa"/>
            <w:vAlign w:val="bottom"/>
            <w:gridSpan w:val="2"/>
          </w:tcPr>
          <w:p>
            <w:pPr>
              <w:spacing w:after="0"/>
              <w:rPr>
                <w:sz w:val="20"/>
                <w:szCs w:val="20"/>
                <w:color w:val="auto"/>
              </w:rPr>
            </w:pPr>
            <w:r>
              <w:rPr>
                <w:rFonts w:ascii="Arial" w:cs="Arial" w:eastAsia="Arial" w:hAnsi="Arial"/>
                <w:sz w:val="20"/>
                <w:szCs w:val="20"/>
                <w:color w:val="auto"/>
                <w:w w:val="89"/>
              </w:rPr>
              <w:t xml:space="preserve">6.000% Senior Notes, due 2033 </w:t>
            </w:r>
            <w:r>
              <w:rPr>
                <w:rFonts w:ascii="Arial" w:cs="Arial" w:eastAsia="Arial" w:hAnsi="Arial"/>
                <w:sz w:val="20"/>
                <w:szCs w:val="20"/>
                <w:color w:val="B4B4B4"/>
                <w:w w:val="89"/>
              </w:rPr>
              <w:t>. . . . . . . . . . . . .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925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925</w:t>
            </w:r>
          </w:p>
        </w:tc>
        <w:tc>
          <w:tcPr>
            <w:tcW w:w="0" w:type="dxa"/>
            <w:vAlign w:val="bottom"/>
          </w:tcPr>
          <w:p>
            <w:pPr>
              <w:spacing w:after="0"/>
              <w:rPr>
                <w:sz w:val="1"/>
                <w:szCs w:val="1"/>
                <w:color w:val="auto"/>
              </w:rPr>
            </w:pPr>
          </w:p>
        </w:tc>
      </w:tr>
      <w:tr>
        <w:trPr>
          <w:trHeight w:val="297"/>
        </w:trPr>
        <w:tc>
          <w:tcPr>
            <w:tcW w:w="3960" w:type="dxa"/>
            <w:vAlign w:val="bottom"/>
            <w:gridSpan w:val="2"/>
          </w:tcPr>
          <w:p>
            <w:pPr>
              <w:spacing w:after="0"/>
              <w:rPr>
                <w:sz w:val="20"/>
                <w:szCs w:val="20"/>
                <w:color w:val="auto"/>
              </w:rPr>
            </w:pPr>
            <w:r>
              <w:rPr>
                <w:rFonts w:ascii="Arial" w:cs="Arial" w:eastAsia="Arial" w:hAnsi="Arial"/>
                <w:sz w:val="20"/>
                <w:szCs w:val="20"/>
                <w:color w:val="auto"/>
                <w:w w:val="89"/>
              </w:rPr>
              <w:t xml:space="preserve">6.250% Senior Notes, due 2034 </w:t>
            </w:r>
            <w:r>
              <w:rPr>
                <w:rFonts w:ascii="Arial" w:cs="Arial" w:eastAsia="Arial" w:hAnsi="Arial"/>
                <w:sz w:val="20"/>
                <w:szCs w:val="20"/>
                <w:color w:val="B4B4B4"/>
                <w:w w:val="89"/>
              </w:rPr>
              <w:t>. . . . . . . . . . . . .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950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950</w:t>
            </w:r>
          </w:p>
        </w:tc>
        <w:tc>
          <w:tcPr>
            <w:tcW w:w="0" w:type="dxa"/>
            <w:vAlign w:val="bottom"/>
          </w:tcPr>
          <w:p>
            <w:pPr>
              <w:spacing w:after="0"/>
              <w:rPr>
                <w:sz w:val="1"/>
                <w:szCs w:val="1"/>
                <w:color w:val="auto"/>
              </w:rPr>
            </w:pPr>
          </w:p>
        </w:tc>
      </w:tr>
      <w:tr>
        <w:trPr>
          <w:trHeight w:val="297"/>
        </w:trPr>
        <w:tc>
          <w:tcPr>
            <w:tcW w:w="3960" w:type="dxa"/>
            <w:vAlign w:val="bottom"/>
            <w:gridSpan w:val="2"/>
          </w:tcPr>
          <w:p>
            <w:pPr>
              <w:spacing w:after="0"/>
              <w:rPr>
                <w:sz w:val="20"/>
                <w:szCs w:val="20"/>
                <w:color w:val="auto"/>
              </w:rPr>
            </w:pPr>
            <w:r>
              <w:rPr>
                <w:rFonts w:ascii="Arial" w:cs="Arial" w:eastAsia="Arial" w:hAnsi="Arial"/>
                <w:sz w:val="20"/>
                <w:szCs w:val="20"/>
                <w:color w:val="auto"/>
                <w:w w:val="90"/>
              </w:rPr>
              <w:t xml:space="preserve">2.750% Convertible Senior Notes, due 2048 </w:t>
            </w:r>
            <w:r>
              <w:rPr>
                <w:rFonts w:ascii="Arial" w:cs="Arial" w:eastAsia="Arial" w:hAnsi="Arial"/>
                <w:sz w:val="20"/>
                <w:szCs w:val="20"/>
                <w:color w:val="B4B4B4"/>
                <w:w w:val="90"/>
              </w:rPr>
              <w:t>. . .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232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232</w:t>
            </w:r>
          </w:p>
        </w:tc>
        <w:tc>
          <w:tcPr>
            <w:tcW w:w="0" w:type="dxa"/>
            <w:vAlign w:val="bottom"/>
          </w:tcPr>
          <w:p>
            <w:pPr>
              <w:spacing w:after="0"/>
              <w:rPr>
                <w:sz w:val="1"/>
                <w:szCs w:val="1"/>
                <w:color w:val="auto"/>
              </w:rPr>
            </w:pPr>
          </w:p>
        </w:tc>
      </w:tr>
      <w:tr>
        <w:trPr>
          <w:trHeight w:val="297"/>
        </w:trPr>
        <w:tc>
          <w:tcPr>
            <w:tcW w:w="3960" w:type="dxa"/>
            <w:vAlign w:val="bottom"/>
            <w:gridSpan w:val="2"/>
          </w:tcPr>
          <w:p>
            <w:pPr>
              <w:spacing w:after="0"/>
              <w:rPr>
                <w:sz w:val="20"/>
                <w:szCs w:val="20"/>
                <w:color w:val="auto"/>
              </w:rPr>
            </w:pPr>
            <w:r>
              <w:rPr>
                <w:rFonts w:ascii="Arial" w:cs="Arial" w:eastAsia="Arial" w:hAnsi="Arial"/>
                <w:sz w:val="20"/>
                <w:szCs w:val="20"/>
                <w:color w:val="auto"/>
                <w:w w:val="89"/>
              </w:rPr>
              <w:t xml:space="preserve">2.000% Senior Secured Notes, due 2025 </w:t>
            </w:r>
            <w:r>
              <w:rPr>
                <w:rFonts w:ascii="Arial" w:cs="Arial" w:eastAsia="Arial" w:hAnsi="Arial"/>
                <w:sz w:val="20"/>
                <w:szCs w:val="20"/>
                <w:color w:val="B4B4B4"/>
                <w:w w:val="89"/>
              </w:rPr>
              <w:t>. . . . . .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500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500</w:t>
            </w:r>
          </w:p>
        </w:tc>
        <w:tc>
          <w:tcPr>
            <w:tcW w:w="0" w:type="dxa"/>
            <w:vAlign w:val="bottom"/>
          </w:tcPr>
          <w:p>
            <w:pPr>
              <w:spacing w:after="0"/>
              <w:rPr>
                <w:sz w:val="1"/>
                <w:szCs w:val="1"/>
                <w:color w:val="auto"/>
              </w:rPr>
            </w:pPr>
          </w:p>
        </w:tc>
      </w:tr>
      <w:tr>
        <w:trPr>
          <w:trHeight w:val="297"/>
        </w:trPr>
        <w:tc>
          <w:tcPr>
            <w:tcW w:w="3960" w:type="dxa"/>
            <w:vAlign w:val="bottom"/>
            <w:gridSpan w:val="2"/>
          </w:tcPr>
          <w:p>
            <w:pPr>
              <w:spacing w:after="0"/>
              <w:rPr>
                <w:sz w:val="20"/>
                <w:szCs w:val="20"/>
                <w:color w:val="auto"/>
              </w:rPr>
            </w:pPr>
            <w:r>
              <w:rPr>
                <w:rFonts w:ascii="Arial" w:cs="Arial" w:eastAsia="Arial" w:hAnsi="Arial"/>
                <w:sz w:val="20"/>
                <w:szCs w:val="20"/>
                <w:color w:val="auto"/>
                <w:w w:val="89"/>
              </w:rPr>
              <w:t xml:space="preserve">2.450% Senior Secured Notes, due 2027 </w:t>
            </w:r>
            <w:r>
              <w:rPr>
                <w:rFonts w:ascii="Arial" w:cs="Arial" w:eastAsia="Arial" w:hAnsi="Arial"/>
                <w:sz w:val="20"/>
                <w:szCs w:val="20"/>
                <w:color w:val="B4B4B4"/>
                <w:w w:val="89"/>
              </w:rPr>
              <w:t>. . . . . .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900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900</w:t>
            </w:r>
          </w:p>
        </w:tc>
        <w:tc>
          <w:tcPr>
            <w:tcW w:w="0" w:type="dxa"/>
            <w:vAlign w:val="bottom"/>
          </w:tcPr>
          <w:p>
            <w:pPr>
              <w:spacing w:after="0"/>
              <w:rPr>
                <w:sz w:val="1"/>
                <w:szCs w:val="1"/>
                <w:color w:val="auto"/>
              </w:rPr>
            </w:pPr>
          </w:p>
        </w:tc>
      </w:tr>
      <w:tr>
        <w:trPr>
          <w:trHeight w:val="297"/>
        </w:trPr>
        <w:tc>
          <w:tcPr>
            <w:tcW w:w="3960" w:type="dxa"/>
            <w:vAlign w:val="bottom"/>
            <w:gridSpan w:val="2"/>
          </w:tcPr>
          <w:p>
            <w:pPr>
              <w:spacing w:after="0"/>
              <w:rPr>
                <w:sz w:val="20"/>
                <w:szCs w:val="20"/>
                <w:color w:val="auto"/>
              </w:rPr>
            </w:pPr>
            <w:r>
              <w:rPr>
                <w:rFonts w:ascii="Arial" w:cs="Arial" w:eastAsia="Arial" w:hAnsi="Arial"/>
                <w:sz w:val="20"/>
                <w:szCs w:val="20"/>
                <w:color w:val="auto"/>
                <w:w w:val="89"/>
              </w:rPr>
              <w:t xml:space="preserve">4.450% Senior Secured Notes, due 2029 </w:t>
            </w:r>
            <w:r>
              <w:rPr>
                <w:rFonts w:ascii="Arial" w:cs="Arial" w:eastAsia="Arial" w:hAnsi="Arial"/>
                <w:sz w:val="20"/>
                <w:szCs w:val="20"/>
                <w:color w:val="B4B4B4"/>
                <w:w w:val="89"/>
              </w:rPr>
              <w:t>. . . . . .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500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500</w:t>
            </w:r>
          </w:p>
        </w:tc>
        <w:tc>
          <w:tcPr>
            <w:tcW w:w="0" w:type="dxa"/>
            <w:vAlign w:val="bottom"/>
          </w:tcPr>
          <w:p>
            <w:pPr>
              <w:spacing w:after="0"/>
              <w:rPr>
                <w:sz w:val="1"/>
                <w:szCs w:val="1"/>
                <w:color w:val="auto"/>
              </w:rPr>
            </w:pPr>
          </w:p>
        </w:tc>
      </w:tr>
      <w:tr>
        <w:trPr>
          <w:trHeight w:val="297"/>
        </w:trPr>
        <w:tc>
          <w:tcPr>
            <w:tcW w:w="3960" w:type="dxa"/>
            <w:vAlign w:val="bottom"/>
            <w:gridSpan w:val="2"/>
          </w:tcPr>
          <w:p>
            <w:pPr>
              <w:spacing w:after="0"/>
              <w:rPr>
                <w:sz w:val="20"/>
                <w:szCs w:val="20"/>
                <w:color w:val="auto"/>
              </w:rPr>
            </w:pPr>
            <w:r>
              <w:rPr>
                <w:rFonts w:ascii="Arial" w:cs="Arial" w:eastAsia="Arial" w:hAnsi="Arial"/>
                <w:sz w:val="20"/>
                <w:szCs w:val="20"/>
                <w:color w:val="auto"/>
                <w:w w:val="89"/>
              </w:rPr>
              <w:t xml:space="preserve">7.00% Senior Secured Notes, due 2033 </w:t>
            </w:r>
            <w:r>
              <w:rPr>
                <w:rFonts w:ascii="Arial" w:cs="Arial" w:eastAsia="Arial" w:hAnsi="Arial"/>
                <w:sz w:val="20"/>
                <w:szCs w:val="20"/>
                <w:color w:val="B4B4B4"/>
                <w:w w:val="89"/>
              </w:rPr>
              <w:t>. . . . . . .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740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740</w:t>
            </w:r>
          </w:p>
        </w:tc>
        <w:tc>
          <w:tcPr>
            <w:tcW w:w="0" w:type="dxa"/>
            <w:vAlign w:val="bottom"/>
          </w:tcPr>
          <w:p>
            <w:pPr>
              <w:spacing w:after="0"/>
              <w:rPr>
                <w:sz w:val="1"/>
                <w:szCs w:val="1"/>
                <w:color w:val="auto"/>
              </w:rPr>
            </w:pPr>
          </w:p>
        </w:tc>
      </w:tr>
      <w:tr>
        <w:trPr>
          <w:trHeight w:val="297"/>
        </w:trPr>
        <w:tc>
          <w:tcPr>
            <w:tcW w:w="3960" w:type="dxa"/>
            <w:vAlign w:val="bottom"/>
            <w:gridSpan w:val="2"/>
          </w:tcPr>
          <w:p>
            <w:pPr>
              <w:spacing w:after="0"/>
              <w:rPr>
                <w:sz w:val="20"/>
                <w:szCs w:val="20"/>
                <w:color w:val="auto"/>
              </w:rPr>
            </w:pPr>
            <w:r>
              <w:rPr>
                <w:rFonts w:ascii="Arial" w:cs="Arial" w:eastAsia="Arial" w:hAnsi="Arial"/>
                <w:sz w:val="20"/>
                <w:szCs w:val="20"/>
                <w:color w:val="auto"/>
                <w:w w:val="91"/>
              </w:rPr>
              <w:t xml:space="preserve">Tax-exempt bonds </w:t>
            </w:r>
            <w:r>
              <w:rPr>
                <w:rFonts w:ascii="Arial" w:cs="Arial" w:eastAsia="Arial" w:hAnsi="Arial"/>
                <w:sz w:val="20"/>
                <w:szCs w:val="20"/>
                <w:color w:val="B4B4B4"/>
                <w:w w:val="91"/>
              </w:rPr>
              <w:t>. . . . . . . . . . . . . . . . . . . . . . .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247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59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160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466</w:t>
            </w:r>
          </w:p>
        </w:tc>
        <w:tc>
          <w:tcPr>
            <w:tcW w:w="0" w:type="dxa"/>
            <w:vAlign w:val="bottom"/>
          </w:tcPr>
          <w:p>
            <w:pPr>
              <w:spacing w:after="0"/>
              <w:rPr>
                <w:sz w:val="1"/>
                <w:szCs w:val="1"/>
                <w:color w:val="auto"/>
              </w:rPr>
            </w:pPr>
          </w:p>
        </w:tc>
      </w:tr>
      <w:tr>
        <w:trPr>
          <w:trHeight w:val="299"/>
        </w:trPr>
        <w:tc>
          <w:tcPr>
            <w:tcW w:w="3960" w:type="dxa"/>
            <w:vAlign w:val="bottom"/>
            <w:gridSpan w:val="2"/>
          </w:tcPr>
          <w:p>
            <w:pPr>
              <w:spacing w:after="0"/>
              <w:rPr>
                <w:sz w:val="20"/>
                <w:szCs w:val="20"/>
                <w:color w:val="auto"/>
              </w:rPr>
            </w:pPr>
            <w:r>
              <w:rPr>
                <w:rFonts w:ascii="Arial" w:cs="Arial" w:eastAsia="Arial" w:hAnsi="Arial"/>
                <w:sz w:val="20"/>
                <w:szCs w:val="20"/>
                <w:color w:val="auto"/>
                <w:w w:val="91"/>
              </w:rPr>
              <w:t xml:space="preserve">Term Loan B, due 2031 </w:t>
            </w:r>
            <w:r>
              <w:rPr>
                <w:rFonts w:ascii="Arial" w:cs="Arial" w:eastAsia="Arial" w:hAnsi="Arial"/>
                <w:sz w:val="20"/>
                <w:szCs w:val="20"/>
                <w:color w:val="B4B4B4"/>
                <w:w w:val="91"/>
              </w:rPr>
              <w:t>. . . . . . . . . . . . . . . . . . . .</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1,253</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1,317</w:t>
            </w:r>
          </w:p>
        </w:tc>
        <w:tc>
          <w:tcPr>
            <w:tcW w:w="0" w:type="dxa"/>
            <w:vAlign w:val="bottom"/>
          </w:tcPr>
          <w:p>
            <w:pPr>
              <w:spacing w:after="0"/>
              <w:rPr>
                <w:sz w:val="1"/>
                <w:szCs w:val="1"/>
                <w:color w:val="auto"/>
              </w:rPr>
            </w:pPr>
          </w:p>
        </w:tc>
      </w:tr>
      <w:tr>
        <w:trPr>
          <w:trHeight w:val="277"/>
        </w:trPr>
        <w:tc>
          <w:tcPr>
            <w:tcW w:w="39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B4B4B4"/>
                <w:w w:val="97"/>
              </w:rPr>
              <w:t>. . . . . . . . . . . . . . . . .</w:t>
            </w:r>
            <w:r>
              <w:rPr>
                <w:rFonts w:ascii="Arial" w:cs="Arial" w:eastAsia="Arial" w:hAnsi="Arial"/>
                <w:sz w:val="20"/>
                <w:szCs w:val="20"/>
                <w:b w:val="1"/>
                <w:bCs w:val="1"/>
                <w:color w:val="000000"/>
                <w:w w:val="97"/>
              </w:rPr>
              <w:t>SubtotalRecourseDebt</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2,544</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5,538</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10,892</w:t>
            </w:r>
          </w:p>
        </w:tc>
        <w:tc>
          <w:tcPr>
            <w:tcW w:w="0" w:type="dxa"/>
            <w:vAlign w:val="bottom"/>
          </w:tcPr>
          <w:p>
            <w:pPr>
              <w:spacing w:after="0"/>
              <w:rPr>
                <w:sz w:val="1"/>
                <w:szCs w:val="1"/>
                <w:color w:val="auto"/>
              </w:rPr>
            </w:pPr>
          </w:p>
        </w:tc>
      </w:tr>
      <w:tr>
        <w:trPr>
          <w:trHeight w:val="260"/>
        </w:trPr>
        <w:tc>
          <w:tcPr>
            <w:tcW w:w="3960" w:type="dxa"/>
            <w:vAlign w:val="bottom"/>
            <w:gridSpan w:val="2"/>
          </w:tcPr>
          <w:p>
            <w:pPr>
              <w:spacing w:after="0"/>
              <w:rPr>
                <w:sz w:val="20"/>
                <w:szCs w:val="20"/>
                <w:color w:val="auto"/>
              </w:rPr>
            </w:pPr>
            <w:r>
              <w:rPr>
                <w:rFonts w:ascii="Arial" w:cs="Arial" w:eastAsia="Arial" w:hAnsi="Arial"/>
                <w:sz w:val="20"/>
                <w:szCs w:val="20"/>
                <w:b w:val="1"/>
                <w:bCs w:val="1"/>
                <w:color w:val="auto"/>
              </w:rPr>
              <w:t>Finance Leases:</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3960" w:type="dxa"/>
            <w:vAlign w:val="bottom"/>
            <w:gridSpan w:val="2"/>
          </w:tcPr>
          <w:p>
            <w:pPr>
              <w:spacing w:after="0"/>
              <w:rPr>
                <w:sz w:val="20"/>
                <w:szCs w:val="20"/>
                <w:color w:val="auto"/>
              </w:rPr>
            </w:pPr>
            <w:r>
              <w:rPr>
                <w:rFonts w:ascii="Arial" w:cs="Arial" w:eastAsia="Arial" w:hAnsi="Arial"/>
                <w:sz w:val="20"/>
                <w:szCs w:val="20"/>
                <w:color w:val="auto"/>
                <w:w w:val="88"/>
              </w:rPr>
              <w:t xml:space="preserve">Finance leases </w:t>
            </w:r>
            <w:r>
              <w:rPr>
                <w:rFonts w:ascii="Arial" w:cs="Arial" w:eastAsia="Arial" w:hAnsi="Arial"/>
                <w:sz w:val="20"/>
                <w:szCs w:val="20"/>
                <w:color w:val="B4B4B4"/>
                <w:w w:val="88"/>
              </w:rPr>
              <w:t>. . . . . . . . . . . . . . . . . . . . . . . . . . . .</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57"/>
        </w:trPr>
        <w:tc>
          <w:tcPr>
            <w:tcW w:w="39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B4B4B4"/>
              </w:rPr>
              <w:t>. . . . . . . . . . .</w:t>
            </w:r>
            <w:r>
              <w:rPr>
                <w:rFonts w:ascii="Arial" w:cs="Arial" w:eastAsia="Arial" w:hAnsi="Arial"/>
                <w:sz w:val="20"/>
                <w:szCs w:val="20"/>
                <w:b w:val="1"/>
                <w:bCs w:val="1"/>
                <w:color w:val="000000"/>
              </w:rPr>
              <w:t>TotalDebtandFinanceLeases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996</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916</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894</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2,544</w:t>
            </w:r>
          </w:p>
        </w:tc>
        <w:tc>
          <w:tcPr>
            <w:tcW w:w="80" w:type="dxa"/>
            <w:vAlign w:val="bottom"/>
          </w:tcPr>
          <w:p>
            <w:pPr>
              <w:spacing w:after="0"/>
              <w:rPr>
                <w:sz w:val="22"/>
                <w:szCs w:val="22"/>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5,538</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10,906</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Interest Payments</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960" w:type="dxa"/>
            <w:vAlign w:val="bottom"/>
            <w:gridSpan w:val="2"/>
            <w:vMerge w:val="continue"/>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960" w:type="dxa"/>
            <w:vAlign w:val="bottom"/>
            <w:gridSpan w:val="2"/>
            <w:vMerge w:val="continue"/>
          </w:tcPr>
          <w:p>
            <w:pPr>
              <w:jc w:val="right"/>
              <w:ind w:right="40"/>
              <w:spacing w:after="0" w:line="215" w:lineRule="exact"/>
              <w:rPr>
                <w:sz w:val="20"/>
                <w:szCs w:val="20"/>
                <w:color w:val="auto"/>
              </w:rPr>
            </w:pPr>
            <w:r>
              <w:rPr>
                <w:rFonts w:ascii="Arial" w:cs="Arial" w:eastAsia="Arial" w:hAnsi="Arial"/>
                <w:sz w:val="20"/>
                <w:szCs w:val="20"/>
                <w:b w:val="1"/>
                <w:bCs w:val="1"/>
                <w:color w:val="B4B4B4"/>
              </w:rPr>
              <w:t>. . . . . . . . . . . . . . . . . . . . . . .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598</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578</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565</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486</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408</w:t>
            </w:r>
          </w:p>
        </w:tc>
        <w:tc>
          <w:tcPr>
            <w:tcW w:w="80" w:type="dxa"/>
            <w:vAlign w:val="bottom"/>
          </w:tcPr>
          <w:p>
            <w:pPr>
              <w:spacing w:after="0"/>
              <w:rPr>
                <w:sz w:val="24"/>
                <w:szCs w:val="24"/>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877</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-4167505</wp:posOffset>
            </wp:positionV>
            <wp:extent cx="6475095" cy="41744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3">
                      <a:extLst>
                        <a:ext uri="{28A0092B-C50C-407E-A947-70E740481C1C}"/>
                      </a:extLst>
                    </a:blip>
                    <a:srcRect/>
                    <a:stretch>
                      <a:fillRect/>
                    </a:stretch>
                  </pic:blipFill>
                  <pic:spPr bwMode="auto">
                    <a:xfrm>
                      <a:off x="0" y="0"/>
                      <a:ext cx="6475095" cy="4174490"/>
                    </a:xfrm>
                    <a:prstGeom prst="rect">
                      <a:avLst/>
                    </a:prstGeom>
                    <a:noFill/>
                  </pic:spPr>
                </pic:pic>
              </a:graphicData>
            </a:graphic>
          </wp:anchor>
        </w:drawing>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 xml:space="preserve">For further discussion, see Item 15 — Note 12, </w:t>
      </w:r>
      <w:r>
        <w:rPr>
          <w:rFonts w:ascii="Arial" w:cs="Arial" w:eastAsia="Arial" w:hAnsi="Arial"/>
          <w:sz w:val="20"/>
          <w:szCs w:val="20"/>
          <w:b w:val="1"/>
          <w:bCs w:val="1"/>
          <w:i w:val="1"/>
          <w:iCs w:val="1"/>
          <w:color w:val="auto"/>
        </w:rPr>
        <w:t>Long-term Debt and Finance Leases.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Market Operations</w:t>
      </w:r>
    </w:p>
    <w:p>
      <w:pPr>
        <w:spacing w:after="0" w:line="130"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20"/>
          <w:szCs w:val="20"/>
          <w:color w:val="auto"/>
        </w:rPr>
        <w:t>The Company's market operations activities require a significant amount of liquidity and capital resources. These liquidity requirements are primarily driven by: (i) margin and collateral posted with counterparties; (ii) margin and collateral required to participate in physical markets and commodity exchanges; (iii) timing of disbursements and receipts (e.g. buying power before receiving retail revenues); and (iv) initial collateral for large structured transactions. As of December 31, 2024, market operations had total cash collateral outstanding of $309 million and $2.9 billion outstanding in letters of credit to third parties primarily to support its market activities. As of December 31, 2024, total funds deposited by counterparties were $199 million in cash and $377 million of letters of credit.</w:t>
      </w:r>
    </w:p>
    <w:p>
      <w:pPr>
        <w:spacing w:after="0" w:line="9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 xml:space="preserve">The Company has entered into long-term contractual arrangements related to energy purchases, gas transportation and storage, and fuel and transportation services and generation projects. As of December 31, 2024, the Company had minimum payment obligations under such outstanding agreements of $9.0 billion, with $2.4 billion payable within the next 12 months and an additional $1.5 billion of short-term purchase energy commitments. For further discussion, see Item 15 — Note 22, </w:t>
      </w:r>
      <w:r>
        <w:rPr>
          <w:rFonts w:ascii="Arial" w:cs="Arial" w:eastAsia="Arial" w:hAnsi="Arial"/>
          <w:sz w:val="20"/>
          <w:szCs w:val="20"/>
          <w:b w:val="1"/>
          <w:bCs w:val="1"/>
          <w:i w:val="1"/>
          <w:iCs w:val="1"/>
          <w:color w:val="auto"/>
        </w:rPr>
        <w:t>Commitments and Contingencies</w:t>
      </w:r>
      <w:r>
        <w:rPr>
          <w:rFonts w:ascii="Arial" w:cs="Arial" w:eastAsia="Arial" w:hAnsi="Arial"/>
          <w:sz w:val="20"/>
          <w:szCs w:val="20"/>
          <w:color w:val="auto"/>
        </w:rPr>
        <w:t>.</w:t>
      </w:r>
    </w:p>
    <w:p>
      <w:pPr>
        <w:spacing w:after="0" w:line="85"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9"/>
          <w:szCs w:val="19"/>
          <w:color w:val="auto"/>
        </w:rPr>
        <w:t>Future liquidity requirements may change based on the Company's hedging activities and structures, fuel purchases, and future market conditions, including forward prices for energy and fuel and market volatility. In addition, liquidity requirements are dependent on the Company's credit ratings and general perception of its creditworthiness.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First Lien Structure</w:t>
      </w:r>
    </w:p>
    <w:p>
      <w:pPr>
        <w:spacing w:after="0" w:line="130" w:lineRule="exact"/>
        <w:rPr>
          <w:sz w:val="20"/>
          <w:szCs w:val="20"/>
          <w:color w:val="auto"/>
        </w:rPr>
      </w:pPr>
    </w:p>
    <w:p>
      <w:pPr>
        <w:jc w:val="both"/>
        <w:ind w:firstLine="445"/>
        <w:spacing w:after="0" w:line="295" w:lineRule="auto"/>
        <w:rPr>
          <w:sz w:val="20"/>
          <w:szCs w:val="20"/>
          <w:color w:val="auto"/>
        </w:rPr>
      </w:pPr>
      <w:r>
        <w:rPr>
          <w:rFonts w:ascii="Arial" w:cs="Arial" w:eastAsia="Arial" w:hAnsi="Arial"/>
          <w:sz w:val="18"/>
          <w:szCs w:val="18"/>
          <w:color w:val="auto"/>
        </w:rPr>
        <w:t>NRG has the capacity to grant first liens to certain counterparties on a substantial portion of the Company's assets, subject to various exclusions including NRG's assets that have project-level financing and the assets of certain non-guarantor subsidiaries, to reduce the amount of cash collateral and letters of credit that it would otherwise be required to post from time to time to support its obligations under out-of-the-money hedge agreements. The first lien program does not limit the volume that</w:t>
      </w:r>
    </w:p>
    <w:p>
      <w:pPr>
        <w:sectPr>
          <w:pgSz w:w="11880" w:h="15480" w:orient="portrait"/>
          <w:cols w:equalWidth="0" w:num="1">
            <w:col w:w="10160"/>
          </w:cols>
          <w:pgMar w:left="860" w:top="508" w:right="860" w:bottom="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880" w:h="15480" w:orient="portrait"/>
          <w:cols w:equalWidth="0" w:num="1">
            <w:col w:w="10160"/>
          </w:cols>
          <w:pgMar w:left="860" w:top="508" w:right="860" w:bottom="0" w:gutter="0" w:footer="0" w:header="0"/>
          <w:type w:val="continuous"/>
        </w:sectPr>
      </w:pPr>
    </w:p>
    <w:bookmarkStart w:id="68" w:name="page69"/>
    <w:bookmarkEnd w:id="68"/>
    <w:p>
      <w:pPr>
        <w:jc w:val="both"/>
        <w:spacing w:after="0" w:line="262" w:lineRule="auto"/>
        <w:rPr>
          <w:sz w:val="20"/>
          <w:szCs w:val="20"/>
          <w:color w:val="auto"/>
        </w:rPr>
      </w:pPr>
      <w:r>
        <w:rPr>
          <w:rFonts w:ascii="Arial" w:cs="Arial" w:eastAsia="Arial" w:hAnsi="Arial"/>
          <w:sz w:val="20"/>
          <w:szCs w:val="20"/>
          <w:color w:val="auto"/>
        </w:rPr>
        <w:t>can be hedged or the value of underlying out-of-the-money positions. The first lien program also does not require NRG to post collateral above any threshold amount of exposure. The first lien structure is not subject to unwind or termination upon a ratings downgrade of a counterparty and has no stated maturity date.</w:t>
      </w:r>
    </w:p>
    <w:p>
      <w:pPr>
        <w:spacing w:after="0" w:line="78" w:lineRule="exact"/>
        <w:rPr>
          <w:sz w:val="20"/>
          <w:szCs w:val="20"/>
          <w:color w:val="auto"/>
        </w:rPr>
      </w:pPr>
    </w:p>
    <w:p>
      <w:pPr>
        <w:jc w:val="both"/>
        <w:ind w:firstLine="490"/>
        <w:spacing w:after="0" w:line="335" w:lineRule="auto"/>
        <w:rPr>
          <w:sz w:val="20"/>
          <w:szCs w:val="20"/>
          <w:color w:val="auto"/>
        </w:rPr>
      </w:pPr>
      <w:r>
        <w:rPr>
          <w:rFonts w:ascii="Arial" w:cs="Arial" w:eastAsia="Arial" w:hAnsi="Arial"/>
          <w:sz w:val="18"/>
          <w:szCs w:val="18"/>
          <w:color w:val="auto"/>
        </w:rPr>
        <w:t>The Company's first lien counterparties may have a claim on its assets to the extent market prices exceed the hedged prices. As of December 31, 2024, all hedges under the first liens were in-the-money on a counterparty aggregate basis.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Capital Expenditures</w:t>
      </w:r>
    </w:p>
    <w:p>
      <w:pPr>
        <w:spacing w:after="0" w:line="13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The following table summarizes the Company's capital expenditures for maintenance, environmental and investments and integration for the year ended December 31, 2024:</w:t>
      </w:r>
    </w:p>
    <w:p>
      <w:pPr>
        <w:spacing w:after="0" w:line="13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66"/>
              <w:spacing w:after="0"/>
              <w:rPr>
                <w:sz w:val="20"/>
                <w:szCs w:val="20"/>
                <w:color w:val="auto"/>
              </w:rPr>
            </w:pPr>
            <w:r>
              <w:rPr>
                <w:rFonts w:ascii="Arial" w:cs="Arial" w:eastAsia="Arial" w:hAnsi="Arial"/>
                <w:sz w:val="16"/>
                <w:szCs w:val="16"/>
                <w:b w:val="1"/>
                <w:bCs w:val="1"/>
                <w:color w:val="auto"/>
                <w:w w:val="87"/>
              </w:rPr>
              <w:t>Investments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400" w:type="dxa"/>
            <w:vAlign w:val="bottom"/>
            <w:vMerge w:val="restart"/>
          </w:tcPr>
          <w:p>
            <w:pPr>
              <w:jc w:val="right"/>
              <w:ind w:right="4483"/>
              <w:spacing w:after="0"/>
              <w:rPr>
                <w:sz w:val="20"/>
                <w:szCs w:val="20"/>
                <w:color w:val="auto"/>
              </w:rPr>
            </w:pPr>
            <w:r>
              <w:rPr>
                <w:rFonts w:ascii="Arial" w:cs="Arial" w:eastAsia="Arial" w:hAnsi="Arial"/>
                <w:sz w:val="16"/>
                <w:szCs w:val="16"/>
                <w:b w:val="1"/>
                <w:bCs w:val="1"/>
                <w:color w:val="auto"/>
                <w:w w:val="89"/>
              </w:rPr>
              <w:t>(In millions)</w:t>
            </w:r>
          </w:p>
        </w:tc>
        <w:tc>
          <w:tcPr>
            <w:tcW w:w="1080" w:type="dxa"/>
            <w:vAlign w:val="bottom"/>
            <w:gridSpan w:val="2"/>
            <w:vMerge w:val="restart"/>
          </w:tcPr>
          <w:p>
            <w:pPr>
              <w:jc w:val="right"/>
              <w:ind w:right="1"/>
              <w:spacing w:after="0"/>
              <w:rPr>
                <w:sz w:val="20"/>
                <w:szCs w:val="20"/>
                <w:color w:val="auto"/>
              </w:rPr>
            </w:pPr>
            <w:r>
              <w:rPr>
                <w:rFonts w:ascii="Arial" w:cs="Arial" w:eastAsia="Arial" w:hAnsi="Arial"/>
                <w:sz w:val="16"/>
                <w:szCs w:val="16"/>
                <w:b w:val="1"/>
                <w:bCs w:val="1"/>
                <w:color w:val="auto"/>
                <w:w w:val="99"/>
              </w:rPr>
              <w:t>Maintenance</w:t>
            </w:r>
          </w:p>
        </w:tc>
        <w:tc>
          <w:tcPr>
            <w:tcW w:w="60" w:type="dxa"/>
            <w:vAlign w:val="bottom"/>
          </w:tcPr>
          <w:p>
            <w:pPr>
              <w:spacing w:after="0"/>
              <w:rPr>
                <w:sz w:val="13"/>
                <w:szCs w:val="13"/>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8"/>
              </w:rPr>
              <w:t>Environmental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66"/>
              <w:spacing w:after="0" w:line="158" w:lineRule="exact"/>
              <w:rPr>
                <w:sz w:val="20"/>
                <w:szCs w:val="20"/>
                <w:color w:val="auto"/>
              </w:rPr>
            </w:pPr>
            <w:r>
              <w:rPr>
                <w:rFonts w:ascii="Arial" w:cs="Arial" w:eastAsia="Arial" w:hAnsi="Arial"/>
                <w:sz w:val="16"/>
                <w:szCs w:val="16"/>
                <w:b w:val="1"/>
                <w:bCs w:val="1"/>
                <w:color w:val="auto"/>
                <w:w w:val="91"/>
              </w:rPr>
              <w:t>and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vMerge w:val="restart"/>
          </w:tcPr>
          <w:p>
            <w:pPr>
              <w:jc w:val="right"/>
              <w:ind w:right="26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5400" w:type="dxa"/>
            <w:vAlign w:val="bottom"/>
            <w:vMerge w:val="continue"/>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6"/>
              <w:spacing w:after="0"/>
              <w:rPr>
                <w:sz w:val="20"/>
                <w:szCs w:val="20"/>
                <w:color w:val="auto"/>
              </w:rPr>
            </w:pPr>
            <w:r>
              <w:rPr>
                <w:rFonts w:ascii="Arial" w:cs="Arial" w:eastAsia="Arial" w:hAnsi="Arial"/>
                <w:sz w:val="16"/>
                <w:szCs w:val="16"/>
                <w:b w:val="1"/>
                <w:bCs w:val="1"/>
                <w:color w:val="auto"/>
                <w:w w:val="91"/>
              </w:rPr>
              <w:t>Integration</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400" w:type="dxa"/>
            <w:vAlign w:val="bottom"/>
          </w:tcPr>
          <w:p>
            <w:pPr>
              <w:jc w:val="right"/>
              <w:spacing w:after="0"/>
              <w:rPr>
                <w:sz w:val="20"/>
                <w:szCs w:val="20"/>
                <w:color w:val="auto"/>
              </w:rPr>
            </w:pPr>
            <w:r>
              <w:rPr>
                <w:rFonts w:ascii="Arial" w:cs="Arial" w:eastAsia="Arial" w:hAnsi="Arial"/>
                <w:sz w:val="20"/>
                <w:szCs w:val="20"/>
                <w:color w:val="auto"/>
                <w:w w:val="88"/>
              </w:rPr>
              <w:t xml:space="preserve">Texas </w:t>
            </w:r>
            <w:r>
              <w:rPr>
                <w:rFonts w:ascii="Arial" w:cs="Arial" w:eastAsia="Arial" w:hAnsi="Arial"/>
                <w:sz w:val="20"/>
                <w:szCs w:val="20"/>
                <w:color w:val="B4B4B4"/>
                <w:w w:val="88"/>
              </w:rPr>
              <w:t>. . . . . . . . . . . . . . . . . . . . . . . . . . . . . . . . . . . . . . . . . . . . . . . . .</w:t>
            </w:r>
          </w:p>
        </w:tc>
        <w:tc>
          <w:tcPr>
            <w:tcW w:w="420" w:type="dxa"/>
            <w:vAlign w:val="bottom"/>
          </w:tcPr>
          <w:p>
            <w:pPr>
              <w:jc w:val="right"/>
              <w:ind w:right="188"/>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191</w:t>
            </w:r>
          </w:p>
        </w:tc>
        <w:tc>
          <w:tcPr>
            <w:tcW w:w="600" w:type="dxa"/>
            <w:vAlign w:val="bottom"/>
            <w:gridSpan w:val="2"/>
          </w:tcPr>
          <w:p>
            <w:pPr>
              <w:jc w:val="right"/>
              <w:ind w:right="301"/>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18</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160</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369</w:t>
            </w:r>
          </w:p>
        </w:tc>
        <w:tc>
          <w:tcPr>
            <w:tcW w:w="0" w:type="dxa"/>
            <w:vAlign w:val="bottom"/>
          </w:tcPr>
          <w:p>
            <w:pPr>
              <w:spacing w:after="0"/>
              <w:rPr>
                <w:sz w:val="1"/>
                <w:szCs w:val="1"/>
                <w:color w:val="auto"/>
              </w:rPr>
            </w:pPr>
          </w:p>
        </w:tc>
      </w:tr>
      <w:tr>
        <w:trPr>
          <w:trHeight w:val="297"/>
        </w:trPr>
        <w:tc>
          <w:tcPr>
            <w:tcW w:w="5400" w:type="dxa"/>
            <w:vAlign w:val="bottom"/>
          </w:tcPr>
          <w:p>
            <w:pPr>
              <w:jc w:val="right"/>
              <w:spacing w:after="0"/>
              <w:rPr>
                <w:sz w:val="20"/>
                <w:szCs w:val="20"/>
                <w:color w:val="auto"/>
              </w:rPr>
            </w:pPr>
            <w:r>
              <w:rPr>
                <w:rFonts w:ascii="Arial" w:cs="Arial" w:eastAsia="Arial" w:hAnsi="Arial"/>
                <w:sz w:val="20"/>
                <w:szCs w:val="20"/>
                <w:color w:val="auto"/>
                <w:w w:val="89"/>
              </w:rPr>
              <w:t xml:space="preserve">East </w:t>
            </w:r>
            <w:r>
              <w:rPr>
                <w:rFonts w:ascii="Arial" w:cs="Arial" w:eastAsia="Arial" w:hAnsi="Arial"/>
                <w:sz w:val="20"/>
                <w:szCs w:val="20"/>
                <w:color w:val="B4B4B4"/>
                <w:w w:val="89"/>
              </w:rPr>
              <w:t>. . . . . . . . . . . . . . . . . . . . . . . . . . . . . . . . . . . . . . . . . . . . . . . . . .</w:t>
            </w:r>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97"/>
        </w:trPr>
        <w:tc>
          <w:tcPr>
            <w:tcW w:w="5400" w:type="dxa"/>
            <w:vAlign w:val="bottom"/>
          </w:tcPr>
          <w:p>
            <w:pPr>
              <w:jc w:val="right"/>
              <w:spacing w:after="0"/>
              <w:rPr>
                <w:sz w:val="20"/>
                <w:szCs w:val="20"/>
                <w:color w:val="auto"/>
              </w:rPr>
            </w:pPr>
            <w:r>
              <w:rPr>
                <w:rFonts w:ascii="Arial" w:cs="Arial" w:eastAsia="Arial" w:hAnsi="Arial"/>
                <w:sz w:val="20"/>
                <w:szCs w:val="20"/>
                <w:color w:val="auto"/>
                <w:w w:val="89"/>
              </w:rPr>
              <w:t xml:space="preserve">West/Services/Other </w:t>
            </w:r>
            <w:r>
              <w:rPr>
                <w:rFonts w:ascii="Arial" w:cs="Arial" w:eastAsia="Arial" w:hAnsi="Arial"/>
                <w:sz w:val="20"/>
                <w:szCs w:val="20"/>
                <w:color w:val="B4B4B4"/>
                <w:w w:val="89"/>
              </w:rPr>
              <w:t>. . . . . . . . . . . . . . . . . . . . . . . . . . . . . . . . . . . . .</w:t>
            </w:r>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15</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97"/>
        </w:trPr>
        <w:tc>
          <w:tcPr>
            <w:tcW w:w="5400" w:type="dxa"/>
            <w:vAlign w:val="bottom"/>
          </w:tcPr>
          <w:p>
            <w:pPr>
              <w:jc w:val="right"/>
              <w:spacing w:after="0"/>
              <w:rPr>
                <w:sz w:val="20"/>
                <w:szCs w:val="20"/>
                <w:color w:val="auto"/>
              </w:rPr>
            </w:pPr>
            <w:r>
              <w:rPr>
                <w:rFonts w:ascii="Arial" w:cs="Arial" w:eastAsia="Arial" w:hAnsi="Arial"/>
                <w:sz w:val="20"/>
                <w:szCs w:val="20"/>
                <w:color w:val="auto"/>
                <w:w w:val="90"/>
              </w:rPr>
              <w:t xml:space="preserve">Vivint Smart Home </w:t>
            </w:r>
            <w:r>
              <w:rPr>
                <w:rFonts w:ascii="Arial" w:cs="Arial" w:eastAsia="Arial" w:hAnsi="Arial"/>
                <w:sz w:val="20"/>
                <w:szCs w:val="20"/>
                <w:color w:val="B4B4B4"/>
                <w:w w:val="90"/>
              </w:rPr>
              <w:t>. . . . . . . . . . . . . . . . . . . . . . . . . . . . . . . . . . . . . .</w:t>
            </w:r>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18</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99"/>
        </w:trPr>
        <w:tc>
          <w:tcPr>
            <w:tcW w:w="5400" w:type="dxa"/>
            <w:vAlign w:val="bottom"/>
          </w:tcPr>
          <w:p>
            <w:pPr>
              <w:jc w:val="right"/>
              <w:spacing w:after="0"/>
              <w:rPr>
                <w:sz w:val="20"/>
                <w:szCs w:val="20"/>
                <w:color w:val="auto"/>
              </w:rPr>
            </w:pPr>
            <w:r>
              <w:rPr>
                <w:rFonts w:ascii="Arial" w:cs="Arial" w:eastAsia="Arial" w:hAnsi="Arial"/>
                <w:sz w:val="20"/>
                <w:szCs w:val="20"/>
                <w:color w:val="auto"/>
                <w:w w:val="88"/>
              </w:rPr>
              <w:t xml:space="preserve">Corporate </w:t>
            </w:r>
            <w:r>
              <w:rPr>
                <w:rFonts w:ascii="Arial" w:cs="Arial" w:eastAsia="Arial" w:hAnsi="Arial"/>
                <w:sz w:val="20"/>
                <w:szCs w:val="20"/>
                <w:color w:val="B4B4B4"/>
                <w:w w:val="88"/>
              </w:rPr>
              <w:t>. . . . . . . . . . . . . . . . . . . . . . . . . . . . . . . . . . . . . . . . . . . . . .</w:t>
            </w: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275"/>
        </w:trPr>
        <w:tc>
          <w:tcPr>
            <w:tcW w:w="5400" w:type="dxa"/>
            <w:vAlign w:val="bottom"/>
          </w:tcPr>
          <w:p>
            <w:pPr>
              <w:jc w:val="right"/>
              <w:spacing w:after="0"/>
              <w:rPr>
                <w:sz w:val="20"/>
                <w:szCs w:val="20"/>
                <w:color w:val="auto"/>
              </w:rPr>
            </w:pPr>
            <w:r>
              <w:rPr>
                <w:rFonts w:ascii="Arial" w:cs="Arial" w:eastAsia="Arial" w:hAnsi="Arial"/>
                <w:sz w:val="20"/>
                <w:szCs w:val="20"/>
                <w:color w:val="auto"/>
                <w:w w:val="92"/>
              </w:rPr>
              <w:t xml:space="preserve">Total cash capital expenditures for 2024 </w:t>
            </w:r>
            <w:r>
              <w:rPr>
                <w:rFonts w:ascii="Arial" w:cs="Arial" w:eastAsia="Arial" w:hAnsi="Arial"/>
                <w:sz w:val="20"/>
                <w:szCs w:val="20"/>
                <w:color w:val="B4B4B4"/>
                <w:w w:val="92"/>
              </w:rPr>
              <w:t>. . . . . . . . . . . . . . . . . . . .</w:t>
            </w:r>
          </w:p>
        </w:tc>
        <w:tc>
          <w:tcPr>
            <w:tcW w:w="4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243</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21</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208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472</w:t>
            </w:r>
          </w:p>
        </w:tc>
        <w:tc>
          <w:tcPr>
            <w:tcW w:w="0" w:type="dxa"/>
            <w:vAlign w:val="bottom"/>
          </w:tcPr>
          <w:p>
            <w:pPr>
              <w:spacing w:after="0"/>
              <w:rPr>
                <w:sz w:val="1"/>
                <w:szCs w:val="1"/>
                <w:color w:val="auto"/>
              </w:rPr>
            </w:pPr>
          </w:p>
        </w:tc>
      </w:tr>
      <w:tr>
        <w:trPr>
          <w:trHeight w:val="297"/>
        </w:trPr>
        <w:tc>
          <w:tcPr>
            <w:tcW w:w="5400" w:type="dxa"/>
            <w:vAlign w:val="bottom"/>
          </w:tcPr>
          <w:p>
            <w:pPr>
              <w:jc w:val="right"/>
              <w:spacing w:after="0"/>
              <w:rPr>
                <w:sz w:val="20"/>
                <w:szCs w:val="20"/>
                <w:color w:val="auto"/>
              </w:rPr>
            </w:pPr>
            <w:r>
              <w:rPr>
                <w:rFonts w:ascii="Arial" w:cs="Arial" w:eastAsia="Arial" w:hAnsi="Arial"/>
                <w:sz w:val="20"/>
                <w:szCs w:val="20"/>
                <w:color w:val="auto"/>
                <w:w w:val="94"/>
              </w:rPr>
              <w:t xml:space="preserve">Integration operating expenses and cost to achieve </w:t>
            </w:r>
            <w:r>
              <w:rPr>
                <w:rFonts w:ascii="Arial" w:cs="Arial" w:eastAsia="Arial" w:hAnsi="Arial"/>
                <w:sz w:val="20"/>
                <w:szCs w:val="20"/>
                <w:color w:val="B4B4B4"/>
                <w:w w:val="94"/>
              </w:rPr>
              <w:t>. . . . . . . . . .</w:t>
            </w:r>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99"/>
        </w:trPr>
        <w:tc>
          <w:tcPr>
            <w:tcW w:w="5400" w:type="dxa"/>
            <w:vAlign w:val="bottom"/>
          </w:tcPr>
          <w:p>
            <w:pPr>
              <w:jc w:val="right"/>
              <w:spacing w:after="0"/>
              <w:rPr>
                <w:sz w:val="20"/>
                <w:szCs w:val="20"/>
                <w:color w:val="auto"/>
              </w:rPr>
            </w:pPr>
            <w:r>
              <w:rPr>
                <w:rFonts w:ascii="Arial" w:cs="Arial" w:eastAsia="Arial" w:hAnsi="Arial"/>
                <w:sz w:val="20"/>
                <w:szCs w:val="20"/>
                <w:color w:val="auto"/>
                <w:w w:val="96"/>
              </w:rPr>
              <w:t xml:space="preserve">Investments </w:t>
            </w:r>
            <w:r>
              <w:rPr>
                <w:rFonts w:ascii="Arial" w:cs="Arial" w:eastAsia="Arial" w:hAnsi="Arial"/>
                <w:sz w:val="20"/>
                <w:szCs w:val="20"/>
                <w:color w:val="B4B4B4"/>
                <w:w w:val="96"/>
              </w:rPr>
              <w:t>. . . . . . . . . . . . . . . . . . . . . . . . . . . . . . . . . . . . . . . .</w:t>
            </w: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180</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180</w:t>
            </w:r>
          </w:p>
        </w:tc>
        <w:tc>
          <w:tcPr>
            <w:tcW w:w="0" w:type="dxa"/>
            <w:vAlign w:val="bottom"/>
          </w:tcPr>
          <w:p>
            <w:pPr>
              <w:spacing w:after="0"/>
              <w:rPr>
                <w:sz w:val="1"/>
                <w:szCs w:val="1"/>
                <w:color w:val="auto"/>
              </w:rPr>
            </w:pPr>
          </w:p>
        </w:tc>
      </w:tr>
      <w:tr>
        <w:trPr>
          <w:trHeight w:val="210"/>
        </w:trPr>
        <w:tc>
          <w:tcPr>
            <w:tcW w:w="5400" w:type="dxa"/>
            <w:vAlign w:val="bottom"/>
          </w:tcPr>
          <w:p>
            <w:pPr>
              <w:jc w:val="right"/>
              <w:ind w:right="443"/>
              <w:spacing w:after="0" w:line="209" w:lineRule="exact"/>
              <w:rPr>
                <w:sz w:val="20"/>
                <w:szCs w:val="20"/>
                <w:color w:val="auto"/>
              </w:rPr>
            </w:pPr>
            <w:r>
              <w:rPr>
                <w:rFonts w:ascii="Arial" w:cs="Arial" w:eastAsia="Arial" w:hAnsi="Arial"/>
                <w:sz w:val="20"/>
                <w:szCs w:val="20"/>
                <w:color w:val="auto"/>
                <w:w w:val="90"/>
              </w:rPr>
              <w:t>Total cash capital expenditures and investments for the year</w:t>
            </w:r>
          </w:p>
        </w:tc>
        <w:tc>
          <w:tcPr>
            <w:tcW w:w="420" w:type="dxa"/>
            <w:vAlign w:val="bottom"/>
            <w:vMerge w:val="restart"/>
          </w:tcPr>
          <w:p>
            <w:pPr>
              <w:jc w:val="right"/>
              <w:ind w:right="188"/>
              <w:spacing w:after="0"/>
              <w:rPr>
                <w:sz w:val="20"/>
                <w:szCs w:val="20"/>
                <w:color w:val="auto"/>
              </w:rPr>
            </w:pPr>
            <w:r>
              <w:rPr>
                <w:rFonts w:ascii="Arial" w:cs="Arial" w:eastAsia="Arial" w:hAnsi="Arial"/>
                <w:sz w:val="20"/>
                <w:szCs w:val="20"/>
                <w:color w:val="auto"/>
              </w:rPr>
              <w:t>$</w:t>
            </w: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243</w:t>
            </w:r>
          </w:p>
        </w:tc>
        <w:tc>
          <w:tcPr>
            <w:tcW w:w="600" w:type="dxa"/>
            <w:vAlign w:val="bottom"/>
            <w:gridSpan w:val="2"/>
            <w:vMerge w:val="restart"/>
          </w:tcPr>
          <w:p>
            <w:pPr>
              <w:jc w:val="right"/>
              <w:ind w:right="301"/>
              <w:spacing w:after="0"/>
              <w:rPr>
                <w:sz w:val="20"/>
                <w:szCs w:val="20"/>
                <w:color w:val="auto"/>
              </w:rPr>
            </w:pPr>
            <w:r>
              <w:rPr>
                <w:rFonts w:ascii="Arial" w:cs="Arial" w:eastAsia="Arial" w:hAnsi="Arial"/>
                <w:sz w:val="20"/>
                <w:szCs w:val="20"/>
                <w:color w:val="auto"/>
              </w:rPr>
              <w:t>$</w:t>
            </w: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21</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448</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712</w:t>
            </w:r>
          </w:p>
        </w:tc>
        <w:tc>
          <w:tcPr>
            <w:tcW w:w="0" w:type="dxa"/>
            <w:vAlign w:val="bottom"/>
          </w:tcPr>
          <w:p>
            <w:pPr>
              <w:spacing w:after="0"/>
              <w:rPr>
                <w:sz w:val="1"/>
                <w:szCs w:val="1"/>
                <w:color w:val="auto"/>
              </w:rPr>
            </w:pPr>
          </w:p>
        </w:tc>
      </w:tr>
      <w:tr>
        <w:trPr>
          <w:trHeight w:val="240"/>
        </w:trPr>
        <w:tc>
          <w:tcPr>
            <w:tcW w:w="5400" w:type="dxa"/>
            <w:vAlign w:val="bottom"/>
          </w:tcPr>
          <w:p>
            <w:pPr>
              <w:jc w:val="right"/>
              <w:spacing w:after="0"/>
              <w:rPr>
                <w:sz w:val="20"/>
                <w:szCs w:val="20"/>
                <w:color w:val="auto"/>
              </w:rPr>
            </w:pPr>
            <w:r>
              <w:rPr>
                <w:rFonts w:ascii="Arial" w:cs="Arial" w:eastAsia="Arial" w:hAnsi="Arial"/>
                <w:sz w:val="20"/>
                <w:szCs w:val="20"/>
                <w:color w:val="auto"/>
                <w:w w:val="93"/>
              </w:rPr>
              <w:t xml:space="preserve">ended December 31, 2024 </w:t>
            </w:r>
            <w:r>
              <w:rPr>
                <w:rFonts w:ascii="Arial" w:cs="Arial" w:eastAsia="Arial" w:hAnsi="Arial"/>
                <w:sz w:val="20"/>
                <w:szCs w:val="20"/>
                <w:color w:val="B4B4B4"/>
                <w:w w:val="93"/>
              </w:rPr>
              <w:t>. . . . . . . . . . . . . . . . . . . . . . . . . . . . . .</w:t>
            </w:r>
          </w:p>
        </w:tc>
        <w:tc>
          <w:tcPr>
            <w:tcW w:w="4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-1851025</wp:posOffset>
            </wp:positionV>
            <wp:extent cx="6475095" cy="18580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4">
                      <a:extLst>
                        <a:ext uri="{28A0092B-C50C-407E-A947-70E740481C1C}"/>
                      </a:extLst>
                    </a:blip>
                    <a:srcRect/>
                    <a:stretch>
                      <a:fillRect/>
                    </a:stretch>
                  </pic:blipFill>
                  <pic:spPr bwMode="auto">
                    <a:xfrm>
                      <a:off x="0" y="0"/>
                      <a:ext cx="6475095" cy="1858010"/>
                    </a:xfrm>
                    <a:prstGeom prst="rect">
                      <a:avLst/>
                    </a:prstGeom>
                    <a:noFill/>
                  </pic:spPr>
                </pic:pic>
              </a:graphicData>
            </a:graphic>
          </wp:anchor>
        </w:drawing>
      </w:r>
    </w:p>
    <w:p>
      <w:pPr>
        <w:spacing w:after="0" w:line="10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Investments and Integration for the year ended December 31, 2024 include growth expenditures, integration, small book acquisitions and other investments.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Environmental Capital Expenditures Estimate</w:t>
      </w:r>
    </w:p>
    <w:p>
      <w:pPr>
        <w:spacing w:after="0" w:line="130"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NRG estimates that environmental capital expenditures from 2025 through 2029 required to comply with environmental laws will be approximately $73 million, primarily driven by the cost of complying with ELG at the Company's coal units in Texas.</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the status of NRG's coal fleet with respect to air quality controls as of December 31, 2024.</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NRG uses an integrated approach to fuels, controls and emissions markets to meet environmental requirements.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15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ind w:left="780"/>
              <w:spacing w:after="0"/>
              <w:rPr>
                <w:sz w:val="20"/>
                <w:szCs w:val="20"/>
                <w:color w:val="auto"/>
              </w:rPr>
            </w:pPr>
            <w:r>
              <w:rPr>
                <w:rFonts w:ascii="Arial" w:cs="Arial" w:eastAsia="Arial" w:hAnsi="Arial"/>
                <w:sz w:val="16"/>
                <w:szCs w:val="16"/>
                <w:b w:val="1"/>
                <w:bCs w:val="1"/>
                <w:color w:val="auto"/>
                <w:w w:val="78"/>
              </w:rPr>
              <w:t>SO</w:t>
            </w:r>
            <w:r>
              <w:rPr>
                <w:rFonts w:ascii="Arial" w:cs="Arial" w:eastAsia="Arial" w:hAnsi="Arial"/>
                <w:sz w:val="20"/>
                <w:szCs w:val="20"/>
                <w:b w:val="1"/>
                <w:bCs w:val="1"/>
                <w:color w:val="auto"/>
                <w:w w:val="78"/>
                <w:vertAlign w:val="subscript"/>
              </w:rPr>
              <w:t>2</w:t>
            </w:r>
          </w:p>
        </w:tc>
        <w:tc>
          <w:tcPr>
            <w:tcW w:w="7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Borders>
              <w:bottom w:val="single" w:sz="8" w:color="auto"/>
            </w:tcBorders>
            <w:gridSpan w:val="3"/>
          </w:tcPr>
          <w:p>
            <w:pPr>
              <w:ind w:left="820"/>
              <w:spacing w:after="0"/>
              <w:rPr>
                <w:sz w:val="20"/>
                <w:szCs w:val="20"/>
                <w:color w:val="auto"/>
              </w:rPr>
            </w:pPr>
            <w:r>
              <w:rPr>
                <w:rFonts w:ascii="Arial" w:cs="Arial" w:eastAsia="Arial" w:hAnsi="Arial"/>
                <w:sz w:val="16"/>
                <w:szCs w:val="16"/>
                <w:b w:val="1"/>
                <w:bCs w:val="1"/>
                <w:color w:val="auto"/>
                <w:w w:val="95"/>
              </w:rPr>
              <w:t>NO</w:t>
            </w:r>
            <w:r>
              <w:rPr>
                <w:rFonts w:ascii="Arial" w:cs="Arial" w:eastAsia="Arial" w:hAnsi="Arial"/>
                <w:sz w:val="20"/>
                <w:szCs w:val="20"/>
                <w:b w:val="1"/>
                <w:bCs w:val="1"/>
                <w:color w:val="auto"/>
                <w:w w:val="95"/>
                <w:vertAlign w:val="subscript"/>
              </w:rPr>
              <w:t>x</w:t>
            </w:r>
          </w:p>
        </w:tc>
        <w:tc>
          <w:tcPr>
            <w:tcW w:w="8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90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Mercury</w:t>
            </w:r>
          </w:p>
        </w:tc>
        <w:tc>
          <w:tcPr>
            <w:tcW w:w="80" w:type="dxa"/>
            <w:vAlign w:val="bottom"/>
          </w:tcPr>
          <w:p>
            <w:pPr>
              <w:spacing w:after="0"/>
              <w:rPr>
                <w:sz w:val="23"/>
                <w:szCs w:val="23"/>
                <w:color w:val="auto"/>
              </w:rPr>
            </w:pPr>
          </w:p>
        </w:tc>
        <w:tc>
          <w:tcPr>
            <w:tcW w:w="216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rPr>
              <w:t>Particulate</w:t>
            </w:r>
          </w:p>
        </w:tc>
        <w:tc>
          <w:tcPr>
            <w:tcW w:w="0" w:type="dxa"/>
            <w:vAlign w:val="bottom"/>
          </w:tcPr>
          <w:p>
            <w:pPr>
              <w:spacing w:after="0"/>
              <w:rPr>
                <w:sz w:val="1"/>
                <w:szCs w:val="1"/>
                <w:color w:val="auto"/>
              </w:rPr>
            </w:pPr>
          </w:p>
        </w:tc>
      </w:tr>
      <w:tr>
        <w:trPr>
          <w:trHeight w:val="184"/>
        </w:trPr>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Units</w:t>
            </w:r>
          </w:p>
        </w:tc>
        <w:tc>
          <w:tcPr>
            <w:tcW w:w="8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State</w:t>
            </w:r>
          </w:p>
        </w:tc>
        <w:tc>
          <w:tcPr>
            <w:tcW w:w="10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4"/>
              </w:rPr>
              <w:t>Control</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5"/>
              </w:rPr>
              <w:t>Install</w:t>
            </w:r>
          </w:p>
        </w:tc>
        <w:tc>
          <w:tcPr>
            <w:tcW w:w="60" w:type="dxa"/>
            <w:vAlign w:val="bottom"/>
          </w:tcPr>
          <w:p>
            <w:pPr>
              <w:spacing w:after="0"/>
              <w:rPr>
                <w:sz w:val="15"/>
                <w:szCs w:val="15"/>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Control</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0"/>
              </w:rPr>
              <w:t>Install</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4"/>
              </w:rPr>
              <w:t>Control</w:t>
            </w:r>
          </w:p>
        </w:tc>
        <w:tc>
          <w:tcPr>
            <w:tcW w:w="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5"/>
              </w:rPr>
              <w:t>Install</w:t>
            </w: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Control</w:t>
            </w:r>
          </w:p>
        </w:tc>
        <w:tc>
          <w:tcPr>
            <w:tcW w:w="80" w:type="dxa"/>
            <w:vAlign w:val="bottom"/>
          </w:tcPr>
          <w:p>
            <w:pPr>
              <w:spacing w:after="0"/>
              <w:rPr>
                <w:sz w:val="15"/>
                <w:szCs w:val="15"/>
                <w:color w:val="auto"/>
              </w:rPr>
            </w:pPr>
          </w:p>
        </w:tc>
        <w:tc>
          <w:tcPr>
            <w:tcW w:w="10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Install Date</w:t>
            </w:r>
          </w:p>
        </w:tc>
        <w:tc>
          <w:tcPr>
            <w:tcW w:w="0" w:type="dxa"/>
            <w:vAlign w:val="bottom"/>
          </w:tcPr>
          <w:p>
            <w:pPr>
              <w:spacing w:after="0"/>
              <w:rPr>
                <w:sz w:val="1"/>
                <w:szCs w:val="1"/>
                <w:color w:val="auto"/>
              </w:rPr>
            </w:pPr>
          </w:p>
        </w:tc>
      </w:tr>
      <w:tr>
        <w:trPr>
          <w:trHeight w:val="212"/>
        </w:trPr>
        <w:tc>
          <w:tcPr>
            <w:tcW w:w="15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Equipment</w:t>
            </w:r>
          </w:p>
        </w:tc>
        <w:tc>
          <w:tcPr>
            <w:tcW w:w="80" w:type="dxa"/>
            <w:vAlign w:val="bottom"/>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6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Equipment</w:t>
            </w: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Equipment</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Equipment</w:t>
            </w:r>
          </w:p>
        </w:tc>
        <w:tc>
          <w:tcPr>
            <w:tcW w:w="8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500" w:type="dxa"/>
            <w:vAlign w:val="bottom"/>
            <w:vMerge w:val="restart"/>
          </w:tcPr>
          <w:p>
            <w:pPr>
              <w:jc w:val="center"/>
              <w:spacing w:after="0"/>
              <w:rPr>
                <w:sz w:val="20"/>
                <w:szCs w:val="20"/>
                <w:color w:val="auto"/>
              </w:rPr>
            </w:pPr>
            <w:r>
              <w:rPr>
                <w:rFonts w:ascii="Arial" w:cs="Arial" w:eastAsia="Arial" w:hAnsi="Arial"/>
                <w:sz w:val="16"/>
                <w:szCs w:val="16"/>
                <w:color w:val="auto"/>
                <w:w w:val="88"/>
              </w:rPr>
              <w:t>Indian River 4</w:t>
            </w:r>
            <w:r>
              <w:rPr>
                <w:rFonts w:ascii="Arial" w:cs="Arial" w:eastAsia="Arial" w:hAnsi="Arial"/>
                <w:sz w:val="20"/>
                <w:szCs w:val="20"/>
                <w:color w:val="auto"/>
                <w:w w:val="88"/>
                <w:vertAlign w:val="superscript"/>
              </w:rPr>
              <w:t>(a)</w:t>
            </w:r>
            <w:r>
              <w:rPr>
                <w:rFonts w:ascii="Arial" w:cs="Arial" w:eastAsia="Arial" w:hAnsi="Arial"/>
                <w:sz w:val="16"/>
                <w:szCs w:val="16"/>
                <w:color w:val="auto"/>
                <w:w w:val="88"/>
              </w:rPr>
              <w:t xml:space="preserve">  </w:t>
            </w:r>
            <w:r>
              <w:rPr>
                <w:rFonts w:ascii="Arial" w:cs="Arial" w:eastAsia="Arial" w:hAnsi="Arial"/>
                <w:sz w:val="16"/>
                <w:szCs w:val="16"/>
                <w:color w:val="B4B4B4"/>
                <w:w w:val="88"/>
              </w:rPr>
              <w:t>. . . .</w:t>
            </w:r>
          </w:p>
        </w:tc>
        <w:tc>
          <w:tcPr>
            <w:tcW w:w="8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89"/>
              </w:rPr>
              <w:t>DE</w:t>
            </w:r>
          </w:p>
        </w:tc>
        <w:tc>
          <w:tcPr>
            <w:tcW w:w="1040" w:type="dxa"/>
            <w:vAlign w:val="bottom"/>
            <w:gridSpan w:val="2"/>
            <w:vMerge w:val="restart"/>
          </w:tcPr>
          <w:p>
            <w:pPr>
              <w:jc w:val="center"/>
              <w:ind w:right="20"/>
              <w:spacing w:after="0"/>
              <w:rPr>
                <w:sz w:val="20"/>
                <w:szCs w:val="20"/>
                <w:color w:val="auto"/>
              </w:rPr>
            </w:pPr>
            <w:r>
              <w:rPr>
                <w:rFonts w:ascii="Arial" w:cs="Arial" w:eastAsia="Arial" w:hAnsi="Arial"/>
                <w:sz w:val="16"/>
                <w:szCs w:val="16"/>
                <w:color w:val="auto"/>
                <w:w w:val="88"/>
              </w:rPr>
              <w:t>CDS</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89"/>
              </w:rPr>
              <w:t>2011</w:t>
            </w:r>
          </w:p>
        </w:tc>
        <w:tc>
          <w:tcPr>
            <w:tcW w:w="60" w:type="dxa"/>
            <w:vAlign w:val="bottom"/>
          </w:tcPr>
          <w:p>
            <w:pPr>
              <w:spacing w:after="0"/>
              <w:rPr>
                <w:sz w:val="15"/>
                <w:szCs w:val="15"/>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color w:val="auto"/>
                <w:w w:val="96"/>
              </w:rPr>
              <w:t>LNBOFA/</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1999/2011</w:t>
            </w:r>
          </w:p>
        </w:tc>
        <w:tc>
          <w:tcPr>
            <w:tcW w:w="8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w w:val="96"/>
              </w:rPr>
              <w:t>ACI/CDS/FF</w:t>
            </w:r>
          </w:p>
        </w:tc>
        <w:tc>
          <w:tcPr>
            <w:tcW w:w="920" w:type="dxa"/>
            <w:vAlign w:val="bottom"/>
            <w:gridSpan w:val="2"/>
            <w:vMerge w:val="restart"/>
          </w:tcPr>
          <w:p>
            <w:pPr>
              <w:jc w:val="center"/>
              <w:ind w:left="1"/>
              <w:spacing w:after="0"/>
              <w:rPr>
                <w:sz w:val="20"/>
                <w:szCs w:val="20"/>
                <w:color w:val="auto"/>
              </w:rPr>
            </w:pPr>
            <w:r>
              <w:rPr>
                <w:rFonts w:ascii="Arial" w:cs="Arial" w:eastAsia="Arial" w:hAnsi="Arial"/>
                <w:sz w:val="16"/>
                <w:szCs w:val="16"/>
                <w:color w:val="auto"/>
                <w:w w:val="89"/>
              </w:rPr>
              <w:t>2008/2011</w:t>
            </w:r>
          </w:p>
        </w:tc>
        <w:tc>
          <w:tcPr>
            <w:tcW w:w="8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89"/>
              </w:rPr>
              <w:t>ESP/FF</w:t>
            </w:r>
          </w:p>
        </w:tc>
        <w:tc>
          <w:tcPr>
            <w:tcW w:w="1100" w:type="dxa"/>
            <w:vAlign w:val="bottom"/>
            <w:tcBorders>
              <w:right w:val="single" w:sz="8" w:color="E6E6E6"/>
            </w:tcBorders>
            <w:gridSpan w:val="2"/>
            <w:vMerge w:val="restart"/>
          </w:tcPr>
          <w:p>
            <w:pPr>
              <w:jc w:val="center"/>
              <w:spacing w:after="0"/>
              <w:rPr>
                <w:sz w:val="20"/>
                <w:szCs w:val="20"/>
                <w:color w:val="auto"/>
              </w:rPr>
            </w:pPr>
            <w:r>
              <w:rPr>
                <w:rFonts w:ascii="Arial" w:cs="Arial" w:eastAsia="Arial" w:hAnsi="Arial"/>
                <w:sz w:val="16"/>
                <w:szCs w:val="16"/>
                <w:color w:val="auto"/>
                <w:w w:val="89"/>
              </w:rPr>
              <w:t>1980/2011</w:t>
            </w:r>
          </w:p>
        </w:tc>
        <w:tc>
          <w:tcPr>
            <w:tcW w:w="0" w:type="dxa"/>
            <w:vAlign w:val="bottom"/>
          </w:tcPr>
          <w:p>
            <w:pPr>
              <w:spacing w:after="0"/>
              <w:rPr>
                <w:sz w:val="1"/>
                <w:szCs w:val="1"/>
                <w:color w:val="auto"/>
              </w:rPr>
            </w:pPr>
          </w:p>
        </w:tc>
      </w:tr>
      <w:tr>
        <w:trPr>
          <w:trHeight w:val="222"/>
        </w:trPr>
        <w:tc>
          <w:tcPr>
            <w:tcW w:w="1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color w:val="auto"/>
                <w:w w:val="88"/>
              </w:rPr>
              <w:t>SCR</w:t>
            </w: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100" w:type="dxa"/>
            <w:vAlign w:val="bottom"/>
            <w:tcBorders>
              <w:right w:val="single" w:sz="8" w:color="E6E6E6"/>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00" w:type="dxa"/>
            <w:vAlign w:val="bottom"/>
          </w:tcPr>
          <w:p>
            <w:pPr>
              <w:jc w:val="center"/>
              <w:spacing w:after="0"/>
              <w:rPr>
                <w:sz w:val="20"/>
                <w:szCs w:val="20"/>
                <w:color w:val="auto"/>
              </w:rPr>
            </w:pPr>
            <w:r>
              <w:rPr>
                <w:rFonts w:ascii="Arial" w:cs="Arial" w:eastAsia="Arial" w:hAnsi="Arial"/>
                <w:sz w:val="16"/>
                <w:szCs w:val="16"/>
                <w:color w:val="auto"/>
                <w:w w:val="89"/>
              </w:rPr>
              <w:t xml:space="preserve">Limestone 1-2 </w:t>
            </w:r>
            <w:r>
              <w:rPr>
                <w:rFonts w:ascii="Arial" w:cs="Arial" w:eastAsia="Arial" w:hAnsi="Arial"/>
                <w:sz w:val="16"/>
                <w:szCs w:val="16"/>
                <w:color w:val="B4B4B4"/>
                <w:w w:val="89"/>
              </w:rPr>
              <w:t>. . . . . .</w:t>
            </w:r>
          </w:p>
        </w:tc>
        <w:tc>
          <w:tcPr>
            <w:tcW w:w="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w w:val="97"/>
              </w:rPr>
              <w:t>TX</w:t>
            </w:r>
          </w:p>
        </w:tc>
        <w:tc>
          <w:tcPr>
            <w:tcW w:w="1040" w:type="dxa"/>
            <w:vAlign w:val="bottom"/>
            <w:gridSpan w:val="2"/>
          </w:tcPr>
          <w:p>
            <w:pPr>
              <w:jc w:val="center"/>
              <w:ind w:right="20"/>
              <w:spacing w:after="0"/>
              <w:rPr>
                <w:sz w:val="20"/>
                <w:szCs w:val="20"/>
                <w:color w:val="auto"/>
              </w:rPr>
            </w:pPr>
            <w:r>
              <w:rPr>
                <w:rFonts w:ascii="Arial" w:cs="Arial" w:eastAsia="Arial" w:hAnsi="Arial"/>
                <w:sz w:val="16"/>
                <w:szCs w:val="16"/>
                <w:color w:val="auto"/>
                <w:w w:val="88"/>
              </w:rPr>
              <w:t>FGD</w:t>
            </w:r>
          </w:p>
        </w:tc>
        <w:tc>
          <w:tcPr>
            <w:tcW w:w="720" w:type="dxa"/>
            <w:vAlign w:val="bottom"/>
          </w:tcPr>
          <w:p>
            <w:pPr>
              <w:jc w:val="center"/>
              <w:spacing w:after="0"/>
              <w:rPr>
                <w:sz w:val="20"/>
                <w:szCs w:val="20"/>
                <w:color w:val="auto"/>
              </w:rPr>
            </w:pPr>
            <w:r>
              <w:rPr>
                <w:rFonts w:ascii="Arial" w:cs="Arial" w:eastAsia="Arial" w:hAnsi="Arial"/>
                <w:sz w:val="16"/>
                <w:szCs w:val="16"/>
                <w:color w:val="auto"/>
                <w:w w:val="88"/>
              </w:rPr>
              <w:t>1985-86</w:t>
            </w:r>
          </w:p>
        </w:tc>
        <w:tc>
          <w:tcPr>
            <w:tcW w:w="60" w:type="dxa"/>
            <w:vAlign w:val="bottom"/>
          </w:tcPr>
          <w:p>
            <w:pPr>
              <w:spacing w:after="0"/>
              <w:rPr>
                <w:sz w:val="20"/>
                <w:szCs w:val="20"/>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color w:val="auto"/>
                <w:w w:val="96"/>
              </w:rPr>
              <w:t>LNBOFA</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2002/2003</w:t>
            </w: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ACI</w:t>
            </w:r>
          </w:p>
        </w:tc>
        <w:tc>
          <w:tcPr>
            <w:tcW w:w="920" w:type="dxa"/>
            <w:vAlign w:val="bottom"/>
            <w:gridSpan w:val="2"/>
          </w:tcPr>
          <w:p>
            <w:pPr>
              <w:jc w:val="center"/>
              <w:ind w:left="1"/>
              <w:spacing w:after="0"/>
              <w:rPr>
                <w:sz w:val="20"/>
                <w:szCs w:val="20"/>
                <w:color w:val="auto"/>
              </w:rPr>
            </w:pPr>
            <w:r>
              <w:rPr>
                <w:rFonts w:ascii="Arial" w:cs="Arial" w:eastAsia="Arial" w:hAnsi="Arial"/>
                <w:sz w:val="16"/>
                <w:szCs w:val="16"/>
                <w:color w:val="auto"/>
                <w:w w:val="89"/>
              </w:rPr>
              <w:t>2015</w:t>
            </w:r>
          </w:p>
        </w:tc>
        <w:tc>
          <w:tcPr>
            <w:tcW w:w="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7"/>
              </w:rPr>
              <w:t>ESP</w:t>
            </w: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88"/>
              </w:rPr>
              <w:t>1985-1986</w:t>
            </w:r>
          </w:p>
        </w:tc>
        <w:tc>
          <w:tcPr>
            <w:tcW w:w="0" w:type="dxa"/>
            <w:vAlign w:val="bottom"/>
          </w:tcPr>
          <w:p>
            <w:pPr>
              <w:spacing w:after="0"/>
              <w:rPr>
                <w:sz w:val="1"/>
                <w:szCs w:val="1"/>
                <w:color w:val="auto"/>
              </w:rPr>
            </w:pPr>
          </w:p>
        </w:tc>
      </w:tr>
      <w:tr>
        <w:trPr>
          <w:trHeight w:val="268"/>
        </w:trPr>
        <w:tc>
          <w:tcPr>
            <w:tcW w:w="1500" w:type="dxa"/>
            <w:vAlign w:val="bottom"/>
          </w:tcPr>
          <w:p>
            <w:pPr>
              <w:jc w:val="center"/>
              <w:spacing w:after="0"/>
              <w:rPr>
                <w:sz w:val="20"/>
                <w:szCs w:val="20"/>
                <w:color w:val="auto"/>
              </w:rPr>
            </w:pPr>
            <w:r>
              <w:rPr>
                <w:rFonts w:ascii="Arial" w:cs="Arial" w:eastAsia="Arial" w:hAnsi="Arial"/>
                <w:sz w:val="16"/>
                <w:szCs w:val="16"/>
                <w:color w:val="auto"/>
                <w:w w:val="90"/>
              </w:rPr>
              <w:t xml:space="preserve">Powerton 5 </w:t>
            </w:r>
            <w:r>
              <w:rPr>
                <w:rFonts w:ascii="Arial" w:cs="Arial" w:eastAsia="Arial" w:hAnsi="Arial"/>
                <w:sz w:val="16"/>
                <w:szCs w:val="16"/>
                <w:color w:val="B4B4B4"/>
                <w:w w:val="90"/>
              </w:rPr>
              <w:t>. . . . . . . .</w:t>
            </w:r>
          </w:p>
        </w:tc>
        <w:tc>
          <w:tcPr>
            <w:tcW w:w="8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rPr>
              <w:t>IL</w:t>
            </w:r>
          </w:p>
        </w:tc>
        <w:tc>
          <w:tcPr>
            <w:tcW w:w="1040" w:type="dxa"/>
            <w:vAlign w:val="bottom"/>
            <w:gridSpan w:val="2"/>
          </w:tcPr>
          <w:p>
            <w:pPr>
              <w:jc w:val="center"/>
              <w:ind w:right="20"/>
              <w:spacing w:after="0"/>
              <w:rPr>
                <w:sz w:val="20"/>
                <w:szCs w:val="20"/>
                <w:color w:val="auto"/>
              </w:rPr>
            </w:pPr>
            <w:r>
              <w:rPr>
                <w:rFonts w:ascii="Arial" w:cs="Arial" w:eastAsia="Arial" w:hAnsi="Arial"/>
                <w:sz w:val="16"/>
                <w:szCs w:val="16"/>
                <w:color w:val="auto"/>
                <w:w w:val="97"/>
              </w:rPr>
              <w:t>DSI</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2016</w:t>
            </w:r>
          </w:p>
        </w:tc>
        <w:tc>
          <w:tcPr>
            <w:tcW w:w="60" w:type="dxa"/>
            <w:vAlign w:val="bottom"/>
          </w:tcPr>
          <w:p>
            <w:pPr>
              <w:spacing w:after="0"/>
              <w:rPr>
                <w:sz w:val="23"/>
                <w:szCs w:val="23"/>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color w:val="auto"/>
                <w:w w:val="94"/>
              </w:rPr>
              <w:t>OFA/SNCR</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2003/2012</w:t>
            </w:r>
          </w:p>
        </w:tc>
        <w:tc>
          <w:tcPr>
            <w:tcW w:w="8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ACI</w:t>
            </w:r>
          </w:p>
        </w:tc>
        <w:tc>
          <w:tcPr>
            <w:tcW w:w="920" w:type="dxa"/>
            <w:vAlign w:val="bottom"/>
            <w:gridSpan w:val="2"/>
          </w:tcPr>
          <w:p>
            <w:pPr>
              <w:jc w:val="center"/>
              <w:ind w:left="1"/>
              <w:spacing w:after="0"/>
              <w:rPr>
                <w:sz w:val="20"/>
                <w:szCs w:val="20"/>
                <w:color w:val="auto"/>
              </w:rPr>
            </w:pPr>
            <w:r>
              <w:rPr>
                <w:rFonts w:ascii="Arial" w:cs="Arial" w:eastAsia="Arial" w:hAnsi="Arial"/>
                <w:sz w:val="16"/>
                <w:szCs w:val="16"/>
                <w:color w:val="auto"/>
                <w:w w:val="89"/>
              </w:rPr>
              <w:t>2009</w:t>
            </w:r>
          </w:p>
        </w:tc>
        <w:tc>
          <w:tcPr>
            <w:tcW w:w="8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6"/>
              </w:rPr>
              <w:t>ESP/upgrade</w:t>
            </w:r>
          </w:p>
        </w:tc>
        <w:tc>
          <w:tcPr>
            <w:tcW w:w="1100" w:type="dxa"/>
            <w:vAlign w:val="bottom"/>
            <w:tcBorders>
              <w:right w:val="single" w:sz="8" w:color="E6E6E6"/>
            </w:tcBorders>
            <w:gridSpan w:val="2"/>
          </w:tcPr>
          <w:p>
            <w:pPr>
              <w:jc w:val="center"/>
              <w:spacing w:after="0"/>
              <w:rPr>
                <w:sz w:val="20"/>
                <w:szCs w:val="20"/>
                <w:color w:val="auto"/>
              </w:rPr>
            </w:pPr>
            <w:r>
              <w:rPr>
                <w:rFonts w:ascii="Arial" w:cs="Arial" w:eastAsia="Arial" w:hAnsi="Arial"/>
                <w:sz w:val="16"/>
                <w:szCs w:val="16"/>
                <w:color w:val="auto"/>
                <w:w w:val="89"/>
              </w:rPr>
              <w:t>1973/2016</w:t>
            </w:r>
          </w:p>
        </w:tc>
        <w:tc>
          <w:tcPr>
            <w:tcW w:w="0" w:type="dxa"/>
            <w:vAlign w:val="bottom"/>
          </w:tcPr>
          <w:p>
            <w:pPr>
              <w:spacing w:after="0"/>
              <w:rPr>
                <w:sz w:val="1"/>
                <w:szCs w:val="1"/>
                <w:color w:val="auto"/>
              </w:rPr>
            </w:pPr>
          </w:p>
        </w:tc>
      </w:tr>
      <w:tr>
        <w:trPr>
          <w:trHeight w:val="237"/>
        </w:trPr>
        <w:tc>
          <w:tcPr>
            <w:tcW w:w="1500" w:type="dxa"/>
            <w:vAlign w:val="bottom"/>
          </w:tcPr>
          <w:p>
            <w:pPr>
              <w:jc w:val="center"/>
              <w:spacing w:after="0"/>
              <w:rPr>
                <w:sz w:val="20"/>
                <w:szCs w:val="20"/>
                <w:color w:val="auto"/>
              </w:rPr>
            </w:pPr>
            <w:r>
              <w:rPr>
                <w:rFonts w:ascii="Arial" w:cs="Arial" w:eastAsia="Arial" w:hAnsi="Arial"/>
                <w:sz w:val="16"/>
                <w:szCs w:val="16"/>
                <w:color w:val="auto"/>
                <w:w w:val="90"/>
              </w:rPr>
              <w:t xml:space="preserve">Powerton 6 </w:t>
            </w:r>
            <w:r>
              <w:rPr>
                <w:rFonts w:ascii="Arial" w:cs="Arial" w:eastAsia="Arial" w:hAnsi="Arial"/>
                <w:sz w:val="16"/>
                <w:szCs w:val="16"/>
                <w:color w:val="B4B4B4"/>
                <w:w w:val="90"/>
              </w:rPr>
              <w:t>. . . . . . . .</w:t>
            </w:r>
          </w:p>
        </w:tc>
        <w:tc>
          <w:tcPr>
            <w:tcW w:w="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rPr>
              <w:t>IL</w:t>
            </w:r>
          </w:p>
        </w:tc>
        <w:tc>
          <w:tcPr>
            <w:tcW w:w="1040" w:type="dxa"/>
            <w:vAlign w:val="bottom"/>
            <w:gridSpan w:val="2"/>
          </w:tcPr>
          <w:p>
            <w:pPr>
              <w:jc w:val="center"/>
              <w:ind w:right="20"/>
              <w:spacing w:after="0"/>
              <w:rPr>
                <w:sz w:val="20"/>
                <w:szCs w:val="20"/>
                <w:color w:val="auto"/>
              </w:rPr>
            </w:pPr>
            <w:r>
              <w:rPr>
                <w:rFonts w:ascii="Arial" w:cs="Arial" w:eastAsia="Arial" w:hAnsi="Arial"/>
                <w:sz w:val="16"/>
                <w:szCs w:val="16"/>
                <w:color w:val="auto"/>
                <w:w w:val="97"/>
              </w:rPr>
              <w:t>DSI</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2014</w:t>
            </w:r>
          </w:p>
        </w:tc>
        <w:tc>
          <w:tcPr>
            <w:tcW w:w="60" w:type="dxa"/>
            <w:vAlign w:val="bottom"/>
          </w:tcPr>
          <w:p>
            <w:pPr>
              <w:spacing w:after="0"/>
              <w:rPr>
                <w:sz w:val="20"/>
                <w:szCs w:val="20"/>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color w:val="auto"/>
                <w:w w:val="94"/>
              </w:rPr>
              <w:t>OFA/SNCR</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2002/2012</w:t>
            </w: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ACI</w:t>
            </w:r>
          </w:p>
        </w:tc>
        <w:tc>
          <w:tcPr>
            <w:tcW w:w="920" w:type="dxa"/>
            <w:vAlign w:val="bottom"/>
            <w:gridSpan w:val="2"/>
          </w:tcPr>
          <w:p>
            <w:pPr>
              <w:jc w:val="center"/>
              <w:ind w:left="1"/>
              <w:spacing w:after="0"/>
              <w:rPr>
                <w:sz w:val="20"/>
                <w:szCs w:val="20"/>
                <w:color w:val="auto"/>
              </w:rPr>
            </w:pPr>
            <w:r>
              <w:rPr>
                <w:rFonts w:ascii="Arial" w:cs="Arial" w:eastAsia="Arial" w:hAnsi="Arial"/>
                <w:sz w:val="16"/>
                <w:szCs w:val="16"/>
                <w:color w:val="auto"/>
                <w:w w:val="89"/>
              </w:rPr>
              <w:t>2009</w:t>
            </w:r>
          </w:p>
        </w:tc>
        <w:tc>
          <w:tcPr>
            <w:tcW w:w="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6"/>
              </w:rPr>
              <w:t>ESP/upgrade</w:t>
            </w: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89"/>
              </w:rPr>
              <w:t>1976/2014</w:t>
            </w:r>
          </w:p>
        </w:tc>
        <w:tc>
          <w:tcPr>
            <w:tcW w:w="0" w:type="dxa"/>
            <w:vAlign w:val="bottom"/>
          </w:tcPr>
          <w:p>
            <w:pPr>
              <w:spacing w:after="0"/>
              <w:rPr>
                <w:sz w:val="1"/>
                <w:szCs w:val="1"/>
                <w:color w:val="auto"/>
              </w:rPr>
            </w:pPr>
          </w:p>
        </w:tc>
      </w:tr>
      <w:tr>
        <w:trPr>
          <w:trHeight w:val="209"/>
        </w:trPr>
        <w:tc>
          <w:tcPr>
            <w:tcW w:w="1500" w:type="dxa"/>
            <w:vAlign w:val="bottom"/>
            <w:vMerge w:val="restart"/>
          </w:tcPr>
          <w:p>
            <w:pPr>
              <w:jc w:val="center"/>
              <w:spacing w:after="0"/>
              <w:rPr>
                <w:sz w:val="20"/>
                <w:szCs w:val="20"/>
                <w:color w:val="auto"/>
              </w:rPr>
            </w:pPr>
            <w:r>
              <w:rPr>
                <w:rFonts w:ascii="Arial" w:cs="Arial" w:eastAsia="Arial" w:hAnsi="Arial"/>
                <w:sz w:val="16"/>
                <w:szCs w:val="16"/>
                <w:color w:val="auto"/>
                <w:w w:val="91"/>
              </w:rPr>
              <w:t xml:space="preserve">W.A. Parish 5, 6, 7 </w:t>
            </w:r>
            <w:r>
              <w:rPr>
                <w:rFonts w:ascii="Arial" w:cs="Arial" w:eastAsia="Arial" w:hAnsi="Arial"/>
                <w:sz w:val="16"/>
                <w:szCs w:val="16"/>
                <w:color w:val="B4B4B4"/>
                <w:w w:val="91"/>
              </w:rPr>
              <w:t>. .</w:t>
            </w:r>
          </w:p>
        </w:tc>
        <w:tc>
          <w:tcPr>
            <w:tcW w:w="80" w:type="dxa"/>
            <w:vAlign w:val="bottom"/>
          </w:tcPr>
          <w:p>
            <w:pPr>
              <w:spacing w:after="0"/>
              <w:rPr>
                <w:sz w:val="18"/>
                <w:szCs w:val="18"/>
                <w:color w:val="auto"/>
              </w:rPr>
            </w:pP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7"/>
              </w:rPr>
              <w:t>TX</w:t>
            </w:r>
          </w:p>
        </w:tc>
        <w:tc>
          <w:tcPr>
            <w:tcW w:w="1040" w:type="dxa"/>
            <w:vAlign w:val="bottom"/>
            <w:gridSpan w:val="2"/>
          </w:tcPr>
          <w:p>
            <w:pPr>
              <w:jc w:val="center"/>
              <w:ind w:right="20"/>
              <w:spacing w:after="0"/>
              <w:rPr>
                <w:sz w:val="20"/>
                <w:szCs w:val="20"/>
                <w:color w:val="auto"/>
              </w:rPr>
            </w:pPr>
            <w:r>
              <w:rPr>
                <w:rFonts w:ascii="Arial" w:cs="Arial" w:eastAsia="Arial" w:hAnsi="Arial"/>
                <w:sz w:val="16"/>
                <w:szCs w:val="16"/>
                <w:color w:val="auto"/>
                <w:w w:val="90"/>
              </w:rPr>
              <w:t>FF co-</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89"/>
              </w:rPr>
              <w:t>1988</w:t>
            </w:r>
          </w:p>
        </w:tc>
        <w:tc>
          <w:tcPr>
            <w:tcW w:w="60" w:type="dxa"/>
            <w:vAlign w:val="bottom"/>
          </w:tcPr>
          <w:p>
            <w:pPr>
              <w:spacing w:after="0"/>
              <w:rPr>
                <w:sz w:val="18"/>
                <w:szCs w:val="18"/>
                <w:color w:val="auto"/>
              </w:rPr>
            </w:pP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6"/>
                <w:szCs w:val="16"/>
                <w:color w:val="auto"/>
                <w:w w:val="88"/>
              </w:rPr>
              <w:t>SCR</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2004</w:t>
            </w:r>
          </w:p>
        </w:tc>
        <w:tc>
          <w:tcPr>
            <w:tcW w:w="80" w:type="dxa"/>
            <w:vAlign w:val="bottom"/>
          </w:tcPr>
          <w:p>
            <w:pPr>
              <w:spacing w:after="0"/>
              <w:rPr>
                <w:sz w:val="18"/>
                <w:szCs w:val="18"/>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w w:val="97"/>
              </w:rPr>
              <w:t>ACI</w:t>
            </w:r>
          </w:p>
        </w:tc>
        <w:tc>
          <w:tcPr>
            <w:tcW w:w="920" w:type="dxa"/>
            <w:vAlign w:val="bottom"/>
            <w:gridSpan w:val="2"/>
            <w:vMerge w:val="restart"/>
          </w:tcPr>
          <w:p>
            <w:pPr>
              <w:jc w:val="center"/>
              <w:ind w:left="1"/>
              <w:spacing w:after="0"/>
              <w:rPr>
                <w:sz w:val="20"/>
                <w:szCs w:val="20"/>
                <w:color w:val="auto"/>
              </w:rPr>
            </w:pPr>
            <w:r>
              <w:rPr>
                <w:rFonts w:ascii="Arial" w:cs="Arial" w:eastAsia="Arial" w:hAnsi="Arial"/>
                <w:sz w:val="16"/>
                <w:szCs w:val="16"/>
                <w:color w:val="auto"/>
                <w:w w:val="89"/>
              </w:rPr>
              <w:t>2015</w:t>
            </w:r>
          </w:p>
        </w:tc>
        <w:tc>
          <w:tcPr>
            <w:tcW w:w="8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1"/>
              </w:rPr>
              <w:t>FF</w:t>
            </w:r>
          </w:p>
        </w:tc>
        <w:tc>
          <w:tcPr>
            <w:tcW w:w="1100" w:type="dxa"/>
            <w:vAlign w:val="bottom"/>
            <w:tcBorders>
              <w:right w:val="single" w:sz="8" w:color="E6E6E6"/>
            </w:tcBorders>
            <w:gridSpan w:val="2"/>
            <w:vMerge w:val="restart"/>
          </w:tcPr>
          <w:p>
            <w:pPr>
              <w:jc w:val="center"/>
              <w:spacing w:after="0"/>
              <w:rPr>
                <w:sz w:val="20"/>
                <w:szCs w:val="20"/>
                <w:color w:val="auto"/>
              </w:rPr>
            </w:pPr>
            <w:r>
              <w:rPr>
                <w:rFonts w:ascii="Arial" w:cs="Arial" w:eastAsia="Arial" w:hAnsi="Arial"/>
                <w:sz w:val="16"/>
                <w:szCs w:val="16"/>
                <w:color w:val="auto"/>
                <w:w w:val="89"/>
              </w:rPr>
              <w:t>1988</w:t>
            </w:r>
          </w:p>
        </w:tc>
        <w:tc>
          <w:tcPr>
            <w:tcW w:w="0" w:type="dxa"/>
            <w:vAlign w:val="bottom"/>
          </w:tcPr>
          <w:p>
            <w:pPr>
              <w:spacing w:after="0"/>
              <w:rPr>
                <w:sz w:val="1"/>
                <w:szCs w:val="1"/>
                <w:color w:val="auto"/>
              </w:rPr>
            </w:pPr>
          </w:p>
        </w:tc>
      </w:tr>
      <w:tr>
        <w:trPr>
          <w:trHeight w:val="222"/>
        </w:trPr>
        <w:tc>
          <w:tcPr>
            <w:tcW w:w="1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color w:val="auto"/>
                <w:w w:val="91"/>
              </w:rPr>
              <w:t>benefit</w:t>
            </w:r>
          </w:p>
        </w:tc>
        <w:tc>
          <w:tcPr>
            <w:tcW w:w="7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100" w:type="dxa"/>
            <w:vAlign w:val="bottom"/>
            <w:tcBorders>
              <w:right w:val="single" w:sz="8" w:color="E6E6E6"/>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00" w:type="dxa"/>
            <w:vAlign w:val="bottom"/>
          </w:tcPr>
          <w:p>
            <w:pPr>
              <w:jc w:val="center"/>
              <w:spacing w:after="0"/>
              <w:rPr>
                <w:sz w:val="20"/>
                <w:szCs w:val="20"/>
                <w:color w:val="auto"/>
              </w:rPr>
            </w:pPr>
            <w:r>
              <w:rPr>
                <w:rFonts w:ascii="Arial" w:cs="Arial" w:eastAsia="Arial" w:hAnsi="Arial"/>
                <w:sz w:val="16"/>
                <w:szCs w:val="16"/>
                <w:color w:val="auto"/>
                <w:w w:val="91"/>
              </w:rPr>
              <w:t xml:space="preserve">W.A. Parish 8 </w:t>
            </w:r>
            <w:r>
              <w:rPr>
                <w:rFonts w:ascii="Arial" w:cs="Arial" w:eastAsia="Arial" w:hAnsi="Arial"/>
                <w:sz w:val="16"/>
                <w:szCs w:val="16"/>
                <w:color w:val="B4B4B4"/>
                <w:w w:val="91"/>
              </w:rPr>
              <w:t>. . . . . .</w:t>
            </w:r>
          </w:p>
        </w:tc>
        <w:tc>
          <w:tcPr>
            <w:tcW w:w="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w w:val="97"/>
              </w:rPr>
              <w:t>TX</w:t>
            </w:r>
          </w:p>
        </w:tc>
        <w:tc>
          <w:tcPr>
            <w:tcW w:w="1040" w:type="dxa"/>
            <w:vAlign w:val="bottom"/>
            <w:gridSpan w:val="2"/>
          </w:tcPr>
          <w:p>
            <w:pPr>
              <w:jc w:val="center"/>
              <w:ind w:right="20"/>
              <w:spacing w:after="0"/>
              <w:rPr>
                <w:sz w:val="20"/>
                <w:szCs w:val="20"/>
                <w:color w:val="auto"/>
              </w:rPr>
            </w:pPr>
            <w:r>
              <w:rPr>
                <w:rFonts w:ascii="Arial" w:cs="Arial" w:eastAsia="Arial" w:hAnsi="Arial"/>
                <w:sz w:val="16"/>
                <w:szCs w:val="16"/>
                <w:color w:val="auto"/>
                <w:w w:val="88"/>
              </w:rPr>
              <w:t>FGD</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1982</w:t>
            </w:r>
          </w:p>
        </w:tc>
        <w:tc>
          <w:tcPr>
            <w:tcW w:w="60" w:type="dxa"/>
            <w:vAlign w:val="bottom"/>
          </w:tcPr>
          <w:p>
            <w:pPr>
              <w:spacing w:after="0"/>
              <w:rPr>
                <w:sz w:val="20"/>
                <w:szCs w:val="20"/>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color w:val="auto"/>
                <w:w w:val="88"/>
              </w:rPr>
              <w:t>SCR</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2004</w:t>
            </w: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ACI</w:t>
            </w:r>
          </w:p>
        </w:tc>
        <w:tc>
          <w:tcPr>
            <w:tcW w:w="920" w:type="dxa"/>
            <w:vAlign w:val="bottom"/>
            <w:gridSpan w:val="2"/>
          </w:tcPr>
          <w:p>
            <w:pPr>
              <w:jc w:val="center"/>
              <w:ind w:left="1"/>
              <w:spacing w:after="0"/>
              <w:rPr>
                <w:sz w:val="20"/>
                <w:szCs w:val="20"/>
                <w:color w:val="auto"/>
              </w:rPr>
            </w:pPr>
            <w:r>
              <w:rPr>
                <w:rFonts w:ascii="Arial" w:cs="Arial" w:eastAsia="Arial" w:hAnsi="Arial"/>
                <w:sz w:val="16"/>
                <w:szCs w:val="16"/>
                <w:color w:val="auto"/>
                <w:w w:val="89"/>
              </w:rPr>
              <w:t>2015</w:t>
            </w:r>
          </w:p>
        </w:tc>
        <w:tc>
          <w:tcPr>
            <w:tcW w:w="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1"/>
              </w:rPr>
              <w:t>FF</w:t>
            </w: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89"/>
              </w:rPr>
              <w:t>1988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-1171575</wp:posOffset>
            </wp:positionV>
            <wp:extent cx="6475095" cy="1194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5">
                      <a:extLst>
                        <a:ext uri="{28A0092B-C50C-407E-A947-70E740481C1C}"/>
                      </a:extLst>
                    </a:blip>
                    <a:srcRect/>
                    <a:stretch>
                      <a:fillRect/>
                    </a:stretch>
                  </pic:blipFill>
                  <pic:spPr bwMode="auto">
                    <a:xfrm>
                      <a:off x="0" y="0"/>
                      <a:ext cx="6475095" cy="1194435"/>
                    </a:xfrm>
                    <a:prstGeom prst="rect">
                      <a:avLst/>
                    </a:prstGeom>
                    <a:noFill/>
                  </pic:spPr>
                </pic:pic>
              </a:graphicData>
            </a:graphic>
          </wp:anchor>
        </w:drawing>
      </w:r>
    </w:p>
    <w:p>
      <w:pPr>
        <w:spacing w:after="0" w:line="45" w:lineRule="exact"/>
        <w:rPr>
          <w:sz w:val="20"/>
          <w:szCs w:val="20"/>
          <w:color w:val="auto"/>
        </w:rPr>
      </w:pPr>
    </w:p>
    <w:p>
      <w:pPr>
        <w:ind w:left="480" w:hanging="479"/>
        <w:spacing w:after="0"/>
        <w:tabs>
          <w:tab w:leader="none" w:pos="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Indian River Unit 4 retired on February 23, 2025</w:t>
      </w:r>
    </w:p>
    <w:p>
      <w:pPr>
        <w:sectPr>
          <w:pgSz w:w="11880" w:h="15480" w:orient="portrait"/>
          <w:cols w:equalWidth="0" w:num="1">
            <w:col w:w="10160"/>
          </w:cols>
          <w:pgMar w:left="860" w:top="512" w:right="860" w:bottom="0" w:gutter="0" w:footer="0" w:header="0"/>
        </w:sectPr>
      </w:pPr>
    </w:p>
    <w:p>
      <w:pPr>
        <w:spacing w:after="0" w:line="20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ACI - Activated Carbon Injection</w:t>
      </w:r>
    </w:p>
    <w:p>
      <w:pPr>
        <w:ind w:left="60"/>
        <w:spacing w:after="0" w:line="206" w:lineRule="auto"/>
        <w:rPr>
          <w:sz w:val="20"/>
          <w:szCs w:val="20"/>
          <w:color w:val="auto"/>
        </w:rPr>
      </w:pPr>
      <w:r>
        <w:rPr>
          <w:rFonts w:ascii="Arial" w:cs="Arial" w:eastAsia="Arial" w:hAnsi="Arial"/>
          <w:sz w:val="16"/>
          <w:szCs w:val="16"/>
          <w:color w:val="auto"/>
        </w:rPr>
        <w:t>CDS - Circulating Dry Scrubber</w:t>
      </w:r>
    </w:p>
    <w:p>
      <w:pPr>
        <w:ind w:left="60"/>
        <w:spacing w:after="0" w:line="236" w:lineRule="auto"/>
        <w:rPr>
          <w:sz w:val="20"/>
          <w:szCs w:val="20"/>
          <w:color w:val="auto"/>
        </w:rPr>
      </w:pPr>
      <w:r>
        <w:rPr>
          <w:rFonts w:ascii="Arial" w:cs="Arial" w:eastAsia="Arial" w:hAnsi="Arial"/>
          <w:sz w:val="14"/>
          <w:szCs w:val="14"/>
          <w:color w:val="auto"/>
        </w:rPr>
        <w:t>DSI - Dry Sorbent Injection with Trona</w:t>
      </w:r>
    </w:p>
    <w:p>
      <w:pPr>
        <w:ind w:left="60"/>
        <w:spacing w:after="0" w:line="207" w:lineRule="auto"/>
        <w:rPr>
          <w:sz w:val="20"/>
          <w:szCs w:val="20"/>
          <w:color w:val="auto"/>
        </w:rPr>
      </w:pPr>
      <w:r>
        <w:rPr>
          <w:rFonts w:ascii="Arial" w:cs="Arial" w:eastAsia="Arial" w:hAnsi="Arial"/>
          <w:sz w:val="16"/>
          <w:szCs w:val="16"/>
          <w:color w:val="auto"/>
        </w:rPr>
        <w:t>ESP - Electrostatic Precipitator</w:t>
      </w:r>
    </w:p>
    <w:p>
      <w:pPr>
        <w:ind w:left="60"/>
        <w:spacing w:after="0"/>
        <w:rPr>
          <w:sz w:val="20"/>
          <w:szCs w:val="20"/>
          <w:color w:val="auto"/>
        </w:rPr>
      </w:pPr>
      <w:r>
        <w:rPr>
          <w:rFonts w:ascii="Arial" w:cs="Arial" w:eastAsia="Arial" w:hAnsi="Arial"/>
          <w:sz w:val="15"/>
          <w:szCs w:val="15"/>
          <w:color w:val="auto"/>
        </w:rPr>
        <w:t>FGD - Flue Gas Desulfurization (wet)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FF- Fabric Filter</w:t>
      </w:r>
    </w:p>
    <w:p>
      <w:pPr>
        <w:spacing w:after="0" w:line="183" w:lineRule="auto"/>
        <w:rPr>
          <w:sz w:val="20"/>
          <w:szCs w:val="20"/>
          <w:color w:val="auto"/>
        </w:rPr>
      </w:pPr>
      <w:r>
        <w:rPr>
          <w:rFonts w:ascii="Arial" w:cs="Arial" w:eastAsia="Arial" w:hAnsi="Arial"/>
          <w:sz w:val="14"/>
          <w:szCs w:val="14"/>
          <w:color w:val="auto"/>
        </w:rPr>
        <w:t>LNBOFA - Low NO</w:t>
      </w:r>
      <w:r>
        <w:rPr>
          <w:rFonts w:ascii="Arial" w:cs="Arial" w:eastAsia="Arial" w:hAnsi="Arial"/>
          <w:sz w:val="18"/>
          <w:szCs w:val="18"/>
          <w:color w:val="auto"/>
          <w:vertAlign w:val="subscript"/>
        </w:rPr>
        <w:t>x</w:t>
      </w:r>
      <w:r>
        <w:rPr>
          <w:rFonts w:ascii="Arial" w:cs="Arial" w:eastAsia="Arial" w:hAnsi="Arial"/>
          <w:sz w:val="14"/>
          <w:szCs w:val="14"/>
          <w:color w:val="auto"/>
        </w:rPr>
        <w:t xml:space="preserve"> Burner with Overfire Air</w:t>
      </w:r>
    </w:p>
    <w:p>
      <w:pPr>
        <w:spacing w:after="0" w:line="207" w:lineRule="auto"/>
        <w:rPr>
          <w:sz w:val="20"/>
          <w:szCs w:val="20"/>
          <w:color w:val="auto"/>
        </w:rPr>
      </w:pPr>
      <w:r>
        <w:rPr>
          <w:rFonts w:ascii="Arial" w:cs="Arial" w:eastAsia="Arial" w:hAnsi="Arial"/>
          <w:sz w:val="16"/>
          <w:szCs w:val="16"/>
          <w:color w:val="auto"/>
        </w:rPr>
        <w:t>OFA - Overfire Air</w:t>
      </w:r>
    </w:p>
    <w:p>
      <w:pPr>
        <w:spacing w:after="0" w:line="206" w:lineRule="auto"/>
        <w:rPr>
          <w:sz w:val="20"/>
          <w:szCs w:val="20"/>
          <w:color w:val="auto"/>
        </w:rPr>
      </w:pPr>
      <w:r>
        <w:rPr>
          <w:rFonts w:ascii="Arial" w:cs="Arial" w:eastAsia="Arial" w:hAnsi="Arial"/>
          <w:sz w:val="16"/>
          <w:szCs w:val="16"/>
          <w:color w:val="auto"/>
        </w:rPr>
        <w:t>SCR - Selective Catalytic Reduction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SNCR - Selective Non-Catalytic Reduction</w:t>
      </w:r>
    </w:p>
    <w:p>
      <w:pPr>
        <w:spacing w:after="0" w:line="214" w:lineRule="exact"/>
        <w:rPr>
          <w:sz w:val="20"/>
          <w:szCs w:val="20"/>
          <w:color w:val="auto"/>
        </w:rPr>
      </w:pPr>
    </w:p>
    <w:p>
      <w:pPr>
        <w:sectPr>
          <w:pgSz w:w="11880" w:h="15480" w:orient="portrait"/>
          <w:cols w:equalWidth="0" w:num="2">
            <w:col w:w="4420" w:space="720"/>
            <w:col w:w="5020"/>
          </w:cols>
          <w:pgMar w:left="860" w:top="512"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880" w:h="15480" w:orient="portrait"/>
          <w:cols w:equalWidth="0" w:num="1">
            <w:col w:w="10160"/>
          </w:cols>
          <w:pgMar w:left="860" w:top="512" w:right="860" w:bottom="0" w:gutter="0" w:footer="0" w:header="0"/>
          <w:type w:val="continuous"/>
        </w:sectPr>
      </w:pPr>
    </w:p>
    <w:bookmarkStart w:id="69" w:name="page70"/>
    <w:bookmarkEnd w:id="69"/>
    <w:p>
      <w:pPr>
        <w:ind w:left="440"/>
        <w:spacing w:after="0"/>
        <w:rPr>
          <w:sz w:val="20"/>
          <w:szCs w:val="20"/>
          <w:color w:val="auto"/>
        </w:rPr>
      </w:pPr>
      <w:r>
        <w:rPr>
          <w:rFonts w:ascii="Arial" w:cs="Arial" w:eastAsia="Arial" w:hAnsi="Arial"/>
          <w:sz w:val="20"/>
          <w:szCs w:val="20"/>
          <w:color w:val="auto"/>
        </w:rPr>
        <w:t>The following table summarizes the estimated environmental capital expenditures by year:</w:t>
      </w:r>
    </w:p>
    <w:p>
      <w:pPr>
        <w:spacing w:after="0" w:line="159"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8800" w:type="dxa"/>
            <w:vAlign w:val="bottom"/>
          </w:tcPr>
          <w:p>
            <w:pPr>
              <w:jc w:val="right"/>
              <w:ind w:right="7884"/>
              <w:spacing w:after="0"/>
              <w:rPr>
                <w:sz w:val="20"/>
                <w:szCs w:val="20"/>
                <w:color w:val="auto"/>
              </w:rPr>
            </w:pPr>
            <w:r>
              <w:rPr>
                <w:rFonts w:ascii="Arial" w:cs="Arial" w:eastAsia="Arial" w:hAnsi="Arial"/>
                <w:sz w:val="16"/>
                <w:szCs w:val="16"/>
                <w:b w:val="1"/>
                <w:bCs w:val="1"/>
                <w:color w:val="auto"/>
                <w:w w:val="89"/>
              </w:rPr>
              <w:t>(In millions)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Total</w:t>
            </w:r>
          </w:p>
        </w:tc>
      </w:tr>
      <w:tr>
        <w:trPr>
          <w:trHeight w:val="275"/>
        </w:trPr>
        <w:tc>
          <w:tcPr>
            <w:tcW w:w="8800" w:type="dxa"/>
            <w:vAlign w:val="bottom"/>
          </w:tcPr>
          <w:p>
            <w:pPr>
              <w:jc w:val="right"/>
              <w:ind w:right="44"/>
              <w:spacing w:after="0"/>
              <w:rPr>
                <w:sz w:val="20"/>
                <w:szCs w:val="20"/>
                <w:color w:val="auto"/>
              </w:rPr>
            </w:pPr>
            <w:r>
              <w:rPr>
                <w:rFonts w:ascii="Arial" w:cs="Arial" w:eastAsia="Arial" w:hAnsi="Arial"/>
                <w:sz w:val="20"/>
                <w:szCs w:val="20"/>
                <w:color w:val="auto"/>
                <w:w w:val="89"/>
              </w:rPr>
              <w:t xml:space="preserve">2025 </w:t>
            </w:r>
            <w:r>
              <w:rPr>
                <w:rFonts w:ascii="Arial" w:cs="Arial" w:eastAsia="Arial" w:hAnsi="Arial"/>
                <w:sz w:val="20"/>
                <w:szCs w:val="20"/>
                <w:color w:val="B4B4B4"/>
                <w:w w:val="89"/>
              </w:rPr>
              <w:t>. . . . . . . . . . . . . . . . . . . . . . . . . . . . . . . . . . . . . . . . . . . . . . . . . . . . . . . . . . . . . . . . . . . . . . . . . . . . . . . . . . .</w:t>
            </w:r>
          </w:p>
        </w:tc>
        <w:tc>
          <w:tcPr>
            <w:tcW w:w="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97"/>
        </w:trPr>
        <w:tc>
          <w:tcPr>
            <w:tcW w:w="8800" w:type="dxa"/>
            <w:vAlign w:val="bottom"/>
          </w:tcPr>
          <w:p>
            <w:pPr>
              <w:jc w:val="right"/>
              <w:ind w:right="44"/>
              <w:spacing w:after="0"/>
              <w:rPr>
                <w:sz w:val="20"/>
                <w:szCs w:val="20"/>
                <w:color w:val="auto"/>
              </w:rPr>
            </w:pPr>
            <w:r>
              <w:rPr>
                <w:rFonts w:ascii="Arial" w:cs="Arial" w:eastAsia="Arial" w:hAnsi="Arial"/>
                <w:sz w:val="20"/>
                <w:szCs w:val="20"/>
                <w:color w:val="auto"/>
                <w:w w:val="89"/>
              </w:rPr>
              <w:t xml:space="preserve">2026 </w:t>
            </w:r>
            <w:r>
              <w:rPr>
                <w:rFonts w:ascii="Arial" w:cs="Arial" w:eastAsia="Arial" w:hAnsi="Arial"/>
                <w:sz w:val="20"/>
                <w:szCs w:val="20"/>
                <w:color w:val="B4B4B4"/>
                <w:w w:val="89"/>
              </w:rPr>
              <w:t>. . . . . . . . . . . . . . . . . . . . . . . . . . . . . . . . . . . . . . . . . . . . . . . . . . . . . . . . . . . . . . . . . . . . . . . . . . . . . . . . . . .</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97"/>
        </w:trPr>
        <w:tc>
          <w:tcPr>
            <w:tcW w:w="8800" w:type="dxa"/>
            <w:vAlign w:val="bottom"/>
          </w:tcPr>
          <w:p>
            <w:pPr>
              <w:jc w:val="right"/>
              <w:ind w:right="44"/>
              <w:spacing w:after="0"/>
              <w:rPr>
                <w:sz w:val="20"/>
                <w:szCs w:val="20"/>
                <w:color w:val="auto"/>
              </w:rPr>
            </w:pPr>
            <w:r>
              <w:rPr>
                <w:rFonts w:ascii="Arial" w:cs="Arial" w:eastAsia="Arial" w:hAnsi="Arial"/>
                <w:sz w:val="20"/>
                <w:szCs w:val="20"/>
                <w:color w:val="auto"/>
                <w:w w:val="89"/>
              </w:rPr>
              <w:t xml:space="preserve">2027 </w:t>
            </w:r>
            <w:r>
              <w:rPr>
                <w:rFonts w:ascii="Arial" w:cs="Arial" w:eastAsia="Arial" w:hAnsi="Arial"/>
                <w:sz w:val="20"/>
                <w:szCs w:val="20"/>
                <w:color w:val="B4B4B4"/>
                <w:w w:val="89"/>
              </w:rPr>
              <w:t>. . . . . . . . . . . . . . . . . . . . . . . . . . . . . . . . . . . . . . . . . . . . . . . . . . . . . . . . . . . . . . . . . . . . . . . . . . . . . . . . . . .</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97"/>
        </w:trPr>
        <w:tc>
          <w:tcPr>
            <w:tcW w:w="8800" w:type="dxa"/>
            <w:vAlign w:val="bottom"/>
          </w:tcPr>
          <w:p>
            <w:pPr>
              <w:jc w:val="right"/>
              <w:ind w:right="44"/>
              <w:spacing w:after="0"/>
              <w:rPr>
                <w:sz w:val="20"/>
                <w:szCs w:val="20"/>
                <w:color w:val="auto"/>
              </w:rPr>
            </w:pPr>
            <w:r>
              <w:rPr>
                <w:rFonts w:ascii="Arial" w:cs="Arial" w:eastAsia="Arial" w:hAnsi="Arial"/>
                <w:sz w:val="20"/>
                <w:szCs w:val="20"/>
                <w:color w:val="auto"/>
                <w:w w:val="89"/>
              </w:rPr>
              <w:t xml:space="preserve">2028 </w:t>
            </w:r>
            <w:r>
              <w:rPr>
                <w:rFonts w:ascii="Arial" w:cs="Arial" w:eastAsia="Arial" w:hAnsi="Arial"/>
                <w:sz w:val="20"/>
                <w:szCs w:val="20"/>
                <w:color w:val="B4B4B4"/>
                <w:w w:val="89"/>
              </w:rPr>
              <w:t>. . . . . . . . . . . . . . . . . . . . . . . . . . . . . . . . . . . . . . . . . . . . . . . . . . . . . . . . . . . . . . . . . . . . . . . . . . . . . . . . . . .</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99"/>
        </w:trPr>
        <w:tc>
          <w:tcPr>
            <w:tcW w:w="8800" w:type="dxa"/>
            <w:vAlign w:val="bottom"/>
          </w:tcPr>
          <w:p>
            <w:pPr>
              <w:jc w:val="right"/>
              <w:ind w:right="44"/>
              <w:spacing w:after="0"/>
              <w:rPr>
                <w:sz w:val="20"/>
                <w:szCs w:val="20"/>
                <w:color w:val="auto"/>
              </w:rPr>
            </w:pPr>
            <w:r>
              <w:rPr>
                <w:rFonts w:ascii="Arial" w:cs="Arial" w:eastAsia="Arial" w:hAnsi="Arial"/>
                <w:sz w:val="20"/>
                <w:szCs w:val="20"/>
                <w:color w:val="auto"/>
                <w:w w:val="89"/>
              </w:rPr>
              <w:t xml:space="preserve">2029 </w:t>
            </w:r>
            <w:r>
              <w:rPr>
                <w:rFonts w:ascii="Arial" w:cs="Arial" w:eastAsia="Arial" w:hAnsi="Arial"/>
                <w:sz w:val="20"/>
                <w:szCs w:val="20"/>
                <w:color w:val="B4B4B4"/>
                <w:w w:val="89"/>
              </w:rPr>
              <w:t>. . . . . . . . . . . . . . . . . . . . . . . . . . . . . . . . . . . . . . . . . . . . . . . . . . . . . . . . . . . . . . . . . . . . . . . . . . . . . . . . . . .</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r>
      <w:tr>
        <w:trPr>
          <w:trHeight w:val="257"/>
        </w:trPr>
        <w:tc>
          <w:tcPr>
            <w:tcW w:w="8800" w:type="dxa"/>
            <w:vAlign w:val="bottom"/>
          </w:tcPr>
          <w:p>
            <w:pPr>
              <w:jc w:val="right"/>
              <w:ind w:right="44"/>
              <w:spacing w:after="0"/>
              <w:rPr>
                <w:sz w:val="20"/>
                <w:szCs w:val="20"/>
                <w:color w:val="auto"/>
              </w:rPr>
            </w:pPr>
            <w:r>
              <w:rPr>
                <w:rFonts w:ascii="Arial" w:cs="Arial" w:eastAsia="Arial" w:hAnsi="Arial"/>
                <w:sz w:val="20"/>
                <w:szCs w:val="20"/>
                <w:color w:val="auto"/>
                <w:w w:val="90"/>
              </w:rPr>
              <w:t xml:space="preserve">Total </w:t>
            </w:r>
            <w:r>
              <w:rPr>
                <w:rFonts w:ascii="Arial" w:cs="Arial" w:eastAsia="Arial" w:hAnsi="Arial"/>
                <w:sz w:val="20"/>
                <w:szCs w:val="20"/>
                <w:color w:val="B4B4B4"/>
                <w:w w:val="90"/>
              </w:rPr>
              <w:t>. . . . . . . . . . . . . . . . . . . . . . . . . . . . . . . . . . . . . . . . . . . . . . . . . . . . . . . . . . . . . . . . . . . . . . . . . . . . . . . . . .</w:t>
            </w:r>
          </w:p>
        </w:tc>
        <w:tc>
          <w:tcPr>
            <w:tcW w:w="3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-1162685</wp:posOffset>
            </wp:positionV>
            <wp:extent cx="6475095" cy="11696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6">
                      <a:extLst>
                        <a:ext uri="{28A0092B-C50C-407E-A947-70E740481C1C}"/>
                      </a:extLst>
                    </a:blip>
                    <a:srcRect/>
                    <a:stretch>
                      <a:fillRect/>
                    </a:stretch>
                  </pic:blipFill>
                  <pic:spPr bwMode="auto">
                    <a:xfrm>
                      <a:off x="0" y="0"/>
                      <a:ext cx="6475095" cy="1169670"/>
                    </a:xfrm>
                    <a:prstGeom prst="rect">
                      <a:avLst/>
                    </a:prstGeom>
                    <a:noFill/>
                  </pic:spPr>
                </pic:pic>
              </a:graphicData>
            </a:graphic>
          </wp:anchor>
        </w:drawing>
      </w:r>
    </w:p>
    <w:p>
      <w:pPr>
        <w:spacing w:after="0" w:line="34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Share Repurchases</w:t>
      </w:r>
    </w:p>
    <w:p>
      <w:pPr>
        <w:spacing w:after="0" w:line="130" w:lineRule="exact"/>
        <w:rPr>
          <w:sz w:val="20"/>
          <w:szCs w:val="20"/>
          <w:color w:val="auto"/>
        </w:rPr>
      </w:pPr>
    </w:p>
    <w:p>
      <w:pPr>
        <w:jc w:val="both"/>
        <w:ind w:firstLine="445"/>
        <w:spacing w:after="0" w:line="335" w:lineRule="auto"/>
        <w:rPr>
          <w:sz w:val="20"/>
          <w:szCs w:val="20"/>
          <w:color w:val="auto"/>
        </w:rPr>
      </w:pPr>
      <w:r>
        <w:rPr>
          <w:rFonts w:ascii="Arial" w:cs="Arial" w:eastAsia="Arial" w:hAnsi="Arial"/>
          <w:sz w:val="18"/>
          <w:szCs w:val="18"/>
          <w:color w:val="auto"/>
        </w:rPr>
        <w:t xml:space="preserve">During the year ended December 31, 2024, the Company completed $925 million of open market share repurchases at an average price of $87.57 per share. See Item 15 — Note 15, </w:t>
      </w:r>
      <w:r>
        <w:rPr>
          <w:rFonts w:ascii="Arial" w:cs="Arial" w:eastAsia="Arial" w:hAnsi="Arial"/>
          <w:sz w:val="18"/>
          <w:szCs w:val="18"/>
          <w:b w:val="1"/>
          <w:bCs w:val="1"/>
          <w:i w:val="1"/>
          <w:iCs w:val="1"/>
          <w:color w:val="auto"/>
        </w:rPr>
        <w:t>Capital Structure</w:t>
      </w:r>
      <w:r>
        <w:rPr>
          <w:rFonts w:ascii="Arial" w:cs="Arial" w:eastAsia="Arial" w:hAnsi="Arial"/>
          <w:sz w:val="18"/>
          <w:szCs w:val="18"/>
          <w:color w:val="auto"/>
        </w:rPr>
        <w:t xml:space="preserve"> for additional discussion.</w:t>
      </w:r>
    </w:p>
    <w:p>
      <w:pPr>
        <w:spacing w:after="0" w:line="16"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In October 2024, the Board of Directors authorized an additional $1.0 billion for share repurchases as part of the existing share repurchase authorization, for a total of $3.7 billion. As of January 31, 2025, $1.5 billion is remaining under the $3.7 billion authorization.</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Dividend Increase on Common Stock</w:t>
      </w:r>
    </w:p>
    <w:p>
      <w:pPr>
        <w:spacing w:after="0" w:line="13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During the first quarter of 2024, NRG increased the annual dividend on its common stock to $1.63 from $1.51 per share. The Company returned $343 million of capital to common shareholders in the year ended 2024 through a $1.63 dividend per common share. Beginning in the first quarter of 2025, NRG increased the annual common stock dividend to $1.76 per share, representing an 8% increase from 2024. The Company expects to target an annual common stock dividend growth rate of 7-9% per share in subsequent years.</w:t>
      </w:r>
    </w:p>
    <w:p>
      <w:pPr>
        <w:spacing w:after="0" w:line="8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On January 22, 2025, NRG declared a quarterly dividend on the Company's common stock of $0.44 per share, or $1.76 per share on an annualized basis, payable on February 18, 2025, to stockholders of record as of February 3, 2025. The Company's common stock dividends are subject to available capital, market conditions, and compliance with associated laws and regulations.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Series A Preferred Stock Dividends</w:t>
      </w:r>
    </w:p>
    <w:p>
      <w:pPr>
        <w:spacing w:after="0" w:line="13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In March and September 2024, the Company declared and paid semi-annual dividends of $51.25 per share on its outstanding Series A Preferred Stock, each totaling $33 million.</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Additional Material Cash Requirements Not Discussed Above</w:t>
      </w:r>
    </w:p>
    <w:p>
      <w:pPr>
        <w:spacing w:after="0" w:line="154"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9"/>
          <w:szCs w:val="19"/>
          <w:b w:val="1"/>
          <w:bCs w:val="1"/>
          <w:i w:val="1"/>
          <w:iCs w:val="1"/>
          <w:color w:val="auto"/>
        </w:rPr>
        <w:t xml:space="preserve">Operating leases </w:t>
      </w:r>
      <w:r>
        <w:rPr>
          <w:rFonts w:ascii="Arial" w:cs="Arial" w:eastAsia="Arial" w:hAnsi="Arial"/>
          <w:sz w:val="19"/>
          <w:szCs w:val="19"/>
          <w:color w:val="auto"/>
        </w:rPr>
        <w:t>— The Company leases generating facilities, land, office and equipment, railcars, fleet vehicles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storefront space at retail stores. As of December 31, 2024, the Company had lease payment obligations of $292 million, of which $85 million is payable within the next 12 months. For further discussion, see Item 15 — Note 9, </w:t>
      </w:r>
      <w:r>
        <w:rPr>
          <w:rFonts w:ascii="Arial" w:cs="Arial" w:eastAsia="Arial" w:hAnsi="Arial"/>
          <w:sz w:val="19"/>
          <w:szCs w:val="19"/>
          <w:b w:val="1"/>
          <w:bCs w:val="1"/>
          <w:i w:val="1"/>
          <w:iCs w:val="1"/>
          <w:color w:val="auto"/>
        </w:rPr>
        <w:t>Leases</w:t>
      </w:r>
      <w:r>
        <w:rPr>
          <w:rFonts w:ascii="Arial" w:cs="Arial" w:eastAsia="Arial" w:hAnsi="Arial"/>
          <w:sz w:val="19"/>
          <w:szCs w:val="19"/>
          <w:color w:val="auto"/>
        </w:rPr>
        <w:t>.</w:t>
      </w:r>
    </w:p>
    <w:p>
      <w:pPr>
        <w:spacing w:after="0" w:line="43"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20"/>
          <w:szCs w:val="20"/>
          <w:b w:val="1"/>
          <w:bCs w:val="1"/>
          <w:i w:val="1"/>
          <w:iCs w:val="1"/>
          <w:color w:val="auto"/>
        </w:rPr>
        <w:t xml:space="preserve">Other liabilities </w:t>
      </w:r>
      <w:r>
        <w:rPr>
          <w:rFonts w:ascii="Arial" w:cs="Arial" w:eastAsia="Arial" w:hAnsi="Arial"/>
          <w:sz w:val="20"/>
          <w:szCs w:val="20"/>
          <w:color w:val="auto"/>
        </w:rPr>
        <w:t>— Other liabilities includes water right agreements, service and maintenance agreements, stadium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naming rights, stadium sponsorships, long-term service agreements and other contractual obligations. As of December 31, 2024, the Company had total of $270 million under such commitments, of which $49 million are payable within the next 12 months.</w:t>
      </w:r>
    </w:p>
    <w:p>
      <w:pPr>
        <w:spacing w:after="0" w:line="63"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20"/>
          <w:szCs w:val="20"/>
          <w:b w:val="1"/>
          <w:bCs w:val="1"/>
          <w:i w:val="1"/>
          <w:iCs w:val="1"/>
          <w:color w:val="auto"/>
        </w:rPr>
        <w:t xml:space="preserve">Contingent obligations for guarantees </w:t>
      </w:r>
      <w:r>
        <w:rPr>
          <w:rFonts w:ascii="Arial" w:cs="Arial" w:eastAsia="Arial" w:hAnsi="Arial"/>
          <w:sz w:val="20"/>
          <w:szCs w:val="20"/>
          <w:color w:val="auto"/>
        </w:rPr>
        <w:t>— NRG and its subsidiaries enter into various contracts that include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indemnifications and guarantee provisions as a routine part of the Company’s business activities. For further discussion, see Item 15 —Note 26, </w:t>
      </w:r>
      <w:r>
        <w:rPr>
          <w:rFonts w:ascii="Arial" w:cs="Arial" w:eastAsia="Arial" w:hAnsi="Arial"/>
          <w:sz w:val="20"/>
          <w:szCs w:val="20"/>
          <w:b w:val="1"/>
          <w:bCs w:val="1"/>
          <w:i w:val="1"/>
          <w:iCs w:val="1"/>
          <w:color w:val="auto"/>
        </w:rPr>
        <w:t>Guarantees</w:t>
      </w:r>
      <w:r>
        <w:rPr>
          <w:rFonts w:ascii="Arial" w:cs="Arial" w:eastAsia="Arial" w:hAnsi="Arial"/>
          <w:sz w:val="20"/>
          <w:szCs w:val="20"/>
          <w:color w:val="auto"/>
        </w:rPr>
        <w:t>.</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Obligations Arising Out of a Variable Interest in an Unconsolidated Entity</w:t>
      </w:r>
    </w:p>
    <w:p>
      <w:pPr>
        <w:spacing w:after="0" w:line="130"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20"/>
          <w:szCs w:val="20"/>
          <w:b w:val="1"/>
          <w:bCs w:val="1"/>
          <w:i w:val="1"/>
          <w:iCs w:val="1"/>
          <w:color w:val="auto"/>
        </w:rPr>
        <w:t xml:space="preserve">Variable Interest in Equity investments </w:t>
      </w:r>
      <w:r>
        <w:rPr>
          <w:rFonts w:ascii="Arial" w:cs="Arial" w:eastAsia="Arial" w:hAnsi="Arial"/>
          <w:sz w:val="20"/>
          <w:szCs w:val="20"/>
          <w:color w:val="auto"/>
        </w:rPr>
        <w:t>— NRG's investment in Ivanpah is a variable interest entity for which NRG is not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the primary beneficiary. See also Item 15 — Note 16, </w:t>
      </w:r>
      <w:r>
        <w:rPr>
          <w:rFonts w:ascii="Arial" w:cs="Arial" w:eastAsia="Arial" w:hAnsi="Arial"/>
          <w:sz w:val="20"/>
          <w:szCs w:val="20"/>
          <w:b w:val="1"/>
          <w:bCs w:val="1"/>
          <w:i w:val="1"/>
          <w:iCs w:val="1"/>
          <w:color w:val="auto"/>
        </w:rPr>
        <w:t>Investments Accounted for by the Equity Method and Variable Interest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Entities, </w:t>
      </w:r>
      <w:r>
        <w:rPr>
          <w:rFonts w:ascii="Arial" w:cs="Arial" w:eastAsia="Arial" w:hAnsi="Arial"/>
          <w:sz w:val="20"/>
          <w:szCs w:val="20"/>
          <w:color w:val="auto"/>
        </w:rPr>
        <w:t>to the Consolidated Financial Statements for additional discussion. NRG's pro-rata share of non-recourse debt was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approximately $461 million as of December 31, 2024. This indebtedness may restrict the ability of Ivanpah to issue dividends or distributions to NRG.</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880" w:h="15480" w:orient="portrait"/>
          <w:cols w:equalWidth="0" w:num="1">
            <w:col w:w="10160"/>
          </w:cols>
          <w:pgMar w:left="860" w:top="512" w:right="860" w:bottom="0" w:gutter="0" w:footer="0" w:header="0"/>
          <w:type w:val="continuous"/>
        </w:sectPr>
      </w:pPr>
    </w:p>
    <w:bookmarkStart w:id="70" w:name="page71"/>
    <w:bookmarkEnd w:id="70"/>
    <w:p>
      <w:pPr>
        <w:spacing w:after="0"/>
        <w:rPr>
          <w:sz w:val="20"/>
          <w:szCs w:val="20"/>
          <w:color w:val="auto"/>
        </w:rPr>
      </w:pPr>
      <w:r>
        <w:rPr>
          <w:rFonts w:ascii="Arial" w:cs="Arial" w:eastAsia="Arial" w:hAnsi="Arial"/>
          <w:sz w:val="20"/>
          <w:szCs w:val="20"/>
          <w:b w:val="1"/>
          <w:bCs w:val="1"/>
          <w:color w:val="auto"/>
        </w:rPr>
        <w:t>Cash Flow Discussion</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2024 compared to 2023</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reflects the changes in cash flows for the comparative years:</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6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Year ended December 31,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44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2"/>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30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23"/>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75"/>
        </w:trPr>
        <w:tc>
          <w:tcPr>
            <w:tcW w:w="6440" w:type="dxa"/>
            <w:vAlign w:val="bottom"/>
          </w:tcPr>
          <w:p>
            <w:pPr>
              <w:spacing w:after="0"/>
              <w:rPr>
                <w:sz w:val="20"/>
                <w:szCs w:val="20"/>
                <w:color w:val="auto"/>
              </w:rPr>
            </w:pPr>
            <w:r>
              <w:rPr>
                <w:rFonts w:ascii="Arial" w:cs="Arial" w:eastAsia="Arial" w:hAnsi="Arial"/>
                <w:sz w:val="20"/>
                <w:szCs w:val="20"/>
                <w:color w:val="auto"/>
                <w:w w:val="90"/>
              </w:rPr>
              <w:t xml:space="preserve">Cash provided/(used) by operating activities </w:t>
            </w:r>
            <w:r>
              <w:rPr>
                <w:rFonts w:ascii="Arial" w:cs="Arial" w:eastAsia="Arial" w:hAnsi="Arial"/>
                <w:sz w:val="20"/>
                <w:szCs w:val="20"/>
                <w:color w:val="B4B4B4"/>
                <w:w w:val="90"/>
              </w:rPr>
              <w:t>. . . . . . . . . . . . . . . . . . . . . . . . . . . . .</w:t>
            </w:r>
          </w:p>
        </w:tc>
        <w:tc>
          <w:tcPr>
            <w:tcW w:w="20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2,306</w:t>
            </w:r>
          </w:p>
        </w:tc>
        <w:tc>
          <w:tcPr>
            <w:tcW w:w="100" w:type="dxa"/>
            <w:vAlign w:val="bottom"/>
          </w:tcPr>
          <w:p>
            <w:pPr>
              <w:spacing w:after="0"/>
              <w:rPr>
                <w:sz w:val="23"/>
                <w:szCs w:val="23"/>
                <w:color w:val="auto"/>
              </w:rPr>
            </w:pPr>
          </w:p>
        </w:tc>
        <w:tc>
          <w:tcPr>
            <w:tcW w:w="640" w:type="dxa"/>
            <w:vAlign w:val="bottom"/>
          </w:tcPr>
          <w:p>
            <w:pPr>
              <w:jc w:val="right"/>
              <w:ind w:right="403"/>
              <w:spacing w:after="0"/>
              <w:rPr>
                <w:sz w:val="20"/>
                <w:szCs w:val="20"/>
                <w:color w:val="auto"/>
              </w:rPr>
            </w:pPr>
            <w:r>
              <w:rPr>
                <w:rFonts w:ascii="Arial" w:cs="Arial" w:eastAsia="Arial" w:hAnsi="Arial"/>
                <w:sz w:val="20"/>
                <w:szCs w:val="20"/>
                <w:color w:val="auto"/>
              </w:rPr>
              <w:t>$</w:t>
            </w:r>
          </w:p>
        </w:tc>
        <w:tc>
          <w:tcPr>
            <w:tcW w:w="500" w:type="dxa"/>
            <w:vAlign w:val="bottom"/>
          </w:tcPr>
          <w:p>
            <w:pPr>
              <w:jc w:val="right"/>
              <w:spacing w:after="0"/>
              <w:rPr>
                <w:sz w:val="20"/>
                <w:szCs w:val="20"/>
                <w:color w:val="auto"/>
              </w:rPr>
            </w:pPr>
            <w:r>
              <w:rPr>
                <w:rFonts w:ascii="Arial" w:cs="Arial" w:eastAsia="Arial" w:hAnsi="Arial"/>
                <w:sz w:val="20"/>
                <w:szCs w:val="20"/>
                <w:color w:val="auto"/>
                <w:w w:val="98"/>
              </w:rPr>
              <w:t>(221)</w:t>
            </w:r>
          </w:p>
        </w:tc>
        <w:tc>
          <w:tcPr>
            <w:tcW w:w="10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3"/>
              <w:spacing w:after="0"/>
              <w:rPr>
                <w:sz w:val="20"/>
                <w:szCs w:val="20"/>
                <w:color w:val="auto"/>
              </w:rPr>
            </w:pPr>
            <w:r>
              <w:rPr>
                <w:rFonts w:ascii="Arial" w:cs="Arial" w:eastAsia="Arial" w:hAnsi="Arial"/>
                <w:sz w:val="20"/>
                <w:szCs w:val="20"/>
                <w:color w:val="auto"/>
              </w:rPr>
              <w:t>2,527</w:t>
            </w:r>
          </w:p>
        </w:tc>
        <w:tc>
          <w:tcPr>
            <w:tcW w:w="0" w:type="dxa"/>
            <w:vAlign w:val="bottom"/>
          </w:tcPr>
          <w:p>
            <w:pPr>
              <w:spacing w:after="0"/>
              <w:rPr>
                <w:sz w:val="1"/>
                <w:szCs w:val="1"/>
                <w:color w:val="auto"/>
              </w:rPr>
            </w:pPr>
          </w:p>
        </w:tc>
      </w:tr>
      <w:tr>
        <w:trPr>
          <w:trHeight w:val="297"/>
        </w:trPr>
        <w:tc>
          <w:tcPr>
            <w:tcW w:w="6440" w:type="dxa"/>
            <w:vAlign w:val="bottom"/>
          </w:tcPr>
          <w:p>
            <w:pPr>
              <w:spacing w:after="0"/>
              <w:rPr>
                <w:sz w:val="20"/>
                <w:szCs w:val="20"/>
                <w:color w:val="auto"/>
              </w:rPr>
            </w:pPr>
            <w:r>
              <w:rPr>
                <w:rFonts w:ascii="Arial" w:cs="Arial" w:eastAsia="Arial" w:hAnsi="Arial"/>
                <w:sz w:val="20"/>
                <w:szCs w:val="20"/>
                <w:color w:val="auto"/>
                <w:w w:val="90"/>
              </w:rPr>
              <w:t xml:space="preserve">Cash used by investing activities </w:t>
            </w:r>
            <w:r>
              <w:rPr>
                <w:rFonts w:ascii="Arial" w:cs="Arial" w:eastAsia="Arial" w:hAnsi="Arial"/>
                <w:sz w:val="20"/>
                <w:szCs w:val="20"/>
                <w:color w:val="B4B4B4"/>
                <w:w w:val="90"/>
              </w:rPr>
              <w:t>. . . . . . . . . . . . . . . . . . . . . . . . . . . . . . . . . . . . . .</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(24)</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w w:val="98"/>
              </w:rPr>
              <w:t>(910)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20"/>
                <w:szCs w:val="20"/>
                <w:color w:val="auto"/>
              </w:rPr>
              <w:t>886</w:t>
            </w:r>
          </w:p>
        </w:tc>
        <w:tc>
          <w:tcPr>
            <w:tcW w:w="0" w:type="dxa"/>
            <w:vAlign w:val="bottom"/>
          </w:tcPr>
          <w:p>
            <w:pPr>
              <w:spacing w:after="0"/>
              <w:rPr>
                <w:sz w:val="1"/>
                <w:szCs w:val="1"/>
                <w:color w:val="auto"/>
              </w:rPr>
            </w:pPr>
          </w:p>
        </w:tc>
      </w:tr>
      <w:tr>
        <w:trPr>
          <w:trHeight w:val="297"/>
        </w:trPr>
        <w:tc>
          <w:tcPr>
            <w:tcW w:w="6440" w:type="dxa"/>
            <w:vAlign w:val="bottom"/>
          </w:tcPr>
          <w:p>
            <w:pPr>
              <w:spacing w:after="0"/>
              <w:rPr>
                <w:sz w:val="20"/>
                <w:szCs w:val="20"/>
                <w:color w:val="auto"/>
              </w:rPr>
            </w:pPr>
            <w:r>
              <w:rPr>
                <w:rFonts w:ascii="Arial" w:cs="Arial" w:eastAsia="Arial" w:hAnsi="Arial"/>
                <w:sz w:val="20"/>
                <w:szCs w:val="20"/>
                <w:color w:val="auto"/>
                <w:w w:val="90"/>
              </w:rPr>
              <w:t xml:space="preserve">Cash used by financing activities </w:t>
            </w:r>
            <w:r>
              <w:rPr>
                <w:rFonts w:ascii="Arial" w:cs="Arial" w:eastAsia="Arial" w:hAnsi="Arial"/>
                <w:sz w:val="20"/>
                <w:szCs w:val="20"/>
                <w:color w:val="B4B4B4"/>
                <w:w w:val="90"/>
              </w:rPr>
              <w:t>. . . . . . . . . . . . . . . . . . . . . . . . . . . . . . . . . . . . . .</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(1,755)</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w w:val="98"/>
              </w:rPr>
              <w:t>(400)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(1,355)</w:t>
            </w:r>
          </w:p>
        </w:tc>
        <w:tc>
          <w:tcPr>
            <w:tcW w:w="0" w:type="dxa"/>
            <w:vAlign w:val="bottom"/>
          </w:tcPr>
          <w:p>
            <w:pPr>
              <w:spacing w:after="0"/>
              <w:rPr>
                <w:sz w:val="1"/>
                <w:szCs w:val="1"/>
                <w:color w:val="auto"/>
              </w:rPr>
            </w:pPr>
          </w:p>
        </w:tc>
      </w:tr>
      <w:tr>
        <w:trPr>
          <w:trHeight w:val="424"/>
        </w:trPr>
        <w:tc>
          <w:tcPr>
            <w:tcW w:w="6440" w:type="dxa"/>
            <w:vAlign w:val="bottom"/>
          </w:tcPr>
          <w:p>
            <w:pPr>
              <w:ind w:left="380"/>
              <w:spacing w:after="0"/>
              <w:rPr>
                <w:sz w:val="20"/>
                <w:szCs w:val="20"/>
                <w:color w:val="auto"/>
              </w:rPr>
            </w:pPr>
            <w:r>
              <w:rPr>
                <w:rFonts w:ascii="Arial" w:cs="Arial" w:eastAsia="Arial" w:hAnsi="Arial"/>
                <w:sz w:val="20"/>
                <w:szCs w:val="20"/>
                <w:b w:val="1"/>
                <w:bCs w:val="1"/>
                <w:i w:val="1"/>
                <w:iCs w:val="1"/>
                <w:color w:val="auto"/>
              </w:rPr>
              <w:t>Cash provided/(used) by operating activities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440" w:type="dxa"/>
            <w:vAlign w:val="bottom"/>
          </w:tcPr>
          <w:p>
            <w:pPr>
              <w:ind w:left="380"/>
              <w:spacing w:after="0"/>
              <w:rPr>
                <w:sz w:val="20"/>
                <w:szCs w:val="20"/>
                <w:color w:val="auto"/>
              </w:rPr>
            </w:pPr>
            <w:r>
              <w:rPr>
                <w:rFonts w:ascii="Arial" w:cs="Arial" w:eastAsia="Arial" w:hAnsi="Arial"/>
                <w:sz w:val="20"/>
                <w:szCs w:val="20"/>
                <w:color w:val="auto"/>
                <w:w w:val="95"/>
              </w:rPr>
              <w:t>Changes to cash provided/(used) by operating activities were driven by:</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23"/>
              <w:spacing w:after="0"/>
              <w:rPr>
                <w:sz w:val="20"/>
                <w:szCs w:val="20"/>
                <w:color w:val="auto"/>
              </w:rPr>
            </w:pPr>
            <w:r>
              <w:rPr>
                <w:rFonts w:ascii="Arial" w:cs="Arial" w:eastAsia="Arial" w:hAnsi="Arial"/>
                <w:sz w:val="16"/>
                <w:szCs w:val="16"/>
                <w:b w:val="1"/>
                <w:bCs w:val="1"/>
                <w:color w:val="auto"/>
                <w:w w:val="93"/>
              </w:rPr>
              <w:t>(In millions)</w:t>
            </w:r>
          </w:p>
        </w:tc>
        <w:tc>
          <w:tcPr>
            <w:tcW w:w="0" w:type="dxa"/>
            <w:vAlign w:val="bottom"/>
          </w:tcPr>
          <w:p>
            <w:pPr>
              <w:spacing w:after="0"/>
              <w:rPr>
                <w:sz w:val="1"/>
                <w:szCs w:val="1"/>
                <w:color w:val="auto"/>
              </w:rPr>
            </w:pPr>
          </w:p>
        </w:tc>
      </w:tr>
      <w:tr>
        <w:trPr>
          <w:trHeight w:val="272"/>
        </w:trPr>
        <w:tc>
          <w:tcPr>
            <w:tcW w:w="8320" w:type="dxa"/>
            <w:vAlign w:val="bottom"/>
            <w:gridSpan w:val="5"/>
          </w:tcPr>
          <w:p>
            <w:pPr>
              <w:jc w:val="right"/>
              <w:spacing w:after="0"/>
              <w:rPr>
                <w:sz w:val="20"/>
                <w:szCs w:val="20"/>
                <w:color w:val="auto"/>
              </w:rPr>
            </w:pPr>
            <w:r>
              <w:rPr>
                <w:rFonts w:ascii="Arial" w:cs="Arial" w:eastAsia="Arial" w:hAnsi="Arial"/>
                <w:sz w:val="20"/>
                <w:szCs w:val="20"/>
                <w:color w:val="B4B4B4"/>
                <w:w w:val="99"/>
              </w:rPr>
              <w:t>.</w:t>
            </w:r>
            <w:r>
              <w:rPr>
                <w:rFonts w:ascii="Arial" w:cs="Arial" w:eastAsia="Arial" w:hAnsi="Arial"/>
                <w:sz w:val="20"/>
                <w:szCs w:val="20"/>
                <w:color w:val="000000"/>
                <w:w w:val="99"/>
              </w:rPr>
              <w:t>Changesincashcollateralinsupportofriskmanagementactivitiesduetochangeincommodityprices</w:t>
            </w:r>
          </w:p>
        </w:tc>
        <w:tc>
          <w:tcPr>
            <w:tcW w:w="500" w:type="dxa"/>
            <w:vAlign w:val="bottom"/>
          </w:tcPr>
          <w:p>
            <w:pPr>
              <w:jc w:val="right"/>
              <w:spacing w:after="0"/>
              <w:rPr>
                <w:sz w:val="20"/>
                <w:szCs w:val="20"/>
                <w:color w:val="auto"/>
              </w:rPr>
            </w:pPr>
            <w:r>
              <w:rPr>
                <w:rFonts w:ascii="Arial" w:cs="Arial" w:eastAsia="Arial" w:hAnsi="Arial"/>
                <w:sz w:val="20"/>
                <w:szCs w:val="20"/>
                <w:color w:val="B4B4B4"/>
                <w:w w:val="91"/>
              </w:rPr>
              <w:t>. . . . .</w:t>
            </w:r>
          </w:p>
        </w:tc>
        <w:tc>
          <w:tcPr>
            <w:tcW w:w="100" w:type="dxa"/>
            <w:vAlign w:val="bottom"/>
          </w:tcPr>
          <w:p>
            <w:pPr>
              <w:jc w:val="right"/>
              <w:spacing w:after="0"/>
              <w:rPr>
                <w:sz w:val="20"/>
                <w:szCs w:val="20"/>
                <w:color w:val="auto"/>
              </w:rPr>
            </w:pPr>
            <w:r>
              <w:rPr>
                <w:rFonts w:ascii="Arial" w:cs="Arial" w:eastAsia="Arial" w:hAnsi="Arial"/>
                <w:sz w:val="20"/>
                <w:szCs w:val="20"/>
                <w:color w:val="B4B4B4"/>
              </w:rPr>
              <w:t>.</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right w:val="single" w:sz="8" w:color="E6E6E6"/>
            </w:tcBorders>
          </w:tcPr>
          <w:p>
            <w:pPr>
              <w:jc w:val="right"/>
              <w:spacing w:after="0"/>
              <w:rPr>
                <w:sz w:val="20"/>
                <w:szCs w:val="20"/>
                <w:color w:val="auto"/>
              </w:rPr>
            </w:pPr>
            <w:r>
              <w:rPr>
                <w:rFonts w:ascii="Arial" w:cs="Arial" w:eastAsia="Arial" w:hAnsi="Arial"/>
                <w:sz w:val="20"/>
                <w:szCs w:val="20"/>
                <w:color w:val="auto"/>
              </w:rPr>
              <w:t>2,051</w:t>
            </w:r>
          </w:p>
        </w:tc>
        <w:tc>
          <w:tcPr>
            <w:tcW w:w="0" w:type="dxa"/>
            <w:vAlign w:val="bottom"/>
          </w:tcPr>
          <w:p>
            <w:pPr>
              <w:spacing w:after="0"/>
              <w:rPr>
                <w:sz w:val="1"/>
                <w:szCs w:val="1"/>
                <w:color w:val="auto"/>
              </w:rPr>
            </w:pPr>
          </w:p>
        </w:tc>
      </w:tr>
      <w:tr>
        <w:trPr>
          <w:trHeight w:val="285"/>
        </w:trPr>
        <w:tc>
          <w:tcPr>
            <w:tcW w:w="6440" w:type="dxa"/>
            <w:vAlign w:val="bottom"/>
          </w:tcPr>
          <w:p>
            <w:pPr>
              <w:spacing w:after="0"/>
              <w:rPr>
                <w:sz w:val="20"/>
                <w:szCs w:val="20"/>
                <w:color w:val="auto"/>
              </w:rPr>
            </w:pPr>
            <w:r>
              <w:rPr>
                <w:rFonts w:ascii="Arial" w:cs="Arial" w:eastAsia="Arial" w:hAnsi="Arial"/>
                <w:sz w:val="20"/>
                <w:szCs w:val="20"/>
                <w:color w:val="auto"/>
                <w:w w:val="89"/>
              </w:rPr>
              <w:t xml:space="preserve">Increase in operating income adjusted for other non-cash items </w:t>
            </w:r>
            <w:r>
              <w:rPr>
                <w:rFonts w:ascii="Arial" w:cs="Arial" w:eastAsia="Arial" w:hAnsi="Arial"/>
                <w:sz w:val="20"/>
                <w:szCs w:val="20"/>
                <w:color w:val="B4B4B4"/>
                <w:w w:val="89"/>
              </w:rPr>
              <w:t>. . . . . . . . . . . . . .</w:t>
            </w:r>
          </w:p>
        </w:tc>
        <w:tc>
          <w:tcPr>
            <w:tcW w:w="200" w:type="dxa"/>
            <w:vAlign w:val="bottom"/>
          </w:tcPr>
          <w:p>
            <w:pPr>
              <w:ind w:left="40"/>
              <w:spacing w:after="0"/>
              <w:rPr>
                <w:sz w:val="20"/>
                <w:szCs w:val="20"/>
                <w:color w:val="auto"/>
              </w:rPr>
            </w:pPr>
            <w:r>
              <w:rPr>
                <w:rFonts w:ascii="Arial" w:cs="Arial" w:eastAsia="Arial" w:hAnsi="Arial"/>
                <w:sz w:val="20"/>
                <w:szCs w:val="20"/>
                <w:color w:val="B4B4B4"/>
                <w:w w:val="83"/>
              </w:rPr>
              <w:t>. .</w:t>
            </w:r>
          </w:p>
        </w:tc>
        <w:tc>
          <w:tcPr>
            <w:tcW w:w="1680" w:type="dxa"/>
            <w:vAlign w:val="bottom"/>
            <w:gridSpan w:val="3"/>
          </w:tcPr>
          <w:p>
            <w:pPr>
              <w:jc w:val="right"/>
              <w:spacing w:after="0"/>
              <w:rPr>
                <w:sz w:val="20"/>
                <w:szCs w:val="20"/>
                <w:color w:val="auto"/>
              </w:rPr>
            </w:pPr>
            <w:r>
              <w:rPr>
                <w:rFonts w:ascii="Arial" w:cs="Arial" w:eastAsia="Arial" w:hAnsi="Arial"/>
                <w:sz w:val="20"/>
                <w:szCs w:val="20"/>
                <w:color w:val="B4B4B4"/>
                <w:w w:val="89"/>
              </w:rPr>
              <w:t>. . . . . . . . . . . . . . . . .</w:t>
            </w:r>
          </w:p>
        </w:tc>
        <w:tc>
          <w:tcPr>
            <w:tcW w:w="500" w:type="dxa"/>
            <w:vAlign w:val="bottom"/>
          </w:tcPr>
          <w:p>
            <w:pPr>
              <w:jc w:val="right"/>
              <w:spacing w:after="0"/>
              <w:rPr>
                <w:sz w:val="20"/>
                <w:szCs w:val="20"/>
                <w:color w:val="auto"/>
              </w:rPr>
            </w:pPr>
            <w:r>
              <w:rPr>
                <w:rFonts w:ascii="Arial" w:cs="Arial" w:eastAsia="Arial" w:hAnsi="Arial"/>
                <w:sz w:val="20"/>
                <w:szCs w:val="20"/>
                <w:color w:val="B4B4B4"/>
                <w:w w:val="91"/>
              </w:rPr>
              <w:t>. . . . .</w:t>
            </w:r>
          </w:p>
        </w:tc>
        <w:tc>
          <w:tcPr>
            <w:tcW w:w="100" w:type="dxa"/>
            <w:vAlign w:val="bottom"/>
          </w:tcPr>
          <w:p>
            <w:pPr>
              <w:jc w:val="right"/>
              <w:spacing w:after="0"/>
              <w:rPr>
                <w:sz w:val="20"/>
                <w:szCs w:val="20"/>
                <w:color w:val="auto"/>
              </w:rPr>
            </w:pPr>
            <w:r>
              <w:rPr>
                <w:rFonts w:ascii="Arial" w:cs="Arial" w:eastAsia="Arial" w:hAnsi="Arial"/>
                <w:sz w:val="20"/>
                <w:szCs w:val="20"/>
                <w:color w:val="B4B4B4"/>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645</w:t>
            </w:r>
          </w:p>
        </w:tc>
        <w:tc>
          <w:tcPr>
            <w:tcW w:w="0" w:type="dxa"/>
            <w:vAlign w:val="bottom"/>
          </w:tcPr>
          <w:p>
            <w:pPr>
              <w:spacing w:after="0"/>
              <w:rPr>
                <w:sz w:val="1"/>
                <w:szCs w:val="1"/>
                <w:color w:val="auto"/>
              </w:rPr>
            </w:pPr>
          </w:p>
        </w:tc>
      </w:tr>
      <w:tr>
        <w:trPr>
          <w:trHeight w:val="309"/>
        </w:trPr>
        <w:tc>
          <w:tcPr>
            <w:tcW w:w="8320" w:type="dxa"/>
            <w:vAlign w:val="bottom"/>
            <w:gridSpan w:val="5"/>
          </w:tcPr>
          <w:p>
            <w:pPr>
              <w:jc w:val="right"/>
              <w:spacing w:after="0"/>
              <w:rPr>
                <w:sz w:val="20"/>
                <w:szCs w:val="20"/>
                <w:color w:val="auto"/>
              </w:rPr>
            </w:pPr>
            <w:r>
              <w:rPr>
                <w:rFonts w:ascii="Arial" w:cs="Arial" w:eastAsia="Arial" w:hAnsi="Arial"/>
                <w:sz w:val="20"/>
                <w:szCs w:val="20"/>
                <w:color w:val="B4B4B4"/>
              </w:rPr>
              <w:t>. . .</w:t>
            </w:r>
            <w:r>
              <w:rPr>
                <w:rFonts w:ascii="Arial" w:cs="Arial" w:eastAsia="Arial" w:hAnsi="Arial"/>
                <w:sz w:val="20"/>
                <w:szCs w:val="20"/>
                <w:color w:val="000000"/>
              </w:rPr>
              <w:t>Increaseinworkingcapitalprimarilyduetolowergaspricingcoupledwithlowergassalesvolumes</w:t>
            </w:r>
          </w:p>
        </w:tc>
        <w:tc>
          <w:tcPr>
            <w:tcW w:w="500" w:type="dxa"/>
            <w:vAlign w:val="bottom"/>
          </w:tcPr>
          <w:p>
            <w:pPr>
              <w:jc w:val="right"/>
              <w:spacing w:after="0"/>
              <w:rPr>
                <w:sz w:val="20"/>
                <w:szCs w:val="20"/>
                <w:color w:val="auto"/>
              </w:rPr>
            </w:pPr>
            <w:r>
              <w:rPr>
                <w:rFonts w:ascii="Arial" w:cs="Arial" w:eastAsia="Arial" w:hAnsi="Arial"/>
                <w:sz w:val="20"/>
                <w:szCs w:val="20"/>
                <w:color w:val="B4B4B4"/>
                <w:w w:val="91"/>
              </w:rPr>
              <w:t>. . . . .</w:t>
            </w:r>
          </w:p>
        </w:tc>
        <w:tc>
          <w:tcPr>
            <w:tcW w:w="100" w:type="dxa"/>
            <w:vAlign w:val="bottom"/>
          </w:tcPr>
          <w:p>
            <w:pPr>
              <w:jc w:val="right"/>
              <w:spacing w:after="0"/>
              <w:rPr>
                <w:sz w:val="20"/>
                <w:szCs w:val="20"/>
                <w:color w:val="auto"/>
              </w:rPr>
            </w:pPr>
            <w:r>
              <w:rPr>
                <w:rFonts w:ascii="Arial" w:cs="Arial" w:eastAsia="Arial" w:hAnsi="Arial"/>
                <w:sz w:val="20"/>
                <w:szCs w:val="20"/>
                <w:color w:val="B4B4B4"/>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Borders>
              <w:right w:val="single" w:sz="8" w:color="E6E6E6"/>
            </w:tcBorders>
          </w:tcPr>
          <w:p>
            <w:pPr>
              <w:jc w:val="right"/>
              <w:spacing w:after="0"/>
              <w:rPr>
                <w:sz w:val="20"/>
                <w:szCs w:val="20"/>
                <w:color w:val="auto"/>
              </w:rPr>
            </w:pPr>
            <w:r>
              <w:rPr>
                <w:rFonts w:ascii="Arial" w:cs="Arial" w:eastAsia="Arial" w:hAnsi="Arial"/>
                <w:sz w:val="20"/>
                <w:szCs w:val="20"/>
                <w:color w:val="auto"/>
              </w:rPr>
              <w:t>341</w:t>
            </w:r>
          </w:p>
        </w:tc>
        <w:tc>
          <w:tcPr>
            <w:tcW w:w="0" w:type="dxa"/>
            <w:vAlign w:val="bottom"/>
          </w:tcPr>
          <w:p>
            <w:pPr>
              <w:spacing w:after="0"/>
              <w:rPr>
                <w:sz w:val="1"/>
                <w:szCs w:val="1"/>
                <w:color w:val="auto"/>
              </w:rPr>
            </w:pPr>
          </w:p>
        </w:tc>
      </w:tr>
      <w:tr>
        <w:trPr>
          <w:trHeight w:val="285"/>
        </w:trPr>
        <w:tc>
          <w:tcPr>
            <w:tcW w:w="7680" w:type="dxa"/>
            <w:vAlign w:val="bottom"/>
            <w:gridSpan w:val="4"/>
          </w:tcPr>
          <w:p>
            <w:pPr>
              <w:spacing w:after="0"/>
              <w:rPr>
                <w:sz w:val="20"/>
                <w:szCs w:val="20"/>
                <w:color w:val="auto"/>
              </w:rPr>
            </w:pPr>
            <w:r>
              <w:rPr>
                <w:rFonts w:ascii="Arial" w:cs="Arial" w:eastAsia="Arial" w:hAnsi="Arial"/>
                <w:sz w:val="20"/>
                <w:szCs w:val="20"/>
                <w:color w:val="auto"/>
                <w:w w:val="90"/>
              </w:rPr>
              <w:t>Decrease in working capital primarily driven by capitalized contract costs and deferred revenues</w:t>
            </w:r>
          </w:p>
        </w:tc>
        <w:tc>
          <w:tcPr>
            <w:tcW w:w="640" w:type="dxa"/>
            <w:vAlign w:val="bottom"/>
          </w:tcPr>
          <w:p>
            <w:pPr>
              <w:jc w:val="right"/>
              <w:spacing w:after="0"/>
              <w:rPr>
                <w:sz w:val="20"/>
                <w:szCs w:val="20"/>
                <w:color w:val="auto"/>
              </w:rPr>
            </w:pPr>
            <w:r>
              <w:rPr>
                <w:rFonts w:ascii="Arial" w:cs="Arial" w:eastAsia="Arial" w:hAnsi="Arial"/>
                <w:sz w:val="20"/>
                <w:szCs w:val="20"/>
                <w:color w:val="B4B4B4"/>
                <w:w w:val="98"/>
              </w:rPr>
              <w:t>. . . . . .</w:t>
            </w:r>
          </w:p>
        </w:tc>
        <w:tc>
          <w:tcPr>
            <w:tcW w:w="500" w:type="dxa"/>
            <w:vAlign w:val="bottom"/>
          </w:tcPr>
          <w:p>
            <w:pPr>
              <w:jc w:val="right"/>
              <w:spacing w:after="0"/>
              <w:rPr>
                <w:sz w:val="20"/>
                <w:szCs w:val="20"/>
                <w:color w:val="auto"/>
              </w:rPr>
            </w:pPr>
            <w:r>
              <w:rPr>
                <w:rFonts w:ascii="Arial" w:cs="Arial" w:eastAsia="Arial" w:hAnsi="Arial"/>
                <w:sz w:val="20"/>
                <w:szCs w:val="20"/>
                <w:color w:val="B4B4B4"/>
                <w:w w:val="91"/>
              </w:rPr>
              <w:t>. . . . .</w:t>
            </w:r>
          </w:p>
        </w:tc>
        <w:tc>
          <w:tcPr>
            <w:tcW w:w="100" w:type="dxa"/>
            <w:vAlign w:val="bottom"/>
          </w:tcPr>
          <w:p>
            <w:pPr>
              <w:jc w:val="right"/>
              <w:spacing w:after="0"/>
              <w:rPr>
                <w:sz w:val="20"/>
                <w:szCs w:val="20"/>
                <w:color w:val="auto"/>
              </w:rPr>
            </w:pPr>
            <w:r>
              <w:rPr>
                <w:rFonts w:ascii="Arial" w:cs="Arial" w:eastAsia="Arial" w:hAnsi="Arial"/>
                <w:sz w:val="20"/>
                <w:szCs w:val="20"/>
                <w:color w:val="B4B4B4"/>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(396)</w:t>
            </w:r>
          </w:p>
        </w:tc>
        <w:tc>
          <w:tcPr>
            <w:tcW w:w="0" w:type="dxa"/>
            <w:vAlign w:val="bottom"/>
          </w:tcPr>
          <w:p>
            <w:pPr>
              <w:spacing w:after="0"/>
              <w:rPr>
                <w:sz w:val="1"/>
                <w:szCs w:val="1"/>
                <w:color w:val="auto"/>
              </w:rPr>
            </w:pPr>
          </w:p>
        </w:tc>
      </w:tr>
      <w:tr>
        <w:trPr>
          <w:trHeight w:val="232"/>
        </w:trPr>
        <w:tc>
          <w:tcPr>
            <w:tcW w:w="8920" w:type="dxa"/>
            <w:vAlign w:val="bottom"/>
            <w:gridSpan w:val="7"/>
          </w:tcPr>
          <w:p>
            <w:pPr>
              <w:spacing w:after="0"/>
              <w:rPr>
                <w:sz w:val="20"/>
                <w:szCs w:val="20"/>
                <w:color w:val="auto"/>
              </w:rPr>
            </w:pPr>
            <w:r>
              <w:rPr>
                <w:rFonts w:ascii="Arial" w:cs="Arial" w:eastAsia="Arial" w:hAnsi="Arial"/>
                <w:sz w:val="20"/>
                <w:szCs w:val="20"/>
                <w:color w:val="auto"/>
                <w:w w:val="94"/>
              </w:rPr>
              <w:t>Decrease in working capital primarily related to the payout of the Company's annual incentive plan in 2024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right w:val="single" w:sz="8" w:color="E6E6E6"/>
            </w:tcBorders>
            <w:vMerge w:val="restart"/>
          </w:tcPr>
          <w:p>
            <w:pPr>
              <w:jc w:val="right"/>
              <w:spacing w:after="0"/>
              <w:rPr>
                <w:sz w:val="20"/>
                <w:szCs w:val="20"/>
                <w:color w:val="auto"/>
              </w:rPr>
            </w:pPr>
            <w:r>
              <w:rPr>
                <w:rFonts w:ascii="Arial" w:cs="Arial" w:eastAsia="Arial" w:hAnsi="Arial"/>
                <w:sz w:val="20"/>
                <w:szCs w:val="20"/>
                <w:color w:val="auto"/>
              </w:rPr>
              <w:t>(114)</w:t>
            </w:r>
          </w:p>
        </w:tc>
        <w:tc>
          <w:tcPr>
            <w:tcW w:w="0" w:type="dxa"/>
            <w:vAlign w:val="bottom"/>
          </w:tcPr>
          <w:p>
            <w:pPr>
              <w:spacing w:after="0"/>
              <w:rPr>
                <w:sz w:val="1"/>
                <w:szCs w:val="1"/>
                <w:color w:val="auto"/>
              </w:rPr>
            </w:pPr>
          </w:p>
        </w:tc>
      </w:tr>
      <w:tr>
        <w:trPr>
          <w:trHeight w:val="260"/>
        </w:trPr>
        <w:tc>
          <w:tcPr>
            <w:tcW w:w="6440" w:type="dxa"/>
            <w:vAlign w:val="bottom"/>
          </w:tcPr>
          <w:p>
            <w:pPr>
              <w:ind w:left="180"/>
              <w:spacing w:after="0"/>
              <w:rPr>
                <w:sz w:val="20"/>
                <w:szCs w:val="20"/>
                <w:color w:val="auto"/>
              </w:rPr>
            </w:pPr>
            <w:r>
              <w:rPr>
                <w:rFonts w:ascii="Arial" w:cs="Arial" w:eastAsia="Arial" w:hAnsi="Arial"/>
                <w:sz w:val="20"/>
                <w:szCs w:val="20"/>
                <w:color w:val="auto"/>
                <w:w w:val="91"/>
              </w:rPr>
              <w:t xml:space="preserve">reflecting financial outperformance for 2023 </w:t>
            </w:r>
            <w:r>
              <w:rPr>
                <w:rFonts w:ascii="Arial" w:cs="Arial" w:eastAsia="Arial" w:hAnsi="Arial"/>
                <w:sz w:val="20"/>
                <w:szCs w:val="20"/>
                <w:color w:val="B4B4B4"/>
                <w:w w:val="91"/>
              </w:rPr>
              <w:t>. . . . . . . . . . . . . . . . . . . . . . . . . . .</w:t>
            </w:r>
          </w:p>
        </w:tc>
        <w:tc>
          <w:tcPr>
            <w:tcW w:w="200" w:type="dxa"/>
            <w:vAlign w:val="bottom"/>
          </w:tcPr>
          <w:p>
            <w:pPr>
              <w:ind w:left="40"/>
              <w:spacing w:after="0"/>
              <w:rPr>
                <w:sz w:val="20"/>
                <w:szCs w:val="20"/>
                <w:color w:val="auto"/>
              </w:rPr>
            </w:pPr>
            <w:r>
              <w:rPr>
                <w:rFonts w:ascii="Arial" w:cs="Arial" w:eastAsia="Arial" w:hAnsi="Arial"/>
                <w:sz w:val="20"/>
                <w:szCs w:val="20"/>
                <w:color w:val="B4B4B4"/>
                <w:w w:val="83"/>
              </w:rPr>
              <w:t>. .</w:t>
            </w:r>
          </w:p>
        </w:tc>
        <w:tc>
          <w:tcPr>
            <w:tcW w:w="1680" w:type="dxa"/>
            <w:vAlign w:val="bottom"/>
            <w:gridSpan w:val="3"/>
          </w:tcPr>
          <w:p>
            <w:pPr>
              <w:jc w:val="right"/>
              <w:spacing w:after="0"/>
              <w:rPr>
                <w:sz w:val="20"/>
                <w:szCs w:val="20"/>
                <w:color w:val="auto"/>
              </w:rPr>
            </w:pPr>
            <w:r>
              <w:rPr>
                <w:rFonts w:ascii="Arial" w:cs="Arial" w:eastAsia="Arial" w:hAnsi="Arial"/>
                <w:sz w:val="20"/>
                <w:szCs w:val="20"/>
                <w:color w:val="B4B4B4"/>
                <w:w w:val="89"/>
              </w:rPr>
              <w:t>. . . . . . . . . . . . . . . . .</w:t>
            </w:r>
          </w:p>
        </w:tc>
        <w:tc>
          <w:tcPr>
            <w:tcW w:w="500" w:type="dxa"/>
            <w:vAlign w:val="bottom"/>
          </w:tcPr>
          <w:p>
            <w:pPr>
              <w:jc w:val="right"/>
              <w:spacing w:after="0"/>
              <w:rPr>
                <w:sz w:val="20"/>
                <w:szCs w:val="20"/>
                <w:color w:val="auto"/>
              </w:rPr>
            </w:pPr>
            <w:r>
              <w:rPr>
                <w:rFonts w:ascii="Arial" w:cs="Arial" w:eastAsia="Arial" w:hAnsi="Arial"/>
                <w:sz w:val="20"/>
                <w:szCs w:val="20"/>
                <w:color w:val="B4B4B4"/>
                <w:w w:val="91"/>
              </w:rPr>
              <w:t>. . . . .</w:t>
            </w:r>
          </w:p>
        </w:tc>
        <w:tc>
          <w:tcPr>
            <w:tcW w:w="100" w:type="dxa"/>
            <w:vAlign w:val="bottom"/>
          </w:tcPr>
          <w:p>
            <w:pPr>
              <w:jc w:val="right"/>
              <w:spacing w:after="0"/>
              <w:rPr>
                <w:sz w:val="20"/>
                <w:szCs w:val="20"/>
                <w:color w:val="auto"/>
              </w:rPr>
            </w:pPr>
            <w:r>
              <w:rPr>
                <w:rFonts w:ascii="Arial" w:cs="Arial" w:eastAsia="Arial" w:hAnsi="Arial"/>
                <w:sz w:val="20"/>
                <w:szCs w:val="20"/>
                <w:color w:val="B4B4B4"/>
              </w:rPr>
              <w:t>.</w:t>
            </w: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E6E6E6"/>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2,527</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80"/>
              <w:spacing w:after="0"/>
              <w:rPr>
                <w:sz w:val="20"/>
                <w:szCs w:val="20"/>
                <w:color w:val="auto"/>
              </w:rPr>
            </w:pPr>
            <w:r>
              <w:rPr>
                <w:rFonts w:ascii="Arial" w:cs="Arial" w:eastAsia="Arial" w:hAnsi="Arial"/>
                <w:sz w:val="20"/>
                <w:szCs w:val="20"/>
                <w:b w:val="1"/>
                <w:bCs w:val="1"/>
                <w:i w:val="1"/>
                <w:iCs w:val="1"/>
                <w:color w:val="auto"/>
              </w:rPr>
              <w:t>Cash used by investing activities</w:t>
            </w: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6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440" w:type="dxa"/>
            <w:vAlign w:val="bottom"/>
          </w:tcPr>
          <w:p>
            <w:pPr>
              <w:ind w:left="380"/>
              <w:spacing w:after="0"/>
              <w:rPr>
                <w:sz w:val="20"/>
                <w:szCs w:val="20"/>
                <w:color w:val="auto"/>
              </w:rPr>
            </w:pPr>
            <w:r>
              <w:rPr>
                <w:rFonts w:ascii="Arial" w:cs="Arial" w:eastAsia="Arial" w:hAnsi="Arial"/>
                <w:sz w:val="20"/>
                <w:szCs w:val="20"/>
                <w:color w:val="auto"/>
                <w:w w:val="95"/>
              </w:rPr>
              <w:t>Changes to cash provided/(used) by investing activities were driven by:</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23"/>
              <w:spacing w:after="0"/>
              <w:rPr>
                <w:sz w:val="20"/>
                <w:szCs w:val="20"/>
                <w:color w:val="auto"/>
              </w:rPr>
            </w:pPr>
            <w:r>
              <w:rPr>
                <w:rFonts w:ascii="Arial" w:cs="Arial" w:eastAsia="Arial" w:hAnsi="Arial"/>
                <w:sz w:val="16"/>
                <w:szCs w:val="16"/>
                <w:b w:val="1"/>
                <w:bCs w:val="1"/>
                <w:color w:val="auto"/>
                <w:w w:val="93"/>
              </w:rPr>
              <w:t>(In millions)</w:t>
            </w:r>
          </w:p>
        </w:tc>
        <w:tc>
          <w:tcPr>
            <w:tcW w:w="0" w:type="dxa"/>
            <w:vAlign w:val="bottom"/>
          </w:tcPr>
          <w:p>
            <w:pPr>
              <w:spacing w:after="0"/>
              <w:rPr>
                <w:sz w:val="1"/>
                <w:szCs w:val="1"/>
                <w:color w:val="auto"/>
              </w:rPr>
            </w:pPr>
          </w:p>
        </w:tc>
      </w:tr>
      <w:tr>
        <w:trPr>
          <w:trHeight w:val="287"/>
        </w:trPr>
        <w:tc>
          <w:tcPr>
            <w:tcW w:w="8920" w:type="dxa"/>
            <w:vAlign w:val="bottom"/>
            <w:gridSpan w:val="7"/>
          </w:tcPr>
          <w:p>
            <w:pPr>
              <w:spacing w:after="0"/>
              <w:rPr>
                <w:sz w:val="20"/>
                <w:szCs w:val="20"/>
                <w:color w:val="auto"/>
              </w:rPr>
            </w:pPr>
            <w:r>
              <w:rPr>
                <w:rFonts w:ascii="Arial" w:cs="Arial" w:eastAsia="Arial" w:hAnsi="Arial"/>
                <w:sz w:val="20"/>
                <w:szCs w:val="20"/>
                <w:color w:val="auto"/>
                <w:w w:val="91"/>
              </w:rPr>
              <w:t xml:space="preserve">Decrease in cash paid for acquisitions primarily due to the acquisition of Vivint Smart Home in March 2023 </w:t>
            </w:r>
            <w:r>
              <w:rPr>
                <w:rFonts w:ascii="Arial" w:cs="Arial" w:eastAsia="Arial" w:hAnsi="Arial"/>
                <w:sz w:val="20"/>
                <w:szCs w:val="20"/>
                <w:color w:val="B4B4B4"/>
                <w:w w:val="91"/>
              </w:rPr>
              <w:t>. . .</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right w:val="single" w:sz="8" w:color="E6E6E6"/>
            </w:tcBorders>
          </w:tcPr>
          <w:p>
            <w:pPr>
              <w:jc w:val="right"/>
              <w:spacing w:after="0"/>
              <w:rPr>
                <w:sz w:val="20"/>
                <w:szCs w:val="20"/>
                <w:color w:val="auto"/>
              </w:rPr>
            </w:pPr>
            <w:r>
              <w:rPr>
                <w:rFonts w:ascii="Arial" w:cs="Arial" w:eastAsia="Arial" w:hAnsi="Arial"/>
                <w:sz w:val="20"/>
                <w:szCs w:val="20"/>
                <w:color w:val="auto"/>
              </w:rPr>
              <w:t>2,485</w:t>
            </w:r>
          </w:p>
        </w:tc>
        <w:tc>
          <w:tcPr>
            <w:tcW w:w="0" w:type="dxa"/>
            <w:vAlign w:val="bottom"/>
          </w:tcPr>
          <w:p>
            <w:pPr>
              <w:spacing w:after="0"/>
              <w:rPr>
                <w:sz w:val="1"/>
                <w:szCs w:val="1"/>
                <w:color w:val="auto"/>
              </w:rPr>
            </w:pPr>
          </w:p>
        </w:tc>
      </w:tr>
      <w:tr>
        <w:trPr>
          <w:trHeight w:val="220"/>
        </w:trPr>
        <w:tc>
          <w:tcPr>
            <w:tcW w:w="8920" w:type="dxa"/>
            <w:vAlign w:val="bottom"/>
            <w:gridSpan w:val="7"/>
          </w:tcPr>
          <w:p>
            <w:pPr>
              <w:spacing w:after="0" w:line="220" w:lineRule="exact"/>
              <w:rPr>
                <w:sz w:val="20"/>
                <w:szCs w:val="20"/>
                <w:color w:val="auto"/>
              </w:rPr>
            </w:pPr>
            <w:r>
              <w:rPr>
                <w:rFonts w:ascii="Arial" w:cs="Arial" w:eastAsia="Arial" w:hAnsi="Arial"/>
                <w:sz w:val="20"/>
                <w:szCs w:val="20"/>
                <w:color w:val="auto"/>
                <w:w w:val="91"/>
              </w:rPr>
              <w:t>Decrease in proceeds from the sale of assets primarily due to the sale of the Company's 44% equity interest in</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(1,506)</w:t>
            </w:r>
          </w:p>
        </w:tc>
        <w:tc>
          <w:tcPr>
            <w:tcW w:w="0" w:type="dxa"/>
            <w:vAlign w:val="bottom"/>
          </w:tcPr>
          <w:p>
            <w:pPr>
              <w:spacing w:after="0"/>
              <w:rPr>
                <w:sz w:val="1"/>
                <w:szCs w:val="1"/>
                <w:color w:val="auto"/>
              </w:rPr>
            </w:pPr>
          </w:p>
        </w:tc>
      </w:tr>
      <w:tr>
        <w:trPr>
          <w:trHeight w:val="258"/>
        </w:trPr>
        <w:tc>
          <w:tcPr>
            <w:tcW w:w="6440" w:type="dxa"/>
            <w:vAlign w:val="bottom"/>
          </w:tcPr>
          <w:p>
            <w:pPr>
              <w:ind w:left="180"/>
              <w:spacing w:after="0"/>
              <w:rPr>
                <w:sz w:val="20"/>
                <w:szCs w:val="20"/>
                <w:color w:val="auto"/>
              </w:rPr>
            </w:pPr>
            <w:r>
              <w:rPr>
                <w:rFonts w:ascii="Arial" w:cs="Arial" w:eastAsia="Arial" w:hAnsi="Arial"/>
                <w:sz w:val="20"/>
                <w:szCs w:val="20"/>
                <w:color w:val="auto"/>
                <w:w w:val="89"/>
              </w:rPr>
              <w:t xml:space="preserve">STP in November 2023 </w:t>
            </w:r>
            <w:r>
              <w:rPr>
                <w:rFonts w:ascii="Arial" w:cs="Arial" w:eastAsia="Arial" w:hAnsi="Arial"/>
                <w:sz w:val="20"/>
                <w:szCs w:val="20"/>
                <w:color w:val="B4B4B4"/>
                <w:w w:val="89"/>
              </w:rPr>
              <w:t>. . . . . . . . . . . . . . . . . . . . . . . . . . . . . . . . . . . . . . . . . . . .</w:t>
            </w:r>
          </w:p>
        </w:tc>
        <w:tc>
          <w:tcPr>
            <w:tcW w:w="200" w:type="dxa"/>
            <w:vAlign w:val="bottom"/>
          </w:tcPr>
          <w:p>
            <w:pPr>
              <w:ind w:left="40"/>
              <w:spacing w:after="0"/>
              <w:rPr>
                <w:sz w:val="20"/>
                <w:szCs w:val="20"/>
                <w:color w:val="auto"/>
              </w:rPr>
            </w:pPr>
            <w:r>
              <w:rPr>
                <w:rFonts w:ascii="Arial" w:cs="Arial" w:eastAsia="Arial" w:hAnsi="Arial"/>
                <w:sz w:val="20"/>
                <w:szCs w:val="20"/>
                <w:color w:val="B4B4B4"/>
                <w:w w:val="83"/>
              </w:rPr>
              <w:t>. .</w:t>
            </w:r>
          </w:p>
        </w:tc>
        <w:tc>
          <w:tcPr>
            <w:tcW w:w="1680" w:type="dxa"/>
            <w:vAlign w:val="bottom"/>
            <w:gridSpan w:val="3"/>
          </w:tcPr>
          <w:p>
            <w:pPr>
              <w:jc w:val="right"/>
              <w:spacing w:after="0"/>
              <w:rPr>
                <w:sz w:val="20"/>
                <w:szCs w:val="20"/>
                <w:color w:val="auto"/>
              </w:rPr>
            </w:pPr>
            <w:r>
              <w:rPr>
                <w:rFonts w:ascii="Arial" w:cs="Arial" w:eastAsia="Arial" w:hAnsi="Arial"/>
                <w:sz w:val="20"/>
                <w:szCs w:val="20"/>
                <w:color w:val="B4B4B4"/>
                <w:w w:val="89"/>
              </w:rPr>
              <w:t>. . . . . . . . . . . . . . . . .</w:t>
            </w:r>
          </w:p>
        </w:tc>
        <w:tc>
          <w:tcPr>
            <w:tcW w:w="500" w:type="dxa"/>
            <w:vAlign w:val="bottom"/>
          </w:tcPr>
          <w:p>
            <w:pPr>
              <w:jc w:val="right"/>
              <w:spacing w:after="0"/>
              <w:rPr>
                <w:sz w:val="20"/>
                <w:szCs w:val="20"/>
                <w:color w:val="auto"/>
              </w:rPr>
            </w:pPr>
            <w:r>
              <w:rPr>
                <w:rFonts w:ascii="Arial" w:cs="Arial" w:eastAsia="Arial" w:hAnsi="Arial"/>
                <w:sz w:val="20"/>
                <w:szCs w:val="20"/>
                <w:color w:val="B4B4B4"/>
                <w:w w:val="91"/>
              </w:rPr>
              <w:t>. . . . .</w:t>
            </w:r>
          </w:p>
        </w:tc>
        <w:tc>
          <w:tcPr>
            <w:tcW w:w="100" w:type="dxa"/>
            <w:vAlign w:val="bottom"/>
          </w:tcPr>
          <w:p>
            <w:pPr>
              <w:jc w:val="right"/>
              <w:spacing w:after="0"/>
              <w:rPr>
                <w:sz w:val="20"/>
                <w:szCs w:val="20"/>
                <w:color w:val="auto"/>
              </w:rPr>
            </w:pPr>
            <w:r>
              <w:rPr>
                <w:rFonts w:ascii="Arial" w:cs="Arial" w:eastAsia="Arial" w:hAnsi="Arial"/>
                <w:sz w:val="20"/>
                <w:szCs w:val="20"/>
                <w:color w:val="B4B4B4"/>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9"/>
        </w:trPr>
        <w:tc>
          <w:tcPr>
            <w:tcW w:w="6440" w:type="dxa"/>
            <w:vAlign w:val="bottom"/>
          </w:tcPr>
          <w:p>
            <w:pPr>
              <w:spacing w:after="0"/>
              <w:rPr>
                <w:sz w:val="20"/>
                <w:szCs w:val="20"/>
                <w:color w:val="auto"/>
              </w:rPr>
            </w:pPr>
            <w:r>
              <w:rPr>
                <w:rFonts w:ascii="Arial" w:cs="Arial" w:eastAsia="Arial" w:hAnsi="Arial"/>
                <w:sz w:val="20"/>
                <w:szCs w:val="20"/>
                <w:color w:val="auto"/>
                <w:w w:val="88"/>
              </w:rPr>
              <w:t xml:space="preserve">Decrease in insurance proceeds for property, plant and equipment, net </w:t>
            </w:r>
            <w:r>
              <w:rPr>
                <w:rFonts w:ascii="Arial" w:cs="Arial" w:eastAsia="Arial" w:hAnsi="Arial"/>
                <w:sz w:val="20"/>
                <w:szCs w:val="20"/>
                <w:color w:val="B4B4B4"/>
                <w:w w:val="88"/>
              </w:rPr>
              <w:t>. . . . . . . . .</w:t>
            </w:r>
          </w:p>
        </w:tc>
        <w:tc>
          <w:tcPr>
            <w:tcW w:w="200" w:type="dxa"/>
            <w:vAlign w:val="bottom"/>
          </w:tcPr>
          <w:p>
            <w:pPr>
              <w:ind w:left="40"/>
              <w:spacing w:after="0"/>
              <w:rPr>
                <w:sz w:val="20"/>
                <w:szCs w:val="20"/>
                <w:color w:val="auto"/>
              </w:rPr>
            </w:pPr>
            <w:r>
              <w:rPr>
                <w:rFonts w:ascii="Arial" w:cs="Arial" w:eastAsia="Arial" w:hAnsi="Arial"/>
                <w:sz w:val="20"/>
                <w:szCs w:val="20"/>
                <w:color w:val="B4B4B4"/>
                <w:w w:val="83"/>
              </w:rPr>
              <w:t>. .</w:t>
            </w:r>
          </w:p>
        </w:tc>
        <w:tc>
          <w:tcPr>
            <w:tcW w:w="1680" w:type="dxa"/>
            <w:vAlign w:val="bottom"/>
            <w:gridSpan w:val="3"/>
          </w:tcPr>
          <w:p>
            <w:pPr>
              <w:jc w:val="right"/>
              <w:spacing w:after="0"/>
              <w:rPr>
                <w:sz w:val="20"/>
                <w:szCs w:val="20"/>
                <w:color w:val="auto"/>
              </w:rPr>
            </w:pPr>
            <w:r>
              <w:rPr>
                <w:rFonts w:ascii="Arial" w:cs="Arial" w:eastAsia="Arial" w:hAnsi="Arial"/>
                <w:sz w:val="20"/>
                <w:szCs w:val="20"/>
                <w:color w:val="B4B4B4"/>
                <w:w w:val="89"/>
              </w:rPr>
              <w:t>. . . . . . . . . . . . . . . . .</w:t>
            </w:r>
          </w:p>
        </w:tc>
        <w:tc>
          <w:tcPr>
            <w:tcW w:w="500" w:type="dxa"/>
            <w:vAlign w:val="bottom"/>
          </w:tcPr>
          <w:p>
            <w:pPr>
              <w:jc w:val="right"/>
              <w:spacing w:after="0"/>
              <w:rPr>
                <w:sz w:val="20"/>
                <w:szCs w:val="20"/>
                <w:color w:val="auto"/>
              </w:rPr>
            </w:pPr>
            <w:r>
              <w:rPr>
                <w:rFonts w:ascii="Arial" w:cs="Arial" w:eastAsia="Arial" w:hAnsi="Arial"/>
                <w:sz w:val="20"/>
                <w:szCs w:val="20"/>
                <w:color w:val="B4B4B4"/>
                <w:w w:val="91"/>
              </w:rPr>
              <w:t>. . . . .</w:t>
            </w:r>
          </w:p>
        </w:tc>
        <w:tc>
          <w:tcPr>
            <w:tcW w:w="100" w:type="dxa"/>
            <w:vAlign w:val="bottom"/>
          </w:tcPr>
          <w:p>
            <w:pPr>
              <w:jc w:val="right"/>
              <w:spacing w:after="0"/>
              <w:rPr>
                <w:sz w:val="20"/>
                <w:szCs w:val="20"/>
                <w:color w:val="auto"/>
              </w:rPr>
            </w:pPr>
            <w:r>
              <w:rPr>
                <w:rFonts w:ascii="Arial" w:cs="Arial" w:eastAsia="Arial" w:hAnsi="Arial"/>
                <w:sz w:val="20"/>
                <w:szCs w:val="20"/>
                <w:color w:val="B4B4B4"/>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Borders>
              <w:right w:val="single" w:sz="8" w:color="E6E6E6"/>
            </w:tcBorders>
          </w:tcPr>
          <w:p>
            <w:pPr>
              <w:jc w:val="right"/>
              <w:spacing w:after="0"/>
              <w:rPr>
                <w:sz w:val="20"/>
                <w:szCs w:val="20"/>
                <w:color w:val="auto"/>
              </w:rPr>
            </w:pPr>
            <w:r>
              <w:rPr>
                <w:rFonts w:ascii="Arial" w:cs="Arial" w:eastAsia="Arial" w:hAnsi="Arial"/>
                <w:sz w:val="20"/>
                <w:szCs w:val="20"/>
                <w:color w:val="auto"/>
              </w:rPr>
              <w:t>(237)</w:t>
            </w:r>
          </w:p>
        </w:tc>
        <w:tc>
          <w:tcPr>
            <w:tcW w:w="0" w:type="dxa"/>
            <w:vAlign w:val="bottom"/>
          </w:tcPr>
          <w:p>
            <w:pPr>
              <w:spacing w:after="0"/>
              <w:rPr>
                <w:sz w:val="1"/>
                <w:szCs w:val="1"/>
                <w:color w:val="auto"/>
              </w:rPr>
            </w:pPr>
          </w:p>
        </w:tc>
      </w:tr>
      <w:tr>
        <w:trPr>
          <w:trHeight w:val="285"/>
        </w:trPr>
        <w:tc>
          <w:tcPr>
            <w:tcW w:w="6440" w:type="dxa"/>
            <w:vAlign w:val="bottom"/>
          </w:tcPr>
          <w:p>
            <w:pPr>
              <w:spacing w:after="0"/>
              <w:rPr>
                <w:sz w:val="20"/>
                <w:szCs w:val="20"/>
                <w:color w:val="auto"/>
              </w:rPr>
            </w:pPr>
            <w:r>
              <w:rPr>
                <w:rFonts w:ascii="Arial" w:cs="Arial" w:eastAsia="Arial" w:hAnsi="Arial"/>
                <w:sz w:val="20"/>
                <w:szCs w:val="20"/>
                <w:color w:val="auto"/>
                <w:w w:val="88"/>
              </w:rPr>
              <w:t xml:space="preserve">Decrease in capital expenditures </w:t>
            </w:r>
            <w:r>
              <w:rPr>
                <w:rFonts w:ascii="Arial" w:cs="Arial" w:eastAsia="Arial" w:hAnsi="Arial"/>
                <w:sz w:val="20"/>
                <w:szCs w:val="20"/>
                <w:color w:val="B4B4B4"/>
                <w:w w:val="88"/>
              </w:rPr>
              <w:t>. . . . . . . . . . . . . . . . . . . . . . . . . . . . . . . . . . . . . . .</w:t>
            </w:r>
          </w:p>
        </w:tc>
        <w:tc>
          <w:tcPr>
            <w:tcW w:w="200" w:type="dxa"/>
            <w:vAlign w:val="bottom"/>
          </w:tcPr>
          <w:p>
            <w:pPr>
              <w:ind w:left="40"/>
              <w:spacing w:after="0"/>
              <w:rPr>
                <w:sz w:val="20"/>
                <w:szCs w:val="20"/>
                <w:color w:val="auto"/>
              </w:rPr>
            </w:pPr>
            <w:r>
              <w:rPr>
                <w:rFonts w:ascii="Arial" w:cs="Arial" w:eastAsia="Arial" w:hAnsi="Arial"/>
                <w:sz w:val="20"/>
                <w:szCs w:val="20"/>
                <w:color w:val="B4B4B4"/>
                <w:w w:val="83"/>
              </w:rPr>
              <w:t>. .</w:t>
            </w:r>
          </w:p>
        </w:tc>
        <w:tc>
          <w:tcPr>
            <w:tcW w:w="1680" w:type="dxa"/>
            <w:vAlign w:val="bottom"/>
            <w:gridSpan w:val="3"/>
          </w:tcPr>
          <w:p>
            <w:pPr>
              <w:jc w:val="right"/>
              <w:spacing w:after="0"/>
              <w:rPr>
                <w:sz w:val="20"/>
                <w:szCs w:val="20"/>
                <w:color w:val="auto"/>
              </w:rPr>
            </w:pPr>
            <w:r>
              <w:rPr>
                <w:rFonts w:ascii="Arial" w:cs="Arial" w:eastAsia="Arial" w:hAnsi="Arial"/>
                <w:sz w:val="20"/>
                <w:szCs w:val="20"/>
                <w:color w:val="B4B4B4"/>
                <w:w w:val="89"/>
              </w:rPr>
              <w:t>. . . . . . . . . . . . . . . . .</w:t>
            </w:r>
          </w:p>
        </w:tc>
        <w:tc>
          <w:tcPr>
            <w:tcW w:w="500" w:type="dxa"/>
            <w:vAlign w:val="bottom"/>
          </w:tcPr>
          <w:p>
            <w:pPr>
              <w:jc w:val="right"/>
              <w:spacing w:after="0"/>
              <w:rPr>
                <w:sz w:val="20"/>
                <w:szCs w:val="20"/>
                <w:color w:val="auto"/>
              </w:rPr>
            </w:pPr>
            <w:r>
              <w:rPr>
                <w:rFonts w:ascii="Arial" w:cs="Arial" w:eastAsia="Arial" w:hAnsi="Arial"/>
                <w:sz w:val="20"/>
                <w:szCs w:val="20"/>
                <w:color w:val="B4B4B4"/>
                <w:w w:val="91"/>
              </w:rPr>
              <w:t>. . . . .</w:t>
            </w:r>
          </w:p>
        </w:tc>
        <w:tc>
          <w:tcPr>
            <w:tcW w:w="100" w:type="dxa"/>
            <w:vAlign w:val="bottom"/>
          </w:tcPr>
          <w:p>
            <w:pPr>
              <w:jc w:val="right"/>
              <w:spacing w:after="0"/>
              <w:rPr>
                <w:sz w:val="20"/>
                <w:szCs w:val="20"/>
                <w:color w:val="auto"/>
              </w:rPr>
            </w:pPr>
            <w:r>
              <w:rPr>
                <w:rFonts w:ascii="Arial" w:cs="Arial" w:eastAsia="Arial" w:hAnsi="Arial"/>
                <w:sz w:val="20"/>
                <w:szCs w:val="20"/>
                <w:color w:val="B4B4B4"/>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126</w:t>
            </w:r>
          </w:p>
        </w:tc>
        <w:tc>
          <w:tcPr>
            <w:tcW w:w="0" w:type="dxa"/>
            <w:vAlign w:val="bottom"/>
          </w:tcPr>
          <w:p>
            <w:pPr>
              <w:spacing w:after="0"/>
              <w:rPr>
                <w:sz w:val="1"/>
                <w:szCs w:val="1"/>
                <w:color w:val="auto"/>
              </w:rPr>
            </w:pPr>
          </w:p>
        </w:tc>
      </w:tr>
      <w:tr>
        <w:trPr>
          <w:trHeight w:val="299"/>
        </w:trPr>
        <w:tc>
          <w:tcPr>
            <w:tcW w:w="6440" w:type="dxa"/>
            <w:vAlign w:val="bottom"/>
          </w:tcPr>
          <w:p>
            <w:pPr>
              <w:spacing w:after="0"/>
              <w:rPr>
                <w:sz w:val="20"/>
                <w:szCs w:val="20"/>
                <w:color w:val="auto"/>
              </w:rPr>
            </w:pPr>
            <w:r>
              <w:rPr>
                <w:rFonts w:ascii="Arial" w:cs="Arial" w:eastAsia="Arial" w:hAnsi="Arial"/>
                <w:sz w:val="20"/>
                <w:szCs w:val="20"/>
                <w:color w:val="auto"/>
                <w:w w:val="89"/>
              </w:rPr>
              <w:t xml:space="preserve">Other </w:t>
            </w:r>
            <w:r>
              <w:rPr>
                <w:rFonts w:ascii="Arial" w:cs="Arial" w:eastAsia="Arial" w:hAnsi="Arial"/>
                <w:sz w:val="20"/>
                <w:szCs w:val="20"/>
                <w:color w:val="B4B4B4"/>
                <w:w w:val="89"/>
              </w:rPr>
              <w:t>. . . . . . . . . . . . . . . . . . . . . . . . . . . . . . . . . . . . . . . . . . . . . . . . . . . . . . . . . . . .</w:t>
            </w:r>
          </w:p>
        </w:tc>
        <w:tc>
          <w:tcPr>
            <w:tcW w:w="200" w:type="dxa"/>
            <w:vAlign w:val="bottom"/>
          </w:tcPr>
          <w:p>
            <w:pPr>
              <w:ind w:left="40"/>
              <w:spacing w:after="0"/>
              <w:rPr>
                <w:sz w:val="20"/>
                <w:szCs w:val="20"/>
                <w:color w:val="auto"/>
              </w:rPr>
            </w:pPr>
            <w:r>
              <w:rPr>
                <w:rFonts w:ascii="Arial" w:cs="Arial" w:eastAsia="Arial" w:hAnsi="Arial"/>
                <w:sz w:val="20"/>
                <w:szCs w:val="20"/>
                <w:color w:val="B4B4B4"/>
                <w:w w:val="83"/>
              </w:rPr>
              <w:t>. .</w:t>
            </w:r>
          </w:p>
        </w:tc>
        <w:tc>
          <w:tcPr>
            <w:tcW w:w="1680" w:type="dxa"/>
            <w:vAlign w:val="bottom"/>
            <w:gridSpan w:val="3"/>
          </w:tcPr>
          <w:p>
            <w:pPr>
              <w:jc w:val="right"/>
              <w:spacing w:after="0"/>
              <w:rPr>
                <w:sz w:val="20"/>
                <w:szCs w:val="20"/>
                <w:color w:val="auto"/>
              </w:rPr>
            </w:pPr>
            <w:r>
              <w:rPr>
                <w:rFonts w:ascii="Arial" w:cs="Arial" w:eastAsia="Arial" w:hAnsi="Arial"/>
                <w:sz w:val="20"/>
                <w:szCs w:val="20"/>
                <w:color w:val="B4B4B4"/>
                <w:w w:val="89"/>
              </w:rPr>
              <w:t>. . . . . . . . . . . . . . . . .</w:t>
            </w:r>
          </w:p>
        </w:tc>
        <w:tc>
          <w:tcPr>
            <w:tcW w:w="500" w:type="dxa"/>
            <w:vAlign w:val="bottom"/>
          </w:tcPr>
          <w:p>
            <w:pPr>
              <w:jc w:val="right"/>
              <w:spacing w:after="0"/>
              <w:rPr>
                <w:sz w:val="20"/>
                <w:szCs w:val="20"/>
                <w:color w:val="auto"/>
              </w:rPr>
            </w:pPr>
            <w:r>
              <w:rPr>
                <w:rFonts w:ascii="Arial" w:cs="Arial" w:eastAsia="Arial" w:hAnsi="Arial"/>
                <w:sz w:val="20"/>
                <w:szCs w:val="20"/>
                <w:color w:val="B4B4B4"/>
                <w:w w:val="91"/>
              </w:rPr>
              <w:t>. . . . .</w:t>
            </w:r>
          </w:p>
        </w:tc>
        <w:tc>
          <w:tcPr>
            <w:tcW w:w="100" w:type="dxa"/>
            <w:vAlign w:val="bottom"/>
          </w:tcPr>
          <w:p>
            <w:pPr>
              <w:jc w:val="right"/>
              <w:spacing w:after="0"/>
              <w:rPr>
                <w:sz w:val="20"/>
                <w:szCs w:val="20"/>
                <w:color w:val="auto"/>
              </w:rPr>
            </w:pPr>
            <w:r>
              <w:rPr>
                <w:rFonts w:ascii="Arial" w:cs="Arial" w:eastAsia="Arial" w:hAnsi="Arial"/>
                <w:sz w:val="20"/>
                <w:szCs w:val="20"/>
                <w:color w:val="B4B4B4"/>
              </w:rPr>
              <w:t>.</w:t>
            </w: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E6E6E6"/>
            </w:tcBorders>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886</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80"/>
              <w:spacing w:after="0"/>
              <w:rPr>
                <w:sz w:val="20"/>
                <w:szCs w:val="20"/>
                <w:color w:val="auto"/>
              </w:rPr>
            </w:pPr>
            <w:r>
              <w:rPr>
                <w:rFonts w:ascii="Arial" w:cs="Arial" w:eastAsia="Arial" w:hAnsi="Arial"/>
                <w:sz w:val="20"/>
                <w:szCs w:val="20"/>
                <w:b w:val="1"/>
                <w:bCs w:val="1"/>
                <w:i w:val="1"/>
                <w:iCs w:val="1"/>
                <w:color w:val="auto"/>
              </w:rPr>
              <w:t>Cash (used)/provided by financing activities</w:t>
            </w: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6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440" w:type="dxa"/>
            <w:vAlign w:val="bottom"/>
          </w:tcPr>
          <w:p>
            <w:pPr>
              <w:ind w:left="380"/>
              <w:spacing w:after="0"/>
              <w:rPr>
                <w:sz w:val="20"/>
                <w:szCs w:val="20"/>
                <w:color w:val="auto"/>
              </w:rPr>
            </w:pPr>
            <w:r>
              <w:rPr>
                <w:rFonts w:ascii="Arial" w:cs="Arial" w:eastAsia="Arial" w:hAnsi="Arial"/>
                <w:sz w:val="20"/>
                <w:szCs w:val="20"/>
                <w:color w:val="auto"/>
                <w:w w:val="95"/>
              </w:rPr>
              <w:t>Changes in cash (used)/provided by financing activities were driven by:</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(In millions)</w:t>
            </w:r>
          </w:p>
        </w:tc>
        <w:tc>
          <w:tcPr>
            <w:tcW w:w="0" w:type="dxa"/>
            <w:vAlign w:val="bottom"/>
          </w:tcPr>
          <w:p>
            <w:pPr>
              <w:spacing w:after="0"/>
              <w:rPr>
                <w:sz w:val="1"/>
                <w:szCs w:val="1"/>
                <w:color w:val="auto"/>
              </w:rPr>
            </w:pPr>
          </w:p>
        </w:tc>
      </w:tr>
      <w:tr>
        <w:trPr>
          <w:trHeight w:val="287"/>
        </w:trPr>
        <w:tc>
          <w:tcPr>
            <w:tcW w:w="6440" w:type="dxa"/>
            <w:vAlign w:val="bottom"/>
          </w:tcPr>
          <w:p>
            <w:pPr>
              <w:spacing w:after="0"/>
              <w:rPr>
                <w:sz w:val="20"/>
                <w:szCs w:val="20"/>
                <w:color w:val="auto"/>
              </w:rPr>
            </w:pPr>
            <w:r>
              <w:rPr>
                <w:rFonts w:ascii="Arial" w:cs="Arial" w:eastAsia="Arial" w:hAnsi="Arial"/>
                <w:sz w:val="20"/>
                <w:szCs w:val="20"/>
                <w:color w:val="auto"/>
                <w:w w:val="89"/>
              </w:rPr>
              <w:t xml:space="preserve">Decrease due to repayments of long-term debt and finance leases </w:t>
            </w:r>
            <w:r>
              <w:rPr>
                <w:rFonts w:ascii="Arial" w:cs="Arial" w:eastAsia="Arial" w:hAnsi="Arial"/>
                <w:sz w:val="20"/>
                <w:szCs w:val="20"/>
                <w:color w:val="B4B4B4"/>
                <w:w w:val="89"/>
              </w:rPr>
              <w:t>. . . . . . . . . . . .</w:t>
            </w:r>
          </w:p>
        </w:tc>
        <w:tc>
          <w:tcPr>
            <w:tcW w:w="200" w:type="dxa"/>
            <w:vAlign w:val="bottom"/>
          </w:tcPr>
          <w:p>
            <w:pPr>
              <w:spacing w:after="0"/>
              <w:rPr>
                <w:sz w:val="20"/>
                <w:szCs w:val="20"/>
                <w:color w:val="auto"/>
              </w:rPr>
            </w:pPr>
            <w:r>
              <w:rPr>
                <w:rFonts w:ascii="Arial" w:cs="Arial" w:eastAsia="Arial" w:hAnsi="Arial"/>
                <w:sz w:val="20"/>
                <w:szCs w:val="20"/>
                <w:color w:val="B4B4B4"/>
              </w:rPr>
              <w:t>. .</w:t>
            </w:r>
          </w:p>
        </w:tc>
        <w:tc>
          <w:tcPr>
            <w:tcW w:w="1680" w:type="dxa"/>
            <w:vAlign w:val="bottom"/>
            <w:gridSpan w:val="3"/>
          </w:tcPr>
          <w:p>
            <w:pPr>
              <w:jc w:val="right"/>
              <w:spacing w:after="0"/>
              <w:rPr>
                <w:sz w:val="20"/>
                <w:szCs w:val="20"/>
                <w:color w:val="auto"/>
              </w:rPr>
            </w:pPr>
            <w:r>
              <w:rPr>
                <w:rFonts w:ascii="Arial" w:cs="Arial" w:eastAsia="Arial" w:hAnsi="Arial"/>
                <w:sz w:val="20"/>
                <w:szCs w:val="20"/>
                <w:color w:val="B4B4B4"/>
                <w:w w:val="88"/>
              </w:rPr>
              <w:t>. . . . . . . . . . . . . . . . .</w:t>
            </w:r>
          </w:p>
        </w:tc>
        <w:tc>
          <w:tcPr>
            <w:tcW w:w="600" w:type="dxa"/>
            <w:vAlign w:val="bottom"/>
            <w:gridSpan w:val="2"/>
          </w:tcPr>
          <w:p>
            <w:pPr>
              <w:jc w:val="right"/>
              <w:spacing w:after="0"/>
              <w:rPr>
                <w:sz w:val="20"/>
                <w:szCs w:val="20"/>
                <w:color w:val="auto"/>
              </w:rPr>
            </w:pPr>
            <w:r>
              <w:rPr>
                <w:rFonts w:ascii="Arial" w:cs="Arial" w:eastAsia="Arial" w:hAnsi="Arial"/>
                <w:sz w:val="20"/>
                <w:szCs w:val="20"/>
                <w:color w:val="B4B4B4"/>
                <w:w w:val="84"/>
              </w:rPr>
              <w:t>. . . . . .</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right w:val="single" w:sz="8" w:color="E6E6E6"/>
            </w:tcBorders>
          </w:tcPr>
          <w:p>
            <w:pPr>
              <w:jc w:val="right"/>
              <w:spacing w:after="0"/>
              <w:rPr>
                <w:sz w:val="20"/>
                <w:szCs w:val="20"/>
                <w:color w:val="auto"/>
              </w:rPr>
            </w:pPr>
            <w:r>
              <w:rPr>
                <w:rFonts w:ascii="Arial" w:cs="Arial" w:eastAsia="Arial" w:hAnsi="Arial"/>
                <w:sz w:val="20"/>
                <w:szCs w:val="20"/>
                <w:color w:val="auto"/>
              </w:rPr>
              <w:t>(2,732)</w:t>
            </w:r>
          </w:p>
        </w:tc>
        <w:tc>
          <w:tcPr>
            <w:tcW w:w="0" w:type="dxa"/>
            <w:vAlign w:val="bottom"/>
          </w:tcPr>
          <w:p>
            <w:pPr>
              <w:spacing w:after="0"/>
              <w:rPr>
                <w:sz w:val="1"/>
                <w:szCs w:val="1"/>
                <w:color w:val="auto"/>
              </w:rPr>
            </w:pPr>
          </w:p>
        </w:tc>
      </w:tr>
      <w:tr>
        <w:trPr>
          <w:trHeight w:val="285"/>
        </w:trPr>
        <w:tc>
          <w:tcPr>
            <w:tcW w:w="6440" w:type="dxa"/>
            <w:vAlign w:val="bottom"/>
          </w:tcPr>
          <w:p>
            <w:pPr>
              <w:spacing w:after="0"/>
              <w:rPr>
                <w:sz w:val="20"/>
                <w:szCs w:val="20"/>
                <w:color w:val="auto"/>
              </w:rPr>
            </w:pPr>
            <w:r>
              <w:rPr>
                <w:rFonts w:ascii="Arial" w:cs="Arial" w:eastAsia="Arial" w:hAnsi="Arial"/>
                <w:sz w:val="20"/>
                <w:szCs w:val="20"/>
                <w:color w:val="auto"/>
                <w:w w:val="89"/>
              </w:rPr>
              <w:t xml:space="preserve">Increase in proceeds due to the issuance of long-term debt in 2024 </w:t>
            </w:r>
            <w:r>
              <w:rPr>
                <w:rFonts w:ascii="Arial" w:cs="Arial" w:eastAsia="Arial" w:hAnsi="Arial"/>
                <w:sz w:val="20"/>
                <w:szCs w:val="20"/>
                <w:color w:val="B4B4B4"/>
                <w:w w:val="89"/>
              </w:rPr>
              <w:t>. . . . . . . . . . .</w:t>
            </w:r>
          </w:p>
        </w:tc>
        <w:tc>
          <w:tcPr>
            <w:tcW w:w="200" w:type="dxa"/>
            <w:vAlign w:val="bottom"/>
          </w:tcPr>
          <w:p>
            <w:pPr>
              <w:spacing w:after="0"/>
              <w:rPr>
                <w:sz w:val="20"/>
                <w:szCs w:val="20"/>
                <w:color w:val="auto"/>
              </w:rPr>
            </w:pPr>
            <w:r>
              <w:rPr>
                <w:rFonts w:ascii="Arial" w:cs="Arial" w:eastAsia="Arial" w:hAnsi="Arial"/>
                <w:sz w:val="20"/>
                <w:szCs w:val="20"/>
                <w:color w:val="B4B4B4"/>
              </w:rPr>
              <w:t>. .</w:t>
            </w:r>
          </w:p>
        </w:tc>
        <w:tc>
          <w:tcPr>
            <w:tcW w:w="1680" w:type="dxa"/>
            <w:vAlign w:val="bottom"/>
            <w:gridSpan w:val="3"/>
          </w:tcPr>
          <w:p>
            <w:pPr>
              <w:jc w:val="right"/>
              <w:spacing w:after="0"/>
              <w:rPr>
                <w:sz w:val="20"/>
                <w:szCs w:val="20"/>
                <w:color w:val="auto"/>
              </w:rPr>
            </w:pPr>
            <w:r>
              <w:rPr>
                <w:rFonts w:ascii="Arial" w:cs="Arial" w:eastAsia="Arial" w:hAnsi="Arial"/>
                <w:sz w:val="20"/>
                <w:szCs w:val="20"/>
                <w:color w:val="B4B4B4"/>
                <w:w w:val="88"/>
              </w:rPr>
              <w:t>. . . . . . . . . . . . . . . . .</w:t>
            </w:r>
          </w:p>
        </w:tc>
        <w:tc>
          <w:tcPr>
            <w:tcW w:w="600" w:type="dxa"/>
            <w:vAlign w:val="bottom"/>
            <w:gridSpan w:val="2"/>
          </w:tcPr>
          <w:p>
            <w:pPr>
              <w:jc w:val="right"/>
              <w:spacing w:after="0"/>
              <w:rPr>
                <w:sz w:val="20"/>
                <w:szCs w:val="20"/>
                <w:color w:val="auto"/>
              </w:rPr>
            </w:pPr>
            <w:r>
              <w:rPr>
                <w:rFonts w:ascii="Arial" w:cs="Arial" w:eastAsia="Arial" w:hAnsi="Arial"/>
                <w:sz w:val="20"/>
                <w:szCs w:val="20"/>
                <w:color w:val="B4B4B4"/>
                <w:w w:val="84"/>
              </w:rPr>
              <w:t>. . . . . .</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20"/>
                <w:szCs w:val="20"/>
                <w:color w:val="auto"/>
              </w:rPr>
              <w:t>2,469</w:t>
            </w:r>
          </w:p>
        </w:tc>
        <w:tc>
          <w:tcPr>
            <w:tcW w:w="0" w:type="dxa"/>
            <w:vAlign w:val="bottom"/>
          </w:tcPr>
          <w:p>
            <w:pPr>
              <w:spacing w:after="0"/>
              <w:rPr>
                <w:sz w:val="1"/>
                <w:szCs w:val="1"/>
                <w:color w:val="auto"/>
              </w:rPr>
            </w:pPr>
          </w:p>
        </w:tc>
      </w:tr>
      <w:tr>
        <w:trPr>
          <w:trHeight w:val="309"/>
        </w:trPr>
        <w:tc>
          <w:tcPr>
            <w:tcW w:w="6440" w:type="dxa"/>
            <w:vAlign w:val="bottom"/>
          </w:tcPr>
          <w:p>
            <w:pPr>
              <w:spacing w:after="0"/>
              <w:rPr>
                <w:sz w:val="20"/>
                <w:szCs w:val="20"/>
                <w:color w:val="auto"/>
              </w:rPr>
            </w:pPr>
            <w:r>
              <w:rPr>
                <w:rFonts w:ascii="Arial" w:cs="Arial" w:eastAsia="Arial" w:hAnsi="Arial"/>
                <w:sz w:val="20"/>
                <w:szCs w:val="20"/>
                <w:color w:val="auto"/>
                <w:w w:val="89"/>
              </w:rPr>
              <w:t xml:space="preserve">Decrease in proceeds due to the issuance of preferred stock in 2023 </w:t>
            </w:r>
            <w:r>
              <w:rPr>
                <w:rFonts w:ascii="Arial" w:cs="Arial" w:eastAsia="Arial" w:hAnsi="Arial"/>
                <w:sz w:val="20"/>
                <w:szCs w:val="20"/>
                <w:color w:val="B4B4B4"/>
                <w:w w:val="89"/>
              </w:rPr>
              <w:t>. . . . . . . . . .</w:t>
            </w:r>
          </w:p>
        </w:tc>
        <w:tc>
          <w:tcPr>
            <w:tcW w:w="200" w:type="dxa"/>
            <w:vAlign w:val="bottom"/>
          </w:tcPr>
          <w:p>
            <w:pPr>
              <w:spacing w:after="0"/>
              <w:rPr>
                <w:sz w:val="20"/>
                <w:szCs w:val="20"/>
                <w:color w:val="auto"/>
              </w:rPr>
            </w:pPr>
            <w:r>
              <w:rPr>
                <w:rFonts w:ascii="Arial" w:cs="Arial" w:eastAsia="Arial" w:hAnsi="Arial"/>
                <w:sz w:val="20"/>
                <w:szCs w:val="20"/>
                <w:color w:val="B4B4B4"/>
              </w:rPr>
              <w:t>. .</w:t>
            </w:r>
          </w:p>
        </w:tc>
        <w:tc>
          <w:tcPr>
            <w:tcW w:w="1040" w:type="dxa"/>
            <w:vAlign w:val="bottom"/>
            <w:gridSpan w:val="2"/>
          </w:tcPr>
          <w:p>
            <w:pPr>
              <w:spacing w:after="0"/>
              <w:rPr>
                <w:sz w:val="20"/>
                <w:szCs w:val="20"/>
                <w:color w:val="auto"/>
              </w:rPr>
            </w:pPr>
            <w:r>
              <w:rPr>
                <w:rFonts w:ascii="Arial" w:cs="Arial" w:eastAsia="Arial" w:hAnsi="Arial"/>
                <w:sz w:val="20"/>
                <w:szCs w:val="20"/>
                <w:color w:val="B4B4B4"/>
                <w:w w:val="87"/>
              </w:rPr>
              <w:t>. . . . . . . . . . .</w:t>
            </w:r>
          </w:p>
        </w:tc>
        <w:tc>
          <w:tcPr>
            <w:tcW w:w="640" w:type="dxa"/>
            <w:vAlign w:val="bottom"/>
          </w:tcPr>
          <w:p>
            <w:pPr>
              <w:jc w:val="right"/>
              <w:spacing w:after="0"/>
              <w:rPr>
                <w:sz w:val="20"/>
                <w:szCs w:val="20"/>
                <w:color w:val="auto"/>
              </w:rPr>
            </w:pPr>
            <w:r>
              <w:rPr>
                <w:rFonts w:ascii="Arial" w:cs="Arial" w:eastAsia="Arial" w:hAnsi="Arial"/>
                <w:sz w:val="20"/>
                <w:szCs w:val="20"/>
                <w:color w:val="B4B4B4"/>
                <w:w w:val="94"/>
              </w:rPr>
              <w:t>. . . . . .</w:t>
            </w:r>
          </w:p>
        </w:tc>
        <w:tc>
          <w:tcPr>
            <w:tcW w:w="600" w:type="dxa"/>
            <w:vAlign w:val="bottom"/>
            <w:gridSpan w:val="2"/>
          </w:tcPr>
          <w:p>
            <w:pPr>
              <w:jc w:val="right"/>
              <w:spacing w:after="0"/>
              <w:rPr>
                <w:sz w:val="20"/>
                <w:szCs w:val="20"/>
                <w:color w:val="auto"/>
              </w:rPr>
            </w:pPr>
            <w:r>
              <w:rPr>
                <w:rFonts w:ascii="Arial" w:cs="Arial" w:eastAsia="Arial" w:hAnsi="Arial"/>
                <w:sz w:val="20"/>
                <w:szCs w:val="20"/>
                <w:color w:val="B4B4B4"/>
                <w:w w:val="84"/>
              </w:rPr>
              <w:t>. . . . . .</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Borders>
              <w:right w:val="single" w:sz="8" w:color="E6E6E6"/>
            </w:tcBorders>
          </w:tcPr>
          <w:p>
            <w:pPr>
              <w:jc w:val="right"/>
              <w:spacing w:after="0"/>
              <w:rPr>
                <w:sz w:val="20"/>
                <w:szCs w:val="20"/>
                <w:color w:val="auto"/>
              </w:rPr>
            </w:pPr>
            <w:r>
              <w:rPr>
                <w:rFonts w:ascii="Arial" w:cs="Arial" w:eastAsia="Arial" w:hAnsi="Arial"/>
                <w:sz w:val="20"/>
                <w:szCs w:val="20"/>
                <w:color w:val="auto"/>
              </w:rPr>
              <w:t>(635)</w:t>
            </w:r>
          </w:p>
        </w:tc>
        <w:tc>
          <w:tcPr>
            <w:tcW w:w="0" w:type="dxa"/>
            <w:vAlign w:val="bottom"/>
          </w:tcPr>
          <w:p>
            <w:pPr>
              <w:spacing w:after="0"/>
              <w:rPr>
                <w:sz w:val="1"/>
                <w:szCs w:val="1"/>
                <w:color w:val="auto"/>
              </w:rPr>
            </w:pPr>
          </w:p>
        </w:tc>
      </w:tr>
      <w:tr>
        <w:trPr>
          <w:trHeight w:val="285"/>
        </w:trPr>
        <w:tc>
          <w:tcPr>
            <w:tcW w:w="6440" w:type="dxa"/>
            <w:vAlign w:val="bottom"/>
          </w:tcPr>
          <w:p>
            <w:pPr>
              <w:spacing w:after="0"/>
              <w:rPr>
                <w:sz w:val="20"/>
                <w:szCs w:val="20"/>
                <w:color w:val="auto"/>
              </w:rPr>
            </w:pPr>
            <w:r>
              <w:rPr>
                <w:rFonts w:ascii="Arial" w:cs="Arial" w:eastAsia="Arial" w:hAnsi="Arial"/>
                <w:sz w:val="20"/>
                <w:szCs w:val="20"/>
                <w:color w:val="auto"/>
                <w:w w:val="90"/>
              </w:rPr>
              <w:t xml:space="preserve">Decrease in net receipts from settlement of acquired derivatives </w:t>
            </w:r>
            <w:r>
              <w:rPr>
                <w:rFonts w:ascii="Arial" w:cs="Arial" w:eastAsia="Arial" w:hAnsi="Arial"/>
                <w:sz w:val="20"/>
                <w:szCs w:val="20"/>
                <w:color w:val="B4B4B4"/>
                <w:w w:val="90"/>
              </w:rPr>
              <w:t>. . . . . . . . . . . . .</w:t>
            </w:r>
          </w:p>
        </w:tc>
        <w:tc>
          <w:tcPr>
            <w:tcW w:w="200" w:type="dxa"/>
            <w:vAlign w:val="bottom"/>
          </w:tcPr>
          <w:p>
            <w:pPr>
              <w:spacing w:after="0"/>
              <w:rPr>
                <w:sz w:val="20"/>
                <w:szCs w:val="20"/>
                <w:color w:val="auto"/>
              </w:rPr>
            </w:pPr>
            <w:r>
              <w:rPr>
                <w:rFonts w:ascii="Arial" w:cs="Arial" w:eastAsia="Arial" w:hAnsi="Arial"/>
                <w:sz w:val="20"/>
                <w:szCs w:val="20"/>
                <w:color w:val="B4B4B4"/>
              </w:rPr>
              <w:t>. .</w:t>
            </w:r>
          </w:p>
        </w:tc>
        <w:tc>
          <w:tcPr>
            <w:tcW w:w="1680" w:type="dxa"/>
            <w:vAlign w:val="bottom"/>
            <w:gridSpan w:val="3"/>
          </w:tcPr>
          <w:p>
            <w:pPr>
              <w:jc w:val="right"/>
              <w:spacing w:after="0"/>
              <w:rPr>
                <w:sz w:val="20"/>
                <w:szCs w:val="20"/>
                <w:color w:val="auto"/>
              </w:rPr>
            </w:pPr>
            <w:r>
              <w:rPr>
                <w:rFonts w:ascii="Arial" w:cs="Arial" w:eastAsia="Arial" w:hAnsi="Arial"/>
                <w:sz w:val="20"/>
                <w:szCs w:val="20"/>
                <w:color w:val="B4B4B4"/>
                <w:w w:val="88"/>
              </w:rPr>
              <w:t>. . . . . . . . . . . . . . . . .</w:t>
            </w:r>
          </w:p>
        </w:tc>
        <w:tc>
          <w:tcPr>
            <w:tcW w:w="600" w:type="dxa"/>
            <w:vAlign w:val="bottom"/>
            <w:gridSpan w:val="2"/>
          </w:tcPr>
          <w:p>
            <w:pPr>
              <w:jc w:val="right"/>
              <w:spacing w:after="0"/>
              <w:rPr>
                <w:sz w:val="20"/>
                <w:szCs w:val="20"/>
                <w:color w:val="auto"/>
              </w:rPr>
            </w:pPr>
            <w:r>
              <w:rPr>
                <w:rFonts w:ascii="Arial" w:cs="Arial" w:eastAsia="Arial" w:hAnsi="Arial"/>
                <w:sz w:val="20"/>
                <w:szCs w:val="20"/>
                <w:color w:val="B4B4B4"/>
                <w:w w:val="84"/>
              </w:rPr>
              <w:t>. . . . . .</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(345)</w:t>
            </w:r>
          </w:p>
        </w:tc>
        <w:tc>
          <w:tcPr>
            <w:tcW w:w="0" w:type="dxa"/>
            <w:vAlign w:val="bottom"/>
          </w:tcPr>
          <w:p>
            <w:pPr>
              <w:spacing w:after="0"/>
              <w:rPr>
                <w:sz w:val="1"/>
                <w:szCs w:val="1"/>
                <w:color w:val="auto"/>
              </w:rPr>
            </w:pPr>
          </w:p>
        </w:tc>
      </w:tr>
      <w:tr>
        <w:trPr>
          <w:trHeight w:val="309"/>
        </w:trPr>
        <w:tc>
          <w:tcPr>
            <w:tcW w:w="6440" w:type="dxa"/>
            <w:vAlign w:val="bottom"/>
          </w:tcPr>
          <w:p>
            <w:pPr>
              <w:spacing w:after="0"/>
              <w:rPr>
                <w:sz w:val="20"/>
                <w:szCs w:val="20"/>
                <w:color w:val="auto"/>
              </w:rPr>
            </w:pPr>
            <w:r>
              <w:rPr>
                <w:rFonts w:ascii="Arial" w:cs="Arial" w:eastAsia="Arial" w:hAnsi="Arial"/>
                <w:sz w:val="20"/>
                <w:szCs w:val="20"/>
                <w:color w:val="auto"/>
                <w:w w:val="89"/>
              </w:rPr>
              <w:t xml:space="preserve">Decrease primarily due to debt extinguishment costs in 2024 </w:t>
            </w:r>
            <w:r>
              <w:rPr>
                <w:rFonts w:ascii="Arial" w:cs="Arial" w:eastAsia="Arial" w:hAnsi="Arial"/>
                <w:sz w:val="20"/>
                <w:szCs w:val="20"/>
                <w:color w:val="B4B4B4"/>
                <w:w w:val="89"/>
              </w:rPr>
              <w:t>. . . . . . . . . . . . . . . .</w:t>
            </w:r>
          </w:p>
        </w:tc>
        <w:tc>
          <w:tcPr>
            <w:tcW w:w="200" w:type="dxa"/>
            <w:vAlign w:val="bottom"/>
          </w:tcPr>
          <w:p>
            <w:pPr>
              <w:spacing w:after="0"/>
              <w:rPr>
                <w:sz w:val="20"/>
                <w:szCs w:val="20"/>
                <w:color w:val="auto"/>
              </w:rPr>
            </w:pPr>
            <w:r>
              <w:rPr>
                <w:rFonts w:ascii="Arial" w:cs="Arial" w:eastAsia="Arial" w:hAnsi="Arial"/>
                <w:sz w:val="20"/>
                <w:szCs w:val="20"/>
                <w:color w:val="B4B4B4"/>
              </w:rPr>
              <w:t>. .</w:t>
            </w:r>
          </w:p>
        </w:tc>
        <w:tc>
          <w:tcPr>
            <w:tcW w:w="1680" w:type="dxa"/>
            <w:vAlign w:val="bottom"/>
            <w:gridSpan w:val="3"/>
          </w:tcPr>
          <w:p>
            <w:pPr>
              <w:jc w:val="right"/>
              <w:spacing w:after="0"/>
              <w:rPr>
                <w:sz w:val="20"/>
                <w:szCs w:val="20"/>
                <w:color w:val="auto"/>
              </w:rPr>
            </w:pPr>
            <w:r>
              <w:rPr>
                <w:rFonts w:ascii="Arial" w:cs="Arial" w:eastAsia="Arial" w:hAnsi="Arial"/>
                <w:sz w:val="20"/>
                <w:szCs w:val="20"/>
                <w:color w:val="B4B4B4"/>
                <w:w w:val="88"/>
              </w:rPr>
              <w:t>. . . . . . . . . . . . . . . . .</w:t>
            </w:r>
          </w:p>
        </w:tc>
        <w:tc>
          <w:tcPr>
            <w:tcW w:w="500" w:type="dxa"/>
            <w:vAlign w:val="bottom"/>
          </w:tcPr>
          <w:p>
            <w:pPr>
              <w:jc w:val="right"/>
              <w:spacing w:after="0"/>
              <w:rPr>
                <w:sz w:val="20"/>
                <w:szCs w:val="20"/>
                <w:color w:val="auto"/>
              </w:rPr>
            </w:pPr>
            <w:r>
              <w:rPr>
                <w:rFonts w:ascii="Arial" w:cs="Arial" w:eastAsia="Arial" w:hAnsi="Arial"/>
                <w:sz w:val="20"/>
                <w:szCs w:val="20"/>
                <w:color w:val="B4B4B4"/>
                <w:w w:val="87"/>
              </w:rPr>
              <w:t>. . . . .</w:t>
            </w:r>
          </w:p>
        </w:tc>
        <w:tc>
          <w:tcPr>
            <w:tcW w:w="100" w:type="dxa"/>
            <w:vAlign w:val="bottom"/>
          </w:tcPr>
          <w:p>
            <w:pPr>
              <w:jc w:val="right"/>
              <w:spacing w:after="0"/>
              <w:rPr>
                <w:sz w:val="20"/>
                <w:szCs w:val="20"/>
                <w:color w:val="auto"/>
              </w:rPr>
            </w:pPr>
            <w:r>
              <w:rPr>
                <w:rFonts w:ascii="Arial" w:cs="Arial" w:eastAsia="Arial" w:hAnsi="Arial"/>
                <w:sz w:val="20"/>
                <w:szCs w:val="20"/>
                <w:color w:val="B4B4B4"/>
                <w:w w:val="71"/>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Borders>
              <w:right w:val="single" w:sz="8" w:color="E6E6E6"/>
            </w:tcBorders>
          </w:tcPr>
          <w:p>
            <w:pPr>
              <w:jc w:val="right"/>
              <w:spacing w:after="0"/>
              <w:rPr>
                <w:sz w:val="20"/>
                <w:szCs w:val="20"/>
                <w:color w:val="auto"/>
              </w:rPr>
            </w:pPr>
            <w:r>
              <w:rPr>
                <w:rFonts w:ascii="Arial" w:cs="Arial" w:eastAsia="Arial" w:hAnsi="Arial"/>
                <w:sz w:val="20"/>
                <w:szCs w:val="20"/>
                <w:color w:val="auto"/>
              </w:rPr>
              <w:t>(275)</w:t>
            </w:r>
          </w:p>
        </w:tc>
        <w:tc>
          <w:tcPr>
            <w:tcW w:w="0" w:type="dxa"/>
            <w:vAlign w:val="bottom"/>
          </w:tcPr>
          <w:p>
            <w:pPr>
              <w:spacing w:after="0"/>
              <w:rPr>
                <w:sz w:val="1"/>
                <w:szCs w:val="1"/>
                <w:color w:val="auto"/>
              </w:rPr>
            </w:pPr>
          </w:p>
        </w:tc>
      </w:tr>
      <w:tr>
        <w:trPr>
          <w:trHeight w:val="285"/>
        </w:trPr>
        <w:tc>
          <w:tcPr>
            <w:tcW w:w="6440" w:type="dxa"/>
            <w:vAlign w:val="bottom"/>
          </w:tcPr>
          <w:p>
            <w:pPr>
              <w:spacing w:after="0"/>
              <w:rPr>
                <w:sz w:val="20"/>
                <w:szCs w:val="20"/>
                <w:color w:val="auto"/>
              </w:rPr>
            </w:pPr>
            <w:r>
              <w:rPr>
                <w:rFonts w:ascii="Arial" w:cs="Arial" w:eastAsia="Arial" w:hAnsi="Arial"/>
                <w:sz w:val="20"/>
                <w:szCs w:val="20"/>
                <w:color w:val="auto"/>
                <w:w w:val="89"/>
              </w:rPr>
              <w:t xml:space="preserve">Increase due to less payments for share repurchase activity in 2024  </w:t>
            </w:r>
            <w:r>
              <w:rPr>
                <w:rFonts w:ascii="Arial" w:cs="Arial" w:eastAsia="Arial" w:hAnsi="Arial"/>
                <w:sz w:val="20"/>
                <w:szCs w:val="20"/>
                <w:color w:val="B4B4B4"/>
                <w:w w:val="89"/>
              </w:rPr>
              <w:t>. . . . . . . . . .</w:t>
            </w:r>
          </w:p>
        </w:tc>
        <w:tc>
          <w:tcPr>
            <w:tcW w:w="200" w:type="dxa"/>
            <w:vAlign w:val="bottom"/>
          </w:tcPr>
          <w:p>
            <w:pPr>
              <w:spacing w:after="0"/>
              <w:rPr>
                <w:sz w:val="20"/>
                <w:szCs w:val="20"/>
                <w:color w:val="auto"/>
              </w:rPr>
            </w:pPr>
            <w:r>
              <w:rPr>
                <w:rFonts w:ascii="Arial" w:cs="Arial" w:eastAsia="Arial" w:hAnsi="Arial"/>
                <w:sz w:val="20"/>
                <w:szCs w:val="20"/>
                <w:color w:val="B4B4B4"/>
              </w:rPr>
              <w:t>. .</w:t>
            </w:r>
          </w:p>
        </w:tc>
        <w:tc>
          <w:tcPr>
            <w:tcW w:w="1680" w:type="dxa"/>
            <w:vAlign w:val="bottom"/>
            <w:gridSpan w:val="3"/>
          </w:tcPr>
          <w:p>
            <w:pPr>
              <w:jc w:val="right"/>
              <w:spacing w:after="0"/>
              <w:rPr>
                <w:sz w:val="20"/>
                <w:szCs w:val="20"/>
                <w:color w:val="auto"/>
              </w:rPr>
            </w:pPr>
            <w:r>
              <w:rPr>
                <w:rFonts w:ascii="Arial" w:cs="Arial" w:eastAsia="Arial" w:hAnsi="Arial"/>
                <w:sz w:val="20"/>
                <w:szCs w:val="20"/>
                <w:color w:val="B4B4B4"/>
                <w:w w:val="88"/>
              </w:rPr>
              <w:t>. . . . . . . . . . . . . . . . .</w:t>
            </w:r>
          </w:p>
        </w:tc>
        <w:tc>
          <w:tcPr>
            <w:tcW w:w="500" w:type="dxa"/>
            <w:vAlign w:val="bottom"/>
          </w:tcPr>
          <w:p>
            <w:pPr>
              <w:jc w:val="right"/>
              <w:spacing w:after="0"/>
              <w:rPr>
                <w:sz w:val="20"/>
                <w:szCs w:val="20"/>
                <w:color w:val="auto"/>
              </w:rPr>
            </w:pPr>
            <w:r>
              <w:rPr>
                <w:rFonts w:ascii="Arial" w:cs="Arial" w:eastAsia="Arial" w:hAnsi="Arial"/>
                <w:sz w:val="20"/>
                <w:szCs w:val="20"/>
                <w:color w:val="B4B4B4"/>
                <w:w w:val="87"/>
              </w:rPr>
              <w:t>. . . . .</w:t>
            </w:r>
          </w:p>
        </w:tc>
        <w:tc>
          <w:tcPr>
            <w:tcW w:w="100" w:type="dxa"/>
            <w:vAlign w:val="bottom"/>
          </w:tcPr>
          <w:p>
            <w:pPr>
              <w:jc w:val="right"/>
              <w:spacing w:after="0"/>
              <w:rPr>
                <w:sz w:val="20"/>
                <w:szCs w:val="20"/>
                <w:color w:val="auto"/>
              </w:rPr>
            </w:pPr>
            <w:r>
              <w:rPr>
                <w:rFonts w:ascii="Arial" w:cs="Arial" w:eastAsia="Arial" w:hAnsi="Arial"/>
                <w:sz w:val="20"/>
                <w:szCs w:val="20"/>
                <w:color w:val="B4B4B4"/>
                <w:w w:val="71"/>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20"/>
                <w:szCs w:val="20"/>
                <w:color w:val="auto"/>
              </w:rPr>
              <w:t>187</w:t>
            </w:r>
          </w:p>
        </w:tc>
        <w:tc>
          <w:tcPr>
            <w:tcW w:w="0" w:type="dxa"/>
            <w:vAlign w:val="bottom"/>
          </w:tcPr>
          <w:p>
            <w:pPr>
              <w:spacing w:after="0"/>
              <w:rPr>
                <w:sz w:val="1"/>
                <w:szCs w:val="1"/>
                <w:color w:val="auto"/>
              </w:rPr>
            </w:pPr>
          </w:p>
        </w:tc>
      </w:tr>
      <w:tr>
        <w:trPr>
          <w:trHeight w:val="299"/>
        </w:trPr>
        <w:tc>
          <w:tcPr>
            <w:tcW w:w="6440" w:type="dxa"/>
            <w:vAlign w:val="bottom"/>
          </w:tcPr>
          <w:p>
            <w:pPr>
              <w:spacing w:after="0"/>
              <w:rPr>
                <w:sz w:val="20"/>
                <w:szCs w:val="20"/>
                <w:color w:val="auto"/>
              </w:rPr>
            </w:pPr>
            <w:r>
              <w:rPr>
                <w:rFonts w:ascii="Arial" w:cs="Arial" w:eastAsia="Arial" w:hAnsi="Arial"/>
                <w:sz w:val="20"/>
                <w:szCs w:val="20"/>
                <w:color w:val="auto"/>
                <w:w w:val="90"/>
              </w:rPr>
              <w:t xml:space="preserve">Increase in payments of dividends primarily due to preferred stock </w:t>
            </w:r>
            <w:r>
              <w:rPr>
                <w:rFonts w:ascii="Arial" w:cs="Arial" w:eastAsia="Arial" w:hAnsi="Arial"/>
                <w:sz w:val="20"/>
                <w:szCs w:val="20"/>
                <w:color w:val="B4B4B4"/>
                <w:w w:val="90"/>
              </w:rPr>
              <w:t>. . . . . . . . . . .</w:t>
            </w:r>
          </w:p>
        </w:tc>
        <w:tc>
          <w:tcPr>
            <w:tcW w:w="200" w:type="dxa"/>
            <w:vAlign w:val="bottom"/>
          </w:tcPr>
          <w:p>
            <w:pPr>
              <w:spacing w:after="0"/>
              <w:rPr>
                <w:sz w:val="20"/>
                <w:szCs w:val="20"/>
                <w:color w:val="auto"/>
              </w:rPr>
            </w:pPr>
            <w:r>
              <w:rPr>
                <w:rFonts w:ascii="Arial" w:cs="Arial" w:eastAsia="Arial" w:hAnsi="Arial"/>
                <w:sz w:val="20"/>
                <w:szCs w:val="20"/>
                <w:color w:val="B4B4B4"/>
              </w:rPr>
              <w:t>. .</w:t>
            </w:r>
          </w:p>
        </w:tc>
        <w:tc>
          <w:tcPr>
            <w:tcW w:w="1680" w:type="dxa"/>
            <w:vAlign w:val="bottom"/>
            <w:gridSpan w:val="3"/>
          </w:tcPr>
          <w:p>
            <w:pPr>
              <w:jc w:val="right"/>
              <w:spacing w:after="0"/>
              <w:rPr>
                <w:sz w:val="20"/>
                <w:szCs w:val="20"/>
                <w:color w:val="auto"/>
              </w:rPr>
            </w:pPr>
            <w:r>
              <w:rPr>
                <w:rFonts w:ascii="Arial" w:cs="Arial" w:eastAsia="Arial" w:hAnsi="Arial"/>
                <w:sz w:val="20"/>
                <w:szCs w:val="20"/>
                <w:color w:val="B4B4B4"/>
                <w:w w:val="88"/>
              </w:rPr>
              <w:t>. . . . . . . . . . . . . . . . .</w:t>
            </w:r>
          </w:p>
        </w:tc>
        <w:tc>
          <w:tcPr>
            <w:tcW w:w="600" w:type="dxa"/>
            <w:vAlign w:val="bottom"/>
            <w:gridSpan w:val="2"/>
          </w:tcPr>
          <w:p>
            <w:pPr>
              <w:jc w:val="right"/>
              <w:spacing w:after="0"/>
              <w:rPr>
                <w:sz w:val="20"/>
                <w:szCs w:val="20"/>
                <w:color w:val="auto"/>
              </w:rPr>
            </w:pPr>
            <w:r>
              <w:rPr>
                <w:rFonts w:ascii="Arial" w:cs="Arial" w:eastAsia="Arial" w:hAnsi="Arial"/>
                <w:sz w:val="20"/>
                <w:szCs w:val="20"/>
                <w:color w:val="B4B4B4"/>
                <w:w w:val="84"/>
              </w:rPr>
              <w:t>. . . . . .</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E6E6E6"/>
            </w:tcBorders>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(1,355)</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-6631940</wp:posOffset>
            </wp:positionV>
            <wp:extent cx="6456680" cy="5911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7">
                      <a:extLst>
                        <a:ext uri="{28A0092B-C50C-407E-A947-70E740481C1C}"/>
                      </a:extLst>
                    </a:blip>
                    <a:srcRect/>
                    <a:stretch>
                      <a:fillRect/>
                    </a:stretch>
                  </pic:blipFill>
                  <pic:spPr bwMode="auto">
                    <a:xfrm>
                      <a:off x="0" y="0"/>
                      <a:ext cx="6456680" cy="59118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-5390515</wp:posOffset>
            </wp:positionV>
            <wp:extent cx="6466205" cy="128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8">
                      <a:extLst>
                        <a:ext uri="{28A0092B-C50C-407E-A947-70E740481C1C}"/>
                      </a:extLst>
                    </a:blip>
                    <a:srcRect/>
                    <a:stretch>
                      <a:fillRect/>
                    </a:stretch>
                  </pic:blipFill>
                  <pic:spPr bwMode="auto">
                    <a:xfrm>
                      <a:off x="0" y="0"/>
                      <a:ext cx="6466205" cy="12827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-3469640</wp:posOffset>
            </wp:positionV>
            <wp:extent cx="6466205" cy="1292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9">
                      <a:extLst>
                        <a:ext uri="{28A0092B-C50C-407E-A947-70E740481C1C}"/>
                      </a:extLst>
                    </a:blip>
                    <a:srcRect/>
                    <a:stretch>
                      <a:fillRect/>
                    </a:stretch>
                  </pic:blipFill>
                  <pic:spPr bwMode="auto">
                    <a:xfrm>
                      <a:off x="0" y="0"/>
                      <a:ext cx="6466205" cy="129222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-1539875</wp:posOffset>
            </wp:positionV>
            <wp:extent cx="6456680" cy="15468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0">
                      <a:extLst>
                        <a:ext uri="{28A0092B-C50C-407E-A947-70E740481C1C}"/>
                      </a:extLst>
                    </a:blip>
                    <a:srcRect/>
                    <a:stretch>
                      <a:fillRect/>
                    </a:stretch>
                  </pic:blipFill>
                  <pic:spPr bwMode="auto">
                    <a:xfrm>
                      <a:off x="0" y="0"/>
                      <a:ext cx="6456680" cy="1546860"/>
                    </a:xfrm>
                    <a:prstGeom prst="rect">
                      <a:avLst/>
                    </a:prstGeom>
                    <a:noFill/>
                  </pic:spPr>
                </pic:pic>
              </a:graphicData>
            </a:graphic>
          </wp:anchor>
        </w:drawing>
      </w:r>
    </w:p>
    <w:p>
      <w:pPr>
        <w:sectPr>
          <w:pgSz w:w="11880" w:h="15480" w:orient="portrait"/>
          <w:cols w:equalWidth="0" w:num="1">
            <w:col w:w="10140"/>
          </w:cols>
          <w:pgMar w:left="860" w:top="50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880" w:h="15480" w:orient="portrait"/>
          <w:cols w:equalWidth="0" w:num="1">
            <w:col w:w="10140"/>
          </w:cols>
          <w:pgMar w:left="860" w:top="505" w:right="880" w:bottom="0" w:gutter="0" w:footer="0" w:header="0"/>
          <w:type w:val="continuous"/>
        </w:sectPr>
      </w:pPr>
    </w:p>
    <w:bookmarkStart w:id="71" w:name="page72"/>
    <w:bookmarkEnd w:id="71"/>
    <w:p>
      <w:pPr>
        <w:ind w:left="60"/>
        <w:spacing w:after="0"/>
        <w:rPr>
          <w:sz w:val="20"/>
          <w:szCs w:val="20"/>
          <w:color w:val="auto"/>
        </w:rPr>
      </w:pPr>
      <w:r>
        <w:rPr>
          <w:rFonts w:ascii="Arial" w:cs="Arial" w:eastAsia="Arial" w:hAnsi="Arial"/>
          <w:sz w:val="20"/>
          <w:szCs w:val="20"/>
          <w:b w:val="1"/>
          <w:bCs w:val="1"/>
          <w:color w:val="auto"/>
        </w:rPr>
        <w:t>NOLs, Deferred Tax Assets and Uncertain Tax Position Implications</w:t>
      </w:r>
    </w:p>
    <w:p>
      <w:pPr>
        <w:spacing w:after="0" w:line="134"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19"/>
          <w:szCs w:val="19"/>
          <w:color w:val="auto"/>
        </w:rPr>
        <w:t>For the year ended December 31, 2024, the Company had domestic pre-tax book income of $1.5 billion and foreign pre-tax book loss of $37 million. For the year ended December 31, 2024, the Company utilized U.S. federal NOLs of $1.4 billion, and tax credits of $103 million. As of December 31, 2024, the Company has cumulative U.S. federal NOL carryforwards of $7 billion, of which $5.3 billion do not have an expiration date, and cumulative state NOL carryforwards of $6.1 billion for financial statement purposes. NRG also has cumulative foreign NOL carryforwards of $394 million, most of which have no expiration date. In addition to the above NOLs, NRG has a $274 million indefinite carryforward for interest deductions, as well as $269 million of tax credits, inclusive of $61 million of CAMT credits to be utilized in future years. As a result of the Company's tax position, including the utilization of federal and state NOLs, and based on current forecasts, the Company anticipates income tax payments, due to federal, state and foreign jurisdictions, of up to $125 million in 2025, excluding the impact of the proposed CAMT regulations. As of December 31, 2024, NRG as an applicable corporation is subject to the CAMT, and has reflected the impact in its current and deferred taxes. There is no impact on the Company’s provision for income taxes from the CAMT as of December 31, 2024.</w:t>
      </w:r>
    </w:p>
    <w:p>
      <w:pPr>
        <w:spacing w:after="0" w:line="86"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Company has $57 million of tax effected uncertain federal, state and foreign tax benefits for which the Company has recorded a non-current tax liability of $62 million (inclusive of accrued interest) until such final resolution with the related taxing authority.</w:t>
      </w:r>
    </w:p>
    <w:p>
      <w:pPr>
        <w:spacing w:after="0" w:line="78" w:lineRule="exact"/>
        <w:rPr>
          <w:sz w:val="20"/>
          <w:szCs w:val="20"/>
          <w:color w:val="auto"/>
        </w:rPr>
      </w:pPr>
    </w:p>
    <w:p>
      <w:pPr>
        <w:jc w:val="both"/>
        <w:ind w:firstLine="445"/>
        <w:spacing w:after="0" w:line="305" w:lineRule="auto"/>
        <w:rPr>
          <w:sz w:val="20"/>
          <w:szCs w:val="20"/>
          <w:color w:val="auto"/>
        </w:rPr>
      </w:pPr>
      <w:r>
        <w:rPr>
          <w:rFonts w:ascii="Arial" w:cs="Arial" w:eastAsia="Arial" w:hAnsi="Arial"/>
          <w:sz w:val="18"/>
          <w:szCs w:val="18"/>
          <w:color w:val="auto"/>
        </w:rPr>
        <w:t>On December 31, 2021, the OECD released rules which set forth a common approach to a global minimum tax at 15% for multinational companies, which has been enacted into law by certain countries effective for 2024. The Company's preliminary analysis indicates that there is no material impact to the Company's financial statements from these rules.</w:t>
      </w:r>
    </w:p>
    <w:p>
      <w:pPr>
        <w:spacing w:after="0" w:line="4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The Company is no longer subject to U.S. federal income tax examinations for years prior to 2021. With few exceptions, state and Canadian income tax examinations are no longer open for years before 2015.</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Guarantor Financial Information</w:t>
      </w:r>
    </w:p>
    <w:p>
      <w:pPr>
        <w:spacing w:after="0" w:line="134" w:lineRule="exact"/>
        <w:rPr>
          <w:sz w:val="20"/>
          <w:szCs w:val="20"/>
          <w:color w:val="auto"/>
        </w:rPr>
      </w:pPr>
    </w:p>
    <w:p>
      <w:pPr>
        <w:jc w:val="both"/>
        <w:ind w:firstLine="445"/>
        <w:spacing w:after="0" w:line="295" w:lineRule="auto"/>
        <w:rPr>
          <w:sz w:val="20"/>
          <w:szCs w:val="20"/>
          <w:color w:val="auto"/>
        </w:rPr>
      </w:pPr>
      <w:r>
        <w:rPr>
          <w:rFonts w:ascii="Arial" w:cs="Arial" w:eastAsia="Arial" w:hAnsi="Arial"/>
          <w:sz w:val="18"/>
          <w:szCs w:val="18"/>
          <w:color w:val="auto"/>
        </w:rPr>
        <w:t xml:space="preserve">As of December 31, 2024, the Company's outstanding registered senior notes consisted of $821 million of the 2028 Senior Notes as shown in Note 12, </w:t>
      </w:r>
      <w:r>
        <w:rPr>
          <w:rFonts w:ascii="Arial" w:cs="Arial" w:eastAsia="Arial" w:hAnsi="Arial"/>
          <w:sz w:val="18"/>
          <w:szCs w:val="18"/>
          <w:b w:val="1"/>
          <w:bCs w:val="1"/>
          <w:i w:val="1"/>
          <w:iCs w:val="1"/>
          <w:color w:val="auto"/>
        </w:rPr>
        <w:t>Long-term Debt and Finance Leases</w:t>
      </w:r>
      <w:r>
        <w:rPr>
          <w:rFonts w:ascii="Arial" w:cs="Arial" w:eastAsia="Arial" w:hAnsi="Arial"/>
          <w:sz w:val="18"/>
          <w:szCs w:val="18"/>
          <w:color w:val="auto"/>
        </w:rPr>
        <w:t>. These Senior Notes are guaranteed by certain of NRG's current and future 100% owned domestic subsidiaries, or guarantor subsidiaries (the “Guarantors”). See Exhibit 22.1 to this Annual Report on Form 10-K for a listing of the Guarantors. These guarantees are both joint and several.</w:t>
      </w:r>
    </w:p>
    <w:p>
      <w:pPr>
        <w:spacing w:after="0" w:line="52"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NRG conducts much of its business through and derives much of its income from its subsidiaries. Therefore, the Company's ability to make required payments with respect to its indebtedness and other obligations depends on the financial results and condition of its subsidiaries and NRG's ability to receive funds from its subsidiaries. There are no restrictions on the ability of any of the Guarantors to transfer funds to NRG. Other subsidiaries of the Company do not guarantee the registered debt securities of either NRG Energy, Inc. or the Guarantors (such subsidiaries are referred to as the “Non-Guarantors”). The Non-Guarantors include all of NRG's foreign subsidiaries and certain domestic subsidiaries.</w:t>
      </w:r>
    </w:p>
    <w:p>
      <w:pPr>
        <w:spacing w:after="0" w:line="59"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9"/>
          <w:szCs w:val="19"/>
          <w:color w:val="auto"/>
        </w:rPr>
        <w:t>The following tables present summarized financial information of NRG Energy, Inc. and the Guarantors in accordance with Rule 3-10 under the SEC's Regulation S-X. The financial information may not necessarily be indicative of the results of operations or financial position of NRG Energy, Inc. and the Guarantors in accordance with U.S. GAAP.</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presents the summarized statement of operations:</w:t>
      </w:r>
    </w:p>
    <w:p>
      <w:pPr>
        <w:spacing w:after="0" w:line="7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right"/>
              <w:ind w:right="184"/>
              <w:spacing w:after="0"/>
              <w:rPr>
                <w:sz w:val="20"/>
                <w:szCs w:val="20"/>
                <w:color w:val="auto"/>
              </w:rPr>
            </w:pPr>
            <w:r>
              <w:rPr>
                <w:rFonts w:ascii="Arial" w:cs="Arial" w:eastAsia="Arial" w:hAnsi="Arial"/>
                <w:sz w:val="18"/>
                <w:szCs w:val="18"/>
                <w:b w:val="1"/>
                <w:bCs w:val="1"/>
                <w:color w:val="auto"/>
                <w:w w:val="94"/>
              </w:rPr>
              <w:t>For the Year Ended</w:t>
            </w:r>
          </w:p>
        </w:tc>
      </w:tr>
      <w:tr>
        <w:trPr>
          <w:trHeight w:val="236"/>
        </w:trPr>
        <w:tc>
          <w:tcPr>
            <w:tcW w:w="802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24"/>
              <w:spacing w:after="0"/>
              <w:rPr>
                <w:sz w:val="20"/>
                <w:szCs w:val="20"/>
                <w:color w:val="auto"/>
              </w:rPr>
            </w:pPr>
            <w:r>
              <w:rPr>
                <w:rFonts w:ascii="Arial" w:cs="Arial" w:eastAsia="Arial" w:hAnsi="Arial"/>
                <w:sz w:val="18"/>
                <w:szCs w:val="18"/>
                <w:b w:val="1"/>
                <w:bCs w:val="1"/>
                <w:color w:val="auto"/>
                <w:w w:val="93"/>
              </w:rPr>
              <w:t>December 31, 2024</w:t>
            </w:r>
          </w:p>
        </w:tc>
      </w:tr>
      <w:tr>
        <w:trPr>
          <w:trHeight w:val="295"/>
        </w:trPr>
        <w:tc>
          <w:tcPr>
            <w:tcW w:w="8020" w:type="dxa"/>
            <w:vAlign w:val="bottom"/>
          </w:tcPr>
          <w:p>
            <w:pPr>
              <w:spacing w:after="0"/>
              <w:rPr>
                <w:sz w:val="20"/>
                <w:szCs w:val="20"/>
                <w:color w:val="auto"/>
              </w:rPr>
            </w:pPr>
            <w:r>
              <w:rPr>
                <w:rFonts w:ascii="Arial" w:cs="Arial" w:eastAsia="Arial" w:hAnsi="Arial"/>
                <w:sz w:val="20"/>
                <w:szCs w:val="20"/>
                <w:color w:val="B4B4B4"/>
                <w:w w:val="89"/>
              </w:rPr>
              <w:t>. . . . . . . . . . . . . . . . . . . . . . . . . . . . . . . . . . . . . . . . . . . . . . . . . . . . . . . . . . . . . . . . . . . . . . . .</w:t>
            </w:r>
            <w:r>
              <w:rPr>
                <w:rFonts w:ascii="Arial" w:cs="Arial" w:eastAsia="Arial" w:hAnsi="Arial"/>
                <w:sz w:val="20"/>
                <w:szCs w:val="20"/>
                <w:color w:val="000000"/>
                <w:w w:val="89"/>
              </w:rPr>
              <w:t>Revenue</w:t>
            </w:r>
            <w:r>
              <w:rPr>
                <w:rFonts w:ascii="Arial" w:cs="Arial" w:eastAsia="Arial" w:hAnsi="Arial"/>
                <w:sz w:val="25"/>
                <w:szCs w:val="25"/>
                <w:color w:val="000000"/>
                <w:w w:val="89"/>
                <w:vertAlign w:val="superscript"/>
              </w:rPr>
              <w:t>(a)</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23,553</w:t>
            </w:r>
          </w:p>
        </w:tc>
      </w:tr>
      <w:tr>
        <w:trPr>
          <w:trHeight w:val="315"/>
        </w:trPr>
        <w:tc>
          <w:tcPr>
            <w:tcW w:w="8020" w:type="dxa"/>
            <w:vAlign w:val="bottom"/>
          </w:tcPr>
          <w:p>
            <w:pPr>
              <w:spacing w:after="0"/>
              <w:rPr>
                <w:sz w:val="20"/>
                <w:szCs w:val="20"/>
                <w:color w:val="auto"/>
              </w:rPr>
            </w:pPr>
            <w:r>
              <w:rPr>
                <w:rFonts w:ascii="Arial" w:cs="Arial" w:eastAsia="Arial" w:hAnsi="Arial"/>
                <w:sz w:val="20"/>
                <w:szCs w:val="20"/>
                <w:color w:val="auto"/>
                <w:w w:val="89"/>
              </w:rPr>
              <w:t>Operating income</w:t>
            </w:r>
            <w:r>
              <w:rPr>
                <w:rFonts w:ascii="Arial" w:cs="Arial" w:eastAsia="Arial" w:hAnsi="Arial"/>
                <w:sz w:val="25"/>
                <w:szCs w:val="25"/>
                <w:color w:val="auto"/>
                <w:w w:val="89"/>
                <w:vertAlign w:val="superscript"/>
              </w:rPr>
              <w:t>(b)</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 . . . . . . . . . . . . . . . . . . . . . . . . . . . . . . . . . . . . . . . . .</w:t>
            </w:r>
          </w:p>
        </w:tc>
        <w:tc>
          <w:tcPr>
            <w:tcW w:w="2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2,382</w:t>
            </w:r>
          </w:p>
        </w:tc>
      </w:tr>
      <w:tr>
        <w:trPr>
          <w:trHeight w:val="258"/>
        </w:trPr>
        <w:tc>
          <w:tcPr>
            <w:tcW w:w="8020" w:type="dxa"/>
            <w:vAlign w:val="bottom"/>
          </w:tcPr>
          <w:p>
            <w:pPr>
              <w:spacing w:after="0"/>
              <w:rPr>
                <w:sz w:val="20"/>
                <w:szCs w:val="20"/>
                <w:color w:val="auto"/>
              </w:rPr>
            </w:pPr>
            <w:r>
              <w:rPr>
                <w:rFonts w:ascii="Arial" w:cs="Arial" w:eastAsia="Arial" w:hAnsi="Arial"/>
                <w:sz w:val="20"/>
                <w:szCs w:val="20"/>
                <w:color w:val="auto"/>
                <w:w w:val="90"/>
              </w:rPr>
              <w:t xml:space="preserve">Total other expense </w:t>
            </w:r>
            <w:r>
              <w:rPr>
                <w:rFonts w:ascii="Arial" w:cs="Arial" w:eastAsia="Arial" w:hAnsi="Arial"/>
                <w:sz w:val="20"/>
                <w:szCs w:val="20"/>
                <w:color w:val="B4B4B4"/>
                <w:w w:val="90"/>
              </w:rPr>
              <w:t>. . . . . . . . . . . . . . . . . . . . . . . . . . . . . . . . . . . . . . . . . . . . . . . . . . . . . . . . . . . . . . . .</w:t>
            </w:r>
          </w:p>
        </w:tc>
        <w:tc>
          <w:tcPr>
            <w:tcW w:w="22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(635)</w:t>
            </w:r>
          </w:p>
        </w:tc>
      </w:tr>
      <w:tr>
        <w:trPr>
          <w:trHeight w:val="297"/>
        </w:trPr>
        <w:tc>
          <w:tcPr>
            <w:tcW w:w="8020" w:type="dxa"/>
            <w:vAlign w:val="bottom"/>
          </w:tcPr>
          <w:p>
            <w:pPr>
              <w:spacing w:after="0"/>
              <w:rPr>
                <w:sz w:val="20"/>
                <w:szCs w:val="20"/>
                <w:color w:val="auto"/>
              </w:rPr>
            </w:pPr>
            <w:r>
              <w:rPr>
                <w:rFonts w:ascii="Arial" w:cs="Arial" w:eastAsia="Arial" w:hAnsi="Arial"/>
                <w:sz w:val="20"/>
                <w:szCs w:val="20"/>
                <w:color w:val="auto"/>
                <w:w w:val="89"/>
              </w:rPr>
              <w:t xml:space="preserve">Income before income taxes  </w:t>
            </w:r>
            <w:r>
              <w:rPr>
                <w:rFonts w:ascii="Arial" w:cs="Arial" w:eastAsia="Arial" w:hAnsi="Arial"/>
                <w:sz w:val="20"/>
                <w:szCs w:val="20"/>
                <w:color w:val="B4B4B4"/>
                <w:w w:val="89"/>
              </w:rPr>
              <w:t>. . . . . . . . . . . . . . . . . . . . . . . . . . . . . . . . . . . . . . . . . . . . . . . . . . . . . . . . .</w:t>
            </w:r>
          </w:p>
        </w:tc>
        <w:tc>
          <w:tcPr>
            <w:tcW w:w="2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1,747</w:t>
            </w:r>
          </w:p>
        </w:tc>
      </w:tr>
      <w:tr>
        <w:trPr>
          <w:trHeight w:val="297"/>
        </w:trPr>
        <w:tc>
          <w:tcPr>
            <w:tcW w:w="8020" w:type="dxa"/>
            <w:vAlign w:val="bottom"/>
          </w:tcPr>
          <w:p>
            <w:pPr>
              <w:spacing w:after="0"/>
              <w:rPr>
                <w:sz w:val="20"/>
                <w:szCs w:val="20"/>
                <w:color w:val="auto"/>
              </w:rPr>
            </w:pPr>
            <w:r>
              <w:rPr>
                <w:rFonts w:ascii="Arial" w:cs="Arial" w:eastAsia="Arial" w:hAnsi="Arial"/>
                <w:sz w:val="20"/>
                <w:szCs w:val="20"/>
                <w:color w:val="auto"/>
                <w:w w:val="89"/>
              </w:rPr>
              <w:t xml:space="preserve">Net Income </w:t>
            </w:r>
            <w:r>
              <w:rPr>
                <w:rFonts w:ascii="Arial" w:cs="Arial" w:eastAsia="Arial" w:hAnsi="Arial"/>
                <w:sz w:val="20"/>
                <w:szCs w:val="20"/>
                <w:color w:val="B4B4B4"/>
                <w:w w:val="89"/>
              </w:rPr>
              <w:t>. . . . . . . . . . . . . . . . . . . . . . . . . . . . . . . . . . . . . . . . . . . . . . . . . . . . . . . . . . . . . . . . . . . . . . .</w:t>
            </w:r>
          </w:p>
        </w:tc>
        <w:tc>
          <w:tcPr>
            <w:tcW w:w="2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1,411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-947420</wp:posOffset>
            </wp:positionV>
            <wp:extent cx="6475095" cy="9683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1">
                      <a:extLst>
                        <a:ext uri="{28A0092B-C50C-407E-A947-70E740481C1C}"/>
                      </a:extLst>
                    </a:blip>
                    <a:srcRect/>
                    <a:stretch>
                      <a:fillRect/>
                    </a:stretch>
                  </pic:blipFill>
                  <pic:spPr bwMode="auto">
                    <a:xfrm>
                      <a:off x="0" y="0"/>
                      <a:ext cx="6475095" cy="968375"/>
                    </a:xfrm>
                    <a:prstGeom prst="rect">
                      <a:avLst/>
                    </a:prstGeom>
                    <a:noFill/>
                  </pic:spPr>
                </pic:pic>
              </a:graphicData>
            </a:graphic>
          </wp:anchor>
        </w:drawing>
      </w:r>
    </w:p>
    <w:p>
      <w:pPr>
        <w:spacing w:after="0" w:line="42" w:lineRule="exact"/>
        <w:rPr>
          <w:sz w:val="20"/>
          <w:szCs w:val="20"/>
          <w:color w:val="auto"/>
        </w:rPr>
      </w:pPr>
    </w:p>
    <w:p>
      <w:pPr>
        <w:ind w:left="360" w:hanging="359"/>
        <w:spacing w:after="0"/>
        <w:tabs>
          <w:tab w:leader="none" w:pos="3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Intercompany transactions with Non-Guarantors of $5 million during the year ended December 31, 2024</w:t>
      </w:r>
    </w:p>
    <w:p>
      <w:pPr>
        <w:spacing w:after="0" w:line="23" w:lineRule="exact"/>
        <w:rPr>
          <w:rFonts w:ascii="Arial" w:cs="Arial" w:eastAsia="Arial" w:hAnsi="Arial"/>
          <w:sz w:val="16"/>
          <w:szCs w:val="16"/>
          <w:color w:val="auto"/>
        </w:rPr>
      </w:pPr>
    </w:p>
    <w:p>
      <w:pPr>
        <w:ind w:left="360" w:hanging="359"/>
        <w:spacing w:after="0" w:line="255" w:lineRule="auto"/>
        <w:tabs>
          <w:tab w:leader="none" w:pos="3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Intercompany transactions with Non-Guarantors including cost of operations of $26 million and selling, general and administrative of $349 million during the year ended December 31, 2024</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880" w:h="15480" w:orient="portrait"/>
          <w:cols w:equalWidth="0" w:num="1">
            <w:col w:w="10160"/>
          </w:cols>
          <w:pgMar w:left="860" w:top="505" w:right="860" w:bottom="0" w:gutter="0" w:footer="0" w:header="0"/>
          <w:type w:val="continuous"/>
        </w:sectPr>
      </w:pPr>
    </w:p>
    <w:bookmarkStart w:id="72" w:name="page73"/>
    <w:bookmarkEnd w:id="72"/>
    <w:p>
      <w:pPr>
        <w:ind w:left="440"/>
        <w:spacing w:after="0"/>
        <w:rPr>
          <w:sz w:val="20"/>
          <w:szCs w:val="20"/>
          <w:color w:val="auto"/>
        </w:rPr>
      </w:pPr>
      <w:r>
        <w:rPr>
          <w:rFonts w:ascii="Arial" w:cs="Arial" w:eastAsia="Arial" w:hAnsi="Arial"/>
          <w:sz w:val="20"/>
          <w:szCs w:val="20"/>
          <w:color w:val="auto"/>
        </w:rPr>
        <w:t>The following table presents the summarized balance sheet information:</w:t>
      </w:r>
    </w:p>
    <w:p>
      <w:pPr>
        <w:spacing w:after="0" w:line="10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802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20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8"/>
                <w:szCs w:val="18"/>
                <w:b w:val="1"/>
                <w:bCs w:val="1"/>
                <w:color w:val="auto"/>
                <w:w w:val="92"/>
              </w:rPr>
              <w:t>As of December 31, 2024</w:t>
            </w:r>
          </w:p>
        </w:tc>
      </w:tr>
      <w:tr>
        <w:trPr>
          <w:trHeight w:val="313"/>
        </w:trPr>
        <w:tc>
          <w:tcPr>
            <w:tcW w:w="8020" w:type="dxa"/>
            <w:vAlign w:val="bottom"/>
          </w:tcPr>
          <w:p>
            <w:pPr>
              <w:spacing w:after="0"/>
              <w:rPr>
                <w:sz w:val="20"/>
                <w:szCs w:val="20"/>
                <w:color w:val="auto"/>
              </w:rPr>
            </w:pPr>
            <w:r>
              <w:rPr>
                <w:rFonts w:ascii="Arial" w:cs="Arial" w:eastAsia="Arial" w:hAnsi="Arial"/>
                <w:sz w:val="20"/>
                <w:szCs w:val="20"/>
                <w:color w:val="B4B4B4"/>
                <w:w w:val="90"/>
              </w:rPr>
              <w:t>. . . . . . . . . . . . . . . . . . . . . . . . . . . . . . . . . . . . . . . . . . . . . . . . . . . . . . . . . . . . . . . . . . .</w:t>
            </w:r>
            <w:r>
              <w:rPr>
                <w:rFonts w:ascii="Arial" w:cs="Arial" w:eastAsia="Arial" w:hAnsi="Arial"/>
                <w:sz w:val="20"/>
                <w:szCs w:val="20"/>
                <w:color w:val="000000"/>
                <w:w w:val="90"/>
              </w:rPr>
              <w:t>Currentassets</w:t>
            </w:r>
            <w:r>
              <w:rPr>
                <w:rFonts w:ascii="Arial" w:cs="Arial" w:eastAsia="Arial" w:hAnsi="Arial"/>
                <w:sz w:val="25"/>
                <w:szCs w:val="25"/>
                <w:color w:val="000000"/>
                <w:w w:val="90"/>
                <w:vertAlign w:val="superscript"/>
              </w:rPr>
              <w:t>(a)</w:t>
            </w:r>
          </w:p>
        </w:tc>
        <w:tc>
          <w:tcPr>
            <w:tcW w:w="800" w:type="dxa"/>
            <w:vAlign w:val="bottom"/>
          </w:tcPr>
          <w:p>
            <w:pPr>
              <w:jc w:val="right"/>
              <w:ind w:right="546"/>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6,090</w:t>
            </w:r>
          </w:p>
        </w:tc>
      </w:tr>
      <w:tr>
        <w:trPr>
          <w:trHeight w:val="258"/>
        </w:trPr>
        <w:tc>
          <w:tcPr>
            <w:tcW w:w="8020" w:type="dxa"/>
            <w:vAlign w:val="bottom"/>
          </w:tcPr>
          <w:p>
            <w:pPr>
              <w:spacing w:after="0"/>
              <w:rPr>
                <w:sz w:val="20"/>
                <w:szCs w:val="20"/>
                <w:color w:val="auto"/>
              </w:rPr>
            </w:pPr>
            <w:r>
              <w:rPr>
                <w:rFonts w:ascii="Arial" w:cs="Arial" w:eastAsia="Arial" w:hAnsi="Arial"/>
                <w:sz w:val="20"/>
                <w:szCs w:val="20"/>
                <w:color w:val="auto"/>
                <w:w w:val="89"/>
              </w:rPr>
              <w:t xml:space="preserve">Property, plant and equipment, net  </w:t>
            </w:r>
            <w:r>
              <w:rPr>
                <w:rFonts w:ascii="Arial" w:cs="Arial" w:eastAsia="Arial" w:hAnsi="Arial"/>
                <w:sz w:val="20"/>
                <w:szCs w:val="20"/>
                <w:color w:val="B4B4B4"/>
                <w:w w:val="89"/>
              </w:rPr>
              <w:t>. . . . . . . . . . . . . . . . . . . . . . . . . . . . . . . . . . . . . . . . . . . . . . . . . . . .</w:t>
            </w:r>
          </w:p>
        </w:tc>
        <w:tc>
          <w:tcPr>
            <w:tcW w:w="8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1,318</w:t>
            </w:r>
          </w:p>
        </w:tc>
      </w:tr>
      <w:tr>
        <w:trPr>
          <w:trHeight w:val="297"/>
        </w:trPr>
        <w:tc>
          <w:tcPr>
            <w:tcW w:w="8020" w:type="dxa"/>
            <w:vAlign w:val="bottom"/>
          </w:tcPr>
          <w:p>
            <w:pPr>
              <w:spacing w:after="0"/>
              <w:rPr>
                <w:sz w:val="20"/>
                <w:szCs w:val="20"/>
                <w:color w:val="auto"/>
              </w:rPr>
            </w:pPr>
            <w:r>
              <w:rPr>
                <w:rFonts w:ascii="Arial" w:cs="Arial" w:eastAsia="Arial" w:hAnsi="Arial"/>
                <w:sz w:val="20"/>
                <w:szCs w:val="20"/>
                <w:color w:val="auto"/>
                <w:w w:val="89"/>
              </w:rPr>
              <w:t xml:space="preserve">Non-current assets </w:t>
            </w:r>
            <w:r>
              <w:rPr>
                <w:rFonts w:ascii="Arial" w:cs="Arial" w:eastAsia="Arial" w:hAnsi="Arial"/>
                <w:sz w:val="20"/>
                <w:szCs w:val="20"/>
                <w:color w:val="B4B4B4"/>
                <w:w w:val="89"/>
              </w:rPr>
              <w:t>. . . . . . . . . . . . . . . . . . . . . . . . . . . . . . . . . . . . . . . . . . . . . . . . . . . . . . . . . . . . . . . . .</w:t>
            </w:r>
          </w:p>
        </w:tc>
        <w:tc>
          <w:tcPr>
            <w:tcW w:w="8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15,208</w:t>
            </w:r>
          </w:p>
        </w:tc>
      </w:tr>
      <w:tr>
        <w:trPr>
          <w:trHeight w:val="336"/>
        </w:trPr>
        <w:tc>
          <w:tcPr>
            <w:tcW w:w="8020" w:type="dxa"/>
            <w:vAlign w:val="bottom"/>
          </w:tcPr>
          <w:p>
            <w:pPr>
              <w:spacing w:after="0"/>
              <w:rPr>
                <w:sz w:val="20"/>
                <w:szCs w:val="20"/>
                <w:color w:val="auto"/>
              </w:rPr>
            </w:pPr>
            <w:r>
              <w:rPr>
                <w:rFonts w:ascii="Arial" w:cs="Arial" w:eastAsia="Arial" w:hAnsi="Arial"/>
                <w:sz w:val="20"/>
                <w:szCs w:val="20"/>
                <w:color w:val="auto"/>
                <w:w w:val="89"/>
              </w:rPr>
              <w:t>Current liabilities</w:t>
            </w:r>
            <w:r>
              <w:rPr>
                <w:rFonts w:ascii="Arial" w:cs="Arial" w:eastAsia="Arial" w:hAnsi="Arial"/>
                <w:sz w:val="25"/>
                <w:szCs w:val="25"/>
                <w:color w:val="auto"/>
                <w:w w:val="89"/>
                <w:vertAlign w:val="superscript"/>
              </w:rPr>
              <w:t>(b)</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 . . . . . . . . . . . . . . . . . . . . . . . . . . . . . . . . . . . . . . . . . .</w:t>
            </w:r>
          </w:p>
        </w:tc>
        <w:tc>
          <w:tcPr>
            <w:tcW w:w="8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8,181</w:t>
            </w:r>
          </w:p>
        </w:tc>
      </w:tr>
      <w:tr>
        <w:trPr>
          <w:trHeight w:val="258"/>
        </w:trPr>
        <w:tc>
          <w:tcPr>
            <w:tcW w:w="8020" w:type="dxa"/>
            <w:vAlign w:val="bottom"/>
          </w:tcPr>
          <w:p>
            <w:pPr>
              <w:spacing w:after="0"/>
              <w:rPr>
                <w:sz w:val="20"/>
                <w:szCs w:val="20"/>
                <w:color w:val="auto"/>
              </w:rPr>
            </w:pPr>
            <w:r>
              <w:rPr>
                <w:rFonts w:ascii="Arial" w:cs="Arial" w:eastAsia="Arial" w:hAnsi="Arial"/>
                <w:sz w:val="20"/>
                <w:szCs w:val="20"/>
                <w:color w:val="auto"/>
                <w:w w:val="91"/>
              </w:rPr>
              <w:t xml:space="preserve">Non-current liabilities </w:t>
            </w:r>
            <w:r>
              <w:rPr>
                <w:rFonts w:ascii="Arial" w:cs="Arial" w:eastAsia="Arial" w:hAnsi="Arial"/>
                <w:sz w:val="20"/>
                <w:szCs w:val="20"/>
                <w:color w:val="B4B4B4"/>
                <w:w w:val="91"/>
              </w:rPr>
              <w:t>. . . . . . . . . . . . . . . . . . . . . . . . . . . . . . . . . . . . . . . . . . . . . . . . . . . . . . . . . . . . . .</w:t>
            </w:r>
          </w:p>
        </w:tc>
        <w:tc>
          <w:tcPr>
            <w:tcW w:w="8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12,481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-947420</wp:posOffset>
            </wp:positionV>
            <wp:extent cx="6475095" cy="9683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2">
                      <a:extLst>
                        <a:ext uri="{28A0092B-C50C-407E-A947-70E740481C1C}"/>
                      </a:extLst>
                    </a:blip>
                    <a:srcRect/>
                    <a:stretch>
                      <a:fillRect/>
                    </a:stretch>
                  </pic:blipFill>
                  <pic:spPr bwMode="auto">
                    <a:xfrm>
                      <a:off x="0" y="0"/>
                      <a:ext cx="6475095" cy="968375"/>
                    </a:xfrm>
                    <a:prstGeom prst="rect">
                      <a:avLst/>
                    </a:prstGeom>
                    <a:noFill/>
                  </pic:spPr>
                </pic:pic>
              </a:graphicData>
            </a:graphic>
          </wp:anchor>
        </w:drawing>
      </w:r>
    </w:p>
    <w:p>
      <w:pPr>
        <w:spacing w:after="0" w:line="42" w:lineRule="exact"/>
        <w:rPr>
          <w:sz w:val="20"/>
          <w:szCs w:val="20"/>
          <w:color w:val="auto"/>
        </w:rPr>
      </w:pPr>
    </w:p>
    <w:p>
      <w:pPr>
        <w:ind w:left="360" w:hanging="359"/>
        <w:spacing w:after="0"/>
        <w:tabs>
          <w:tab w:leader="none" w:pos="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intercompany receivables due from Non-Guarantors of $30 million as of December 31, 2024</w:t>
      </w:r>
    </w:p>
    <w:p>
      <w:pPr>
        <w:spacing w:after="0" w:line="23" w:lineRule="exact"/>
        <w:rPr>
          <w:rFonts w:ascii="Arial" w:cs="Arial" w:eastAsia="Arial" w:hAnsi="Arial"/>
          <w:sz w:val="16"/>
          <w:szCs w:val="16"/>
          <w:color w:val="auto"/>
        </w:rPr>
      </w:pPr>
    </w:p>
    <w:p>
      <w:pPr>
        <w:ind w:left="360" w:hanging="359"/>
        <w:spacing w:after="0"/>
        <w:tabs>
          <w:tab w:leader="none" w:pos="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intercompany payables due to Non-Guarantors that were de minimis as of December 31, 2024</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Derivative Instruments</w:t>
      </w:r>
    </w:p>
    <w:p>
      <w:pPr>
        <w:spacing w:after="0" w:line="13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NRG may enter into energy purchase and sales contracts, fuel purchase contracts and other energy-related financial instruments to mitigate variability in earnings due to fluctuations in spot market prices and to hedge fuel requirements at power plants or retail load obligations. In order to mitigate interest risk associated with the issuance of the Company's variable rate debt, NRG enters into interest rate swap agreements. In addition, in order to mitigate foreign exchange rate risk primarily associated with the purchase of USD denominated natural gas for the Company's Canadian business, NRG enters into foreign exchange contract agreements.</w:t>
      </w:r>
    </w:p>
    <w:p>
      <w:pPr>
        <w:spacing w:after="0" w:line="90"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Under Flex Pay, offered by Vivint Smart Home, customers pay for smart home products by obtaining financing from a third-party financing provider under the Consumer Financing Program. Vivint Smart Home pays certain fees to the financing providers and shares in credit losses depending on the credit quality of the customer.</w:t>
      </w:r>
    </w:p>
    <w:p>
      <w:pPr>
        <w:spacing w:after="0" w:line="78"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NRG's trading activities are subject to limits in accordance with the Company's Risk Management Policy. These contracts are recognized on the balance sheet at fair value and changes in the fair value of these derivative financial instruments are recognized in earnings.</w:t>
      </w:r>
    </w:p>
    <w:p>
      <w:pPr>
        <w:spacing w:after="0" w:line="78"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 xml:space="preserve">The tables below disclose the activities that include both exchange and non-exchange traded contracts accounted for at fair value in accordance with ASC 820, </w:t>
      </w:r>
      <w:r>
        <w:rPr>
          <w:rFonts w:ascii="Arial" w:cs="Arial" w:eastAsia="Arial" w:hAnsi="Arial"/>
          <w:sz w:val="18"/>
          <w:szCs w:val="18"/>
          <w:b w:val="1"/>
          <w:bCs w:val="1"/>
          <w:i w:val="1"/>
          <w:iCs w:val="1"/>
          <w:color w:val="auto"/>
        </w:rPr>
        <w:t>Fair Value Measurements and Disclosures</w:t>
      </w:r>
      <w:r>
        <w:rPr>
          <w:rFonts w:ascii="Arial" w:cs="Arial" w:eastAsia="Arial" w:hAnsi="Arial"/>
          <w:sz w:val="18"/>
          <w:szCs w:val="18"/>
          <w:color w:val="auto"/>
        </w:rPr>
        <w:t xml:space="preserve"> ("ASC 820"). Specifically, these tables disaggregate realized and unrealized changes in fair value; disaggregate estimated fair values at December 31, 2024, based on their level within the fair value hierarchy defined in ASC 820; and indicate the maturities of contracts at December 31, 2024. For a full discussion of the Company's valuation methodology of its contracts, see </w:t>
      </w:r>
      <w:r>
        <w:rPr>
          <w:rFonts w:ascii="Arial" w:cs="Arial" w:eastAsia="Arial" w:hAnsi="Arial"/>
          <w:sz w:val="18"/>
          <w:szCs w:val="18"/>
          <w:b w:val="1"/>
          <w:bCs w:val="1"/>
          <w:i w:val="1"/>
          <w:iCs w:val="1"/>
          <w:color w:val="auto"/>
        </w:rPr>
        <w:t>Derivative Fair Value Measurements</w:t>
      </w:r>
      <w:r>
        <w:rPr>
          <w:rFonts w:ascii="Arial" w:cs="Arial" w:eastAsia="Arial" w:hAnsi="Arial"/>
          <w:sz w:val="18"/>
          <w:szCs w:val="18"/>
          <w:color w:val="auto"/>
        </w:rPr>
        <w:t xml:space="preserve"> in Item 15 — Note 5, </w:t>
      </w:r>
      <w:r>
        <w:rPr>
          <w:rFonts w:ascii="Arial" w:cs="Arial" w:eastAsia="Arial" w:hAnsi="Arial"/>
          <w:sz w:val="18"/>
          <w:szCs w:val="18"/>
          <w:b w:val="1"/>
          <w:bCs w:val="1"/>
          <w:i w:val="1"/>
          <w:iCs w:val="1"/>
          <w:color w:val="auto"/>
        </w:rPr>
        <w:t>Fair Value of Financial Instruments</w:t>
      </w:r>
      <w:r>
        <w:rPr>
          <w:rFonts w:ascii="Arial" w:cs="Arial" w:eastAsia="Arial" w:hAnsi="Arial"/>
          <w:sz w:val="18"/>
          <w:szCs w:val="18"/>
          <w:color w:val="auto"/>
        </w:rPr>
        <w:t>, to the Consolidated Financial Statements.</w:t>
      </w:r>
    </w:p>
    <w:p>
      <w:pPr>
        <w:spacing w:after="0" w:line="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920" w:type="dxa"/>
            <w:vAlign w:val="bottom"/>
            <w:gridSpan w:val="2"/>
          </w:tcPr>
          <w:p>
            <w:pPr>
              <w:jc w:val="right"/>
              <w:ind w:right="7000"/>
              <w:spacing w:after="0"/>
              <w:rPr>
                <w:sz w:val="20"/>
                <w:szCs w:val="20"/>
                <w:color w:val="auto"/>
              </w:rPr>
            </w:pPr>
            <w:r>
              <w:rPr>
                <w:rFonts w:ascii="Arial" w:cs="Arial" w:eastAsia="Arial" w:hAnsi="Arial"/>
                <w:sz w:val="18"/>
                <w:szCs w:val="18"/>
                <w:b w:val="1"/>
                <w:bCs w:val="1"/>
                <w:color w:val="auto"/>
                <w:w w:val="89"/>
              </w:rPr>
              <w:t>Derivative Activity Gains</w:t>
            </w:r>
          </w:p>
        </w:tc>
        <w:tc>
          <w:tcPr>
            <w:tcW w:w="160" w:type="dxa"/>
            <w:vAlign w:val="bottom"/>
          </w:tcPr>
          <w:p>
            <w:pPr>
              <w:spacing w:after="0"/>
              <w:rPr>
                <w:sz w:val="18"/>
                <w:szCs w:val="18"/>
                <w:color w:val="auto"/>
              </w:rPr>
            </w:pPr>
          </w:p>
        </w:tc>
        <w:tc>
          <w:tcPr>
            <w:tcW w:w="980" w:type="dxa"/>
            <w:vAlign w:val="bottom"/>
          </w:tcPr>
          <w:p>
            <w:pPr>
              <w:jc w:val="right"/>
              <w:ind w:right="45"/>
              <w:spacing w:after="0"/>
              <w:rPr>
                <w:sz w:val="20"/>
                <w:szCs w:val="20"/>
                <w:color w:val="auto"/>
              </w:rPr>
            </w:pPr>
            <w:r>
              <w:rPr>
                <w:rFonts w:ascii="Arial" w:cs="Arial" w:eastAsia="Arial" w:hAnsi="Arial"/>
                <w:sz w:val="16"/>
                <w:szCs w:val="16"/>
                <w:b w:val="1"/>
                <w:bCs w:val="1"/>
                <w:color w:val="auto"/>
                <w:w w:val="91"/>
              </w:rPr>
              <w:t>(In millions)</w:t>
            </w:r>
          </w:p>
        </w:tc>
      </w:tr>
      <w:tr>
        <w:trPr>
          <w:trHeight w:val="23"/>
        </w:trPr>
        <w:tc>
          <w:tcPr>
            <w:tcW w:w="1920" w:type="dxa"/>
            <w:vAlign w:val="bottom"/>
            <w:tcBorders>
              <w:top w:val="single" w:sz="8" w:color="auto"/>
            </w:tcBorders>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5"/>
        </w:trPr>
        <w:tc>
          <w:tcPr>
            <w:tcW w:w="8920" w:type="dxa"/>
            <w:vAlign w:val="bottom"/>
            <w:gridSpan w:val="2"/>
          </w:tcPr>
          <w:p>
            <w:pPr>
              <w:jc w:val="right"/>
              <w:ind w:right="40"/>
              <w:spacing w:after="0"/>
              <w:rPr>
                <w:sz w:val="20"/>
                <w:szCs w:val="20"/>
                <w:color w:val="auto"/>
              </w:rPr>
            </w:pPr>
            <w:r>
              <w:rPr>
                <w:rFonts w:ascii="Arial" w:cs="Arial" w:eastAsia="Arial" w:hAnsi="Arial"/>
                <w:sz w:val="20"/>
                <w:szCs w:val="20"/>
                <w:color w:val="auto"/>
                <w:w w:val="89"/>
              </w:rPr>
              <w:t xml:space="preserve">Fair value of contracts as of December 31, 2023 </w:t>
            </w:r>
            <w:r>
              <w:rPr>
                <w:rFonts w:ascii="Arial" w:cs="Arial" w:eastAsia="Arial" w:hAnsi="Arial"/>
                <w:sz w:val="20"/>
                <w:szCs w:val="20"/>
                <w:color w:val="B4B4B4"/>
                <w:w w:val="89"/>
              </w:rPr>
              <w:t>. . . . . . . . . . . . . . . . . . . . . . . . . . . . . .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648</w:t>
            </w:r>
          </w:p>
        </w:tc>
      </w:tr>
      <w:tr>
        <w:trPr>
          <w:trHeight w:val="297"/>
        </w:trPr>
        <w:tc>
          <w:tcPr>
            <w:tcW w:w="8920" w:type="dxa"/>
            <w:vAlign w:val="bottom"/>
            <w:gridSpan w:val="2"/>
          </w:tcPr>
          <w:p>
            <w:pPr>
              <w:jc w:val="right"/>
              <w:ind w:right="60"/>
              <w:spacing w:after="0"/>
              <w:rPr>
                <w:sz w:val="20"/>
                <w:szCs w:val="20"/>
                <w:color w:val="auto"/>
              </w:rPr>
            </w:pPr>
            <w:r>
              <w:rPr>
                <w:rFonts w:ascii="Arial" w:cs="Arial" w:eastAsia="Arial" w:hAnsi="Arial"/>
                <w:sz w:val="20"/>
                <w:szCs w:val="20"/>
                <w:color w:val="auto"/>
                <w:w w:val="90"/>
              </w:rPr>
              <w:t xml:space="preserve">Contracts realized or otherwise settled during the period </w:t>
            </w:r>
            <w:r>
              <w:rPr>
                <w:rFonts w:ascii="Arial" w:cs="Arial" w:eastAsia="Arial" w:hAnsi="Arial"/>
                <w:sz w:val="20"/>
                <w:szCs w:val="20"/>
                <w:color w:val="B4B4B4"/>
                <w:w w:val="90"/>
              </w:rPr>
              <w:t>. . . . . . . . . . . . . . . . . . . . . . . . . . . . . . . . . . . . . . . . . . .</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165</w:t>
            </w:r>
          </w:p>
        </w:tc>
      </w:tr>
      <w:tr>
        <w:trPr>
          <w:trHeight w:val="299"/>
        </w:trPr>
        <w:tc>
          <w:tcPr>
            <w:tcW w:w="8920" w:type="dxa"/>
            <w:vAlign w:val="bottom"/>
            <w:gridSpan w:val="2"/>
          </w:tcPr>
          <w:p>
            <w:pPr>
              <w:jc w:val="right"/>
              <w:ind w:right="60"/>
              <w:spacing w:after="0"/>
              <w:rPr>
                <w:sz w:val="20"/>
                <w:szCs w:val="20"/>
                <w:color w:val="auto"/>
              </w:rPr>
            </w:pPr>
            <w:r>
              <w:rPr>
                <w:rFonts w:ascii="Arial" w:cs="Arial" w:eastAsia="Arial" w:hAnsi="Arial"/>
                <w:sz w:val="20"/>
                <w:szCs w:val="20"/>
                <w:color w:val="auto"/>
                <w:w w:val="90"/>
              </w:rPr>
              <w:t xml:space="preserve">Other changes in fair value </w:t>
            </w:r>
            <w:r>
              <w:rPr>
                <w:rFonts w:ascii="Arial" w:cs="Arial" w:eastAsia="Arial" w:hAnsi="Arial"/>
                <w:sz w:val="20"/>
                <w:szCs w:val="20"/>
                <w:color w:val="B4B4B4"/>
                <w:w w:val="90"/>
              </w:rPr>
              <w:t>. . . . . . . . . . . . . . . . . . . . . . . . . . . . . . . . . . . . . . . . . . . . . . . . . . . . . . . . . . . . . . . . . .</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w:t>
            </w:r>
          </w:p>
        </w:tc>
      </w:tr>
      <w:tr>
        <w:trPr>
          <w:trHeight w:val="257"/>
        </w:trPr>
        <w:tc>
          <w:tcPr>
            <w:tcW w:w="8920" w:type="dxa"/>
            <w:vAlign w:val="bottom"/>
            <w:gridSpan w:val="2"/>
          </w:tcPr>
          <w:p>
            <w:pPr>
              <w:jc w:val="right"/>
              <w:ind w:right="60"/>
              <w:spacing w:after="0" w:line="257" w:lineRule="exact"/>
              <w:rPr>
                <w:sz w:val="20"/>
                <w:szCs w:val="20"/>
                <w:color w:val="auto"/>
              </w:rPr>
            </w:pPr>
            <w:r>
              <w:rPr>
                <w:rFonts w:ascii="Arial" w:cs="Arial" w:eastAsia="Arial" w:hAnsi="Arial"/>
                <w:sz w:val="20"/>
                <w:szCs w:val="20"/>
                <w:color w:val="B4B4B4"/>
                <w:w w:val="93"/>
              </w:rPr>
              <w:t>. . . . . . . . . . . . . . . . . . . . . . . . . . . . . . . . . . . . . . . . . . . . . . . . .</w:t>
            </w:r>
            <w:r>
              <w:rPr>
                <w:rFonts w:ascii="Arial" w:cs="Arial" w:eastAsia="Arial" w:hAnsi="Arial"/>
                <w:sz w:val="20"/>
                <w:szCs w:val="20"/>
                <w:color w:val="000000"/>
                <w:w w:val="93"/>
              </w:rPr>
              <w:t>FairvalueofcontractsasofDecember31,2024</w:t>
            </w:r>
            <w:r>
              <w:rPr>
                <w:rFonts w:ascii="Arial" w:cs="Arial" w:eastAsia="Arial" w:hAnsi="Arial"/>
                <w:sz w:val="25"/>
                <w:szCs w:val="25"/>
                <w:color w:val="000000"/>
                <w:w w:val="93"/>
                <w:vertAlign w:val="superscript"/>
              </w:rPr>
              <w:t>(a)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992</w:t>
            </w:r>
          </w:p>
        </w:tc>
      </w:tr>
      <w:tr>
        <w:trPr>
          <w:trHeight w:val="20"/>
        </w:trPr>
        <w:tc>
          <w:tcPr>
            <w:tcW w:w="19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-785495</wp:posOffset>
            </wp:positionV>
            <wp:extent cx="6456680" cy="792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3">
                      <a:extLst>
                        <a:ext uri="{28A0092B-C50C-407E-A947-70E740481C1C}"/>
                      </a:extLst>
                    </a:blip>
                    <a:srcRect/>
                    <a:stretch>
                      <a:fillRect/>
                    </a:stretch>
                  </pic:blipFill>
                  <pic:spPr bwMode="auto">
                    <a:xfrm>
                      <a:off x="0" y="0"/>
                      <a:ext cx="6456680" cy="792480"/>
                    </a:xfrm>
                    <a:prstGeom prst="rect">
                      <a:avLst/>
                    </a:prstGeom>
                    <a:noFill/>
                  </pic:spPr>
                </pic:pic>
              </a:graphicData>
            </a:graphic>
          </wp:anchor>
        </w:drawing>
      </w:r>
    </w:p>
    <w:p>
      <w:pPr>
        <w:ind w:left="360" w:hanging="359"/>
        <w:spacing w:after="0" w:line="278" w:lineRule="auto"/>
        <w:tabs>
          <w:tab w:leader="none" w:pos="3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Includes $770 million of derivative contracts that were elected as NPNS on October 1, 2024 and are no longer valued at fair value on a recurring basis. For further discussion, see Item 15 — Note 6, </w:t>
      </w:r>
      <w:r>
        <w:rPr>
          <w:rFonts w:ascii="Arial" w:cs="Arial" w:eastAsia="Arial" w:hAnsi="Arial"/>
          <w:sz w:val="16"/>
          <w:szCs w:val="16"/>
          <w:b w:val="1"/>
          <w:bCs w:val="1"/>
          <w:i w:val="1"/>
          <w:iCs w:val="1"/>
          <w:color w:val="auto"/>
        </w:rPr>
        <w:t>Accounting for Derivative Instruments and Hedging Activities</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7"/>
          </w:tcPr>
          <w:p>
            <w:pPr>
              <w:jc w:val="right"/>
              <w:ind w:right="125"/>
              <w:spacing w:after="0"/>
              <w:rPr>
                <w:sz w:val="20"/>
                <w:szCs w:val="20"/>
                <w:color w:val="auto"/>
              </w:rPr>
            </w:pPr>
            <w:r>
              <w:rPr>
                <w:rFonts w:ascii="Arial" w:cs="Arial" w:eastAsia="Arial" w:hAnsi="Arial"/>
                <w:sz w:val="16"/>
                <w:szCs w:val="16"/>
                <w:b w:val="1"/>
                <w:bCs w:val="1"/>
                <w:color w:val="auto"/>
                <w:w w:val="89"/>
              </w:rPr>
              <w:t>Fair Value of Contracts as of December 31, 2024</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6"/>
                <w:szCs w:val="16"/>
                <w:b w:val="1"/>
                <w:bCs w:val="1"/>
                <w:color w:val="auto"/>
              </w:rPr>
              <w:t>Maturity</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7"/>
              </w:rPr>
              <w:t>Greater Than 1</w:t>
            </w:r>
          </w:p>
        </w:tc>
        <w:tc>
          <w:tcPr>
            <w:tcW w:w="6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w w:val="97"/>
              </w:rPr>
              <w:t>Greater Than 3</w:t>
            </w:r>
          </w:p>
        </w:tc>
        <w:tc>
          <w:tcPr>
            <w:tcW w:w="80" w:type="dxa"/>
            <w:vAlign w:val="bottom"/>
          </w:tcPr>
          <w:p>
            <w:pPr>
              <w:spacing w:after="0"/>
              <w:rPr>
                <w:sz w:val="17"/>
                <w:szCs w:val="17"/>
                <w:color w:val="auto"/>
              </w:rPr>
            </w:pPr>
          </w:p>
        </w:tc>
        <w:tc>
          <w:tcPr>
            <w:tcW w:w="1160" w:type="dxa"/>
            <w:vAlign w:val="bottom"/>
            <w:gridSpan w:val="2"/>
            <w:vMerge w:val="restart"/>
          </w:tcPr>
          <w:p>
            <w:pPr>
              <w:jc w:val="right"/>
              <w:ind w:right="25"/>
              <w:spacing w:after="0"/>
              <w:rPr>
                <w:sz w:val="20"/>
                <w:szCs w:val="20"/>
                <w:color w:val="auto"/>
              </w:rPr>
            </w:pPr>
            <w:r>
              <w:rPr>
                <w:rFonts w:ascii="Arial" w:cs="Arial" w:eastAsia="Arial" w:hAnsi="Arial"/>
                <w:sz w:val="16"/>
                <w:szCs w:val="16"/>
                <w:b w:val="1"/>
                <w:bCs w:val="1"/>
                <w:color w:val="auto"/>
              </w:rPr>
              <w:t>Greater Than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6"/>
                <w:szCs w:val="16"/>
                <w:b w:val="1"/>
                <w:bCs w:val="1"/>
                <w:color w:val="auto"/>
                <w:w w:val="99"/>
              </w:rPr>
              <w:t>Total Fair</w:t>
            </w:r>
          </w:p>
        </w:tc>
        <w:tc>
          <w:tcPr>
            <w:tcW w:w="0" w:type="dxa"/>
            <w:vAlign w:val="bottom"/>
          </w:tcPr>
          <w:p>
            <w:pPr>
              <w:spacing w:after="0"/>
              <w:rPr>
                <w:sz w:val="1"/>
                <w:szCs w:val="1"/>
                <w:color w:val="auto"/>
              </w:rPr>
            </w:pPr>
          </w:p>
        </w:tc>
      </w:tr>
      <w:tr>
        <w:trPr>
          <w:trHeight w:val="158"/>
        </w:trPr>
        <w:tc>
          <w:tcPr>
            <w:tcW w:w="3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Fair Value Hierarchy Gains/(Losses)</w:t>
            </w:r>
            <w:r>
              <w:rPr>
                <w:rFonts w:ascii="Arial" w:cs="Arial" w:eastAsia="Arial" w:hAnsi="Arial"/>
                <w:sz w:val="23"/>
                <w:szCs w:val="23"/>
                <w:b w:val="1"/>
                <w:bCs w:val="1"/>
                <w:color w:val="auto"/>
                <w:vertAlign w:val="superscript"/>
              </w:rPr>
              <w:t>(a)</w:t>
            </w:r>
          </w:p>
        </w:tc>
        <w:tc>
          <w:tcPr>
            <w:tcW w:w="1180" w:type="dxa"/>
            <w:vAlign w:val="bottom"/>
            <w:gridSpan w:val="2"/>
            <w:vMerge w:val="restart"/>
          </w:tcPr>
          <w:p>
            <w:pPr>
              <w:jc w:val="right"/>
              <w:ind w:right="1"/>
              <w:spacing w:after="0"/>
              <w:rPr>
                <w:sz w:val="20"/>
                <w:szCs w:val="20"/>
                <w:color w:val="auto"/>
              </w:rPr>
            </w:pPr>
            <w:r>
              <w:rPr>
                <w:rFonts w:ascii="Arial" w:cs="Arial" w:eastAsia="Arial" w:hAnsi="Arial"/>
                <w:sz w:val="16"/>
                <w:szCs w:val="16"/>
                <w:b w:val="1"/>
                <w:bCs w:val="1"/>
                <w:color w:val="auto"/>
                <w:w w:val="96"/>
              </w:rPr>
              <w:t>1 Year or Less</w:t>
            </w:r>
          </w:p>
        </w:tc>
        <w:tc>
          <w:tcPr>
            <w:tcW w:w="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148"/>
              <w:spacing w:after="0" w:line="158" w:lineRule="exact"/>
              <w:rPr>
                <w:sz w:val="20"/>
                <w:szCs w:val="20"/>
                <w:color w:val="auto"/>
              </w:rPr>
            </w:pPr>
            <w:r>
              <w:rPr>
                <w:rFonts w:ascii="Arial" w:cs="Arial" w:eastAsia="Arial" w:hAnsi="Arial"/>
                <w:sz w:val="16"/>
                <w:szCs w:val="16"/>
                <w:b w:val="1"/>
                <w:bCs w:val="1"/>
                <w:color w:val="auto"/>
                <w:w w:val="94"/>
              </w:rPr>
              <w:t>Years to 5</w:t>
            </w:r>
          </w:p>
        </w:tc>
        <w:tc>
          <w:tcPr>
            <w:tcW w:w="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9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w w:val="95"/>
              </w:rPr>
              <w:t>Year to 3 Years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88"/>
              <w:spacing w:after="0" w:line="169" w:lineRule="exact"/>
              <w:rPr>
                <w:sz w:val="20"/>
                <w:szCs w:val="20"/>
                <w:color w:val="auto"/>
              </w:rPr>
            </w:pPr>
            <w:r>
              <w:rPr>
                <w:rFonts w:ascii="Arial" w:cs="Arial" w:eastAsia="Arial" w:hAnsi="Arial"/>
                <w:sz w:val="16"/>
                <w:szCs w:val="16"/>
                <w:b w:val="1"/>
                <w:bCs w:val="1"/>
                <w:color w:val="auto"/>
              </w:rPr>
              <w:t>Years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25"/>
              <w:spacing w:after="0" w:line="169" w:lineRule="exact"/>
              <w:rPr>
                <w:sz w:val="20"/>
                <w:szCs w:val="20"/>
                <w:color w:val="auto"/>
              </w:rPr>
            </w:pPr>
            <w:r>
              <w:rPr>
                <w:rFonts w:ascii="Arial" w:cs="Arial" w:eastAsia="Arial" w:hAnsi="Arial"/>
                <w:sz w:val="16"/>
                <w:szCs w:val="16"/>
                <w:b w:val="1"/>
                <w:bCs w:val="1"/>
                <w:color w:val="auto"/>
              </w:rPr>
              <w:t>5 Years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68"/>
              <w:spacing w:after="0" w:line="169" w:lineRule="exact"/>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3"/>
        </w:trPr>
        <w:tc>
          <w:tcPr>
            <w:tcW w:w="2780" w:type="dxa"/>
            <w:vAlign w:val="bottom"/>
            <w:tcBorders>
              <w:top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940" w:type="dxa"/>
            <w:vAlign w:val="bottom"/>
            <w:gridSpan w:val="2"/>
          </w:tcPr>
          <w:p>
            <w:pPr>
              <w:spacing w:after="0"/>
              <w:rPr>
                <w:sz w:val="20"/>
                <w:szCs w:val="20"/>
                <w:color w:val="auto"/>
              </w:rPr>
            </w:pPr>
            <w:r>
              <w:rPr>
                <w:rFonts w:ascii="Arial" w:cs="Arial" w:eastAsia="Arial" w:hAnsi="Arial"/>
                <w:sz w:val="20"/>
                <w:szCs w:val="20"/>
                <w:color w:val="auto"/>
                <w:w w:val="90"/>
              </w:rPr>
              <w:t xml:space="preserve">Level 1 </w:t>
            </w:r>
            <w:r>
              <w:rPr>
                <w:rFonts w:ascii="Arial" w:cs="Arial" w:eastAsia="Arial" w:hAnsi="Arial"/>
                <w:sz w:val="20"/>
                <w:szCs w:val="20"/>
                <w:color w:val="B4B4B4"/>
                <w:w w:val="90"/>
              </w:rPr>
              <w:t>. . . . . . . . . . . . . . . . . . . . . . . . . . . . . . . . .</w:t>
            </w:r>
          </w:p>
        </w:tc>
        <w:tc>
          <w:tcPr>
            <w:tcW w:w="440" w:type="dxa"/>
            <w:vAlign w:val="bottom"/>
          </w:tcPr>
          <w:p>
            <w:pPr>
              <w:jc w:val="right"/>
              <w:ind w:right="208"/>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92</w:t>
            </w:r>
          </w:p>
        </w:tc>
        <w:tc>
          <w:tcPr>
            <w:tcW w:w="240" w:type="dxa"/>
            <w:vAlign w:val="bottom"/>
            <w:gridSpan w:val="2"/>
          </w:tcPr>
          <w:p>
            <w:pPr>
              <w:ind w:left="140"/>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7</w:t>
            </w:r>
          </w:p>
        </w:tc>
        <w:tc>
          <w:tcPr>
            <w:tcW w:w="26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w:t>
            </w:r>
          </w:p>
        </w:tc>
        <w:tc>
          <w:tcPr>
            <w:tcW w:w="3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r>
        <w:trPr>
          <w:trHeight w:val="297"/>
        </w:trPr>
        <w:tc>
          <w:tcPr>
            <w:tcW w:w="4380" w:type="dxa"/>
            <w:vAlign w:val="bottom"/>
            <w:gridSpan w:val="3"/>
          </w:tcPr>
          <w:p>
            <w:pPr>
              <w:spacing w:after="0"/>
              <w:rPr>
                <w:sz w:val="20"/>
                <w:szCs w:val="20"/>
                <w:color w:val="auto"/>
              </w:rPr>
            </w:pPr>
            <w:r>
              <w:rPr>
                <w:rFonts w:ascii="Arial" w:cs="Arial" w:eastAsia="Arial" w:hAnsi="Arial"/>
                <w:sz w:val="20"/>
                <w:szCs w:val="20"/>
                <w:color w:val="auto"/>
              </w:rPr>
              <w:t xml:space="preserve">Level 2 </w:t>
            </w:r>
            <w:r>
              <w:rPr>
                <w:rFonts w:ascii="Arial" w:cs="Arial" w:eastAsia="Arial" w:hAnsi="Arial"/>
                <w:sz w:val="20"/>
                <w:szCs w:val="20"/>
                <w:color w:val="B4B4B4"/>
              </w:rPr>
              <w:t>. . . . . . . . . . . . . . . . . . . . . . . . . . . . . . . . .</w:t>
            </w:r>
          </w:p>
        </w:tc>
        <w:tc>
          <w:tcPr>
            <w:tcW w:w="740" w:type="dxa"/>
            <w:vAlign w:val="bottom"/>
          </w:tcPr>
          <w:p>
            <w:pPr>
              <w:jc w:val="right"/>
              <w:spacing w:after="0"/>
              <w:rPr>
                <w:sz w:val="20"/>
                <w:szCs w:val="20"/>
                <w:color w:val="auto"/>
              </w:rPr>
            </w:pPr>
            <w:r>
              <w:rPr>
                <w:rFonts w:ascii="Arial" w:cs="Arial" w:eastAsia="Arial" w:hAnsi="Arial"/>
                <w:sz w:val="20"/>
                <w:szCs w:val="20"/>
                <w:color w:val="auto"/>
              </w:rPr>
              <w:t>118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290</w:t>
            </w:r>
          </w:p>
        </w:tc>
        <w:tc>
          <w:tcPr>
            <w:tcW w:w="0" w:type="dxa"/>
            <w:vAlign w:val="bottom"/>
          </w:tcPr>
          <w:p>
            <w:pPr>
              <w:spacing w:after="0"/>
              <w:rPr>
                <w:sz w:val="1"/>
                <w:szCs w:val="1"/>
                <w:color w:val="auto"/>
              </w:rPr>
            </w:pPr>
          </w:p>
        </w:tc>
      </w:tr>
      <w:tr>
        <w:trPr>
          <w:trHeight w:val="299"/>
        </w:trPr>
        <w:tc>
          <w:tcPr>
            <w:tcW w:w="3940" w:type="dxa"/>
            <w:vAlign w:val="bottom"/>
            <w:gridSpan w:val="2"/>
          </w:tcPr>
          <w:p>
            <w:pPr>
              <w:spacing w:after="0"/>
              <w:rPr>
                <w:sz w:val="20"/>
                <w:szCs w:val="20"/>
                <w:color w:val="auto"/>
              </w:rPr>
            </w:pPr>
            <w:r>
              <w:rPr>
                <w:rFonts w:ascii="Arial" w:cs="Arial" w:eastAsia="Arial" w:hAnsi="Arial"/>
                <w:sz w:val="20"/>
                <w:szCs w:val="20"/>
                <w:color w:val="auto"/>
                <w:w w:val="90"/>
              </w:rPr>
              <w:t xml:space="preserve">Level 3 </w:t>
            </w:r>
            <w:r>
              <w:rPr>
                <w:rFonts w:ascii="Arial" w:cs="Arial" w:eastAsia="Arial" w:hAnsi="Arial"/>
                <w:sz w:val="20"/>
                <w:szCs w:val="20"/>
                <w:color w:val="B4B4B4"/>
                <w:w w:val="90"/>
              </w:rPr>
              <w:t>. . . . . . . . . . . . . . . . . . . . . . . . . . . . . . . . .</w:t>
            </w: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w:t>
            </w:r>
          </w:p>
        </w:tc>
        <w:tc>
          <w:tcPr>
            <w:tcW w:w="0" w:type="dxa"/>
            <w:vAlign w:val="bottom"/>
          </w:tcPr>
          <w:p>
            <w:pPr>
              <w:spacing w:after="0"/>
              <w:rPr>
                <w:sz w:val="1"/>
                <w:szCs w:val="1"/>
                <w:color w:val="auto"/>
              </w:rPr>
            </w:pPr>
          </w:p>
        </w:tc>
      </w:tr>
      <w:tr>
        <w:trPr>
          <w:trHeight w:val="257"/>
        </w:trPr>
        <w:tc>
          <w:tcPr>
            <w:tcW w:w="3940" w:type="dxa"/>
            <w:vAlign w:val="bottom"/>
            <w:gridSpan w:val="2"/>
          </w:tcPr>
          <w:p>
            <w:pPr>
              <w:ind w:left="120"/>
              <w:spacing w:after="0"/>
              <w:rPr>
                <w:sz w:val="20"/>
                <w:szCs w:val="20"/>
                <w:color w:val="auto"/>
              </w:rPr>
            </w:pPr>
            <w:r>
              <w:rPr>
                <w:rFonts w:ascii="Arial" w:cs="Arial" w:eastAsia="Arial" w:hAnsi="Arial"/>
                <w:sz w:val="20"/>
                <w:szCs w:val="20"/>
                <w:color w:val="auto"/>
                <w:w w:val="91"/>
              </w:rPr>
              <w:t xml:space="preserve">Total  </w:t>
            </w:r>
            <w:r>
              <w:rPr>
                <w:rFonts w:ascii="Arial" w:cs="Arial" w:eastAsia="Arial" w:hAnsi="Arial"/>
                <w:sz w:val="20"/>
                <w:szCs w:val="20"/>
                <w:color w:val="B4B4B4"/>
                <w:w w:val="91"/>
              </w:rPr>
              <w:t>. . . . . . . . . . . . . . . . . . . . . . . . . . . . . . . . .</w:t>
            </w:r>
          </w:p>
        </w:tc>
        <w:tc>
          <w:tcPr>
            <w:tcW w:w="440" w:type="dxa"/>
            <w:vAlign w:val="bottom"/>
          </w:tcPr>
          <w:p>
            <w:pPr>
              <w:jc w:val="right"/>
              <w:ind w:right="208"/>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103</w:t>
            </w:r>
          </w:p>
        </w:tc>
        <w:tc>
          <w:tcPr>
            <w:tcW w:w="240" w:type="dxa"/>
            <w:vAlign w:val="bottom"/>
            <w:gridSpan w:val="2"/>
          </w:tcPr>
          <w:p>
            <w:pPr>
              <w:ind w:left="140"/>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100</w:t>
            </w:r>
          </w:p>
        </w:tc>
        <w:tc>
          <w:tcPr>
            <w:tcW w:w="26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12</w:t>
            </w:r>
          </w:p>
        </w:tc>
        <w:tc>
          <w:tcPr>
            <w:tcW w:w="3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7</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222</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-785495</wp:posOffset>
            </wp:positionV>
            <wp:extent cx="6456680" cy="792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4">
                      <a:extLst>
                        <a:ext uri="{28A0092B-C50C-407E-A947-70E740481C1C}"/>
                      </a:extLst>
                    </a:blip>
                    <a:srcRect/>
                    <a:stretch>
                      <a:fillRect/>
                    </a:stretch>
                  </pic:blipFill>
                  <pic:spPr bwMode="auto">
                    <a:xfrm>
                      <a:off x="0" y="0"/>
                      <a:ext cx="6456680" cy="792480"/>
                    </a:xfrm>
                    <a:prstGeom prst="rect">
                      <a:avLst/>
                    </a:prstGeom>
                    <a:noFill/>
                  </pic:spPr>
                </pic:pic>
              </a:graphicData>
            </a:graphic>
          </wp:anchor>
        </w:drawing>
      </w:r>
    </w:p>
    <w:p>
      <w:pPr>
        <w:ind w:left="360" w:hanging="359"/>
        <w:spacing w:after="0" w:line="278" w:lineRule="auto"/>
        <w:tabs>
          <w:tab w:leader="none" w:pos="3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Excludes $770 million of derivative contracts that were elected as NPNS on October 1, 2024 and are no longer valued at fair value on a recurring basis. For further discussion, see Item 15 — Note 6, </w:t>
      </w:r>
      <w:r>
        <w:rPr>
          <w:rFonts w:ascii="Arial" w:cs="Arial" w:eastAsia="Arial" w:hAnsi="Arial"/>
          <w:sz w:val="16"/>
          <w:szCs w:val="16"/>
          <w:b w:val="1"/>
          <w:bCs w:val="1"/>
          <w:i w:val="1"/>
          <w:iCs w:val="1"/>
          <w:color w:val="auto"/>
        </w:rPr>
        <w:t>Accounting for Derivative Instruments and Hedging Activities</w:t>
      </w:r>
    </w:p>
    <w:p>
      <w:pPr>
        <w:spacing w:after="0" w:line="61" w:lineRule="exact"/>
        <w:rPr>
          <w:sz w:val="20"/>
          <w:szCs w:val="20"/>
          <w:color w:val="auto"/>
        </w:rPr>
      </w:pPr>
    </w:p>
    <w:p>
      <w:pPr>
        <w:jc w:val="both"/>
        <w:ind w:firstLine="445"/>
        <w:spacing w:after="0" w:line="334" w:lineRule="auto"/>
        <w:rPr>
          <w:sz w:val="20"/>
          <w:szCs w:val="20"/>
          <w:color w:val="auto"/>
        </w:rPr>
      </w:pPr>
      <w:r>
        <w:rPr>
          <w:rFonts w:ascii="Arial" w:cs="Arial" w:eastAsia="Arial" w:hAnsi="Arial"/>
          <w:sz w:val="16"/>
          <w:szCs w:val="16"/>
          <w:color w:val="auto"/>
        </w:rPr>
        <w:t xml:space="preserve">The Company has elected to disclose derivative assets and liabilities on a trade-by-trade basis and does not offset amounts at the counterparty master agreement level. Also, collateral received or posted on the Company's derivative assets or liabilities are recorded on a separate line item on the balance sheet. Consequently, the magnitude of the changes in individual current and non-current derivative assets or liabilities is higher than the underlying credit and market risk of the Company's portfolio. As discussed in Item 7A </w:t>
      </w:r>
      <w:r>
        <w:rPr>
          <w:rFonts w:ascii="Arial" w:cs="Arial" w:eastAsia="Arial" w:hAnsi="Arial"/>
          <w:sz w:val="16"/>
          <w:szCs w:val="16"/>
          <w:b w:val="1"/>
          <w:bCs w:val="1"/>
          <w:i w:val="1"/>
          <w:iCs w:val="1"/>
          <w:color w:val="auto"/>
        </w:rPr>
        <w:t>— Quantitative and Qualitative Disclosures About Market Risk, Commodity Price Risk</w:t>
      </w:r>
      <w:r>
        <w:rPr>
          <w:rFonts w:ascii="Arial" w:cs="Arial" w:eastAsia="Arial" w:hAnsi="Arial"/>
          <w:sz w:val="16"/>
          <w:szCs w:val="16"/>
          <w:color w:val="auto"/>
        </w:rPr>
        <w:t>, NRG measures</w:t>
      </w:r>
    </w:p>
    <w:p>
      <w:pPr>
        <w:sectPr>
          <w:pgSz w:w="11880" w:h="15480" w:orient="portrait"/>
          <w:cols w:equalWidth="0" w:num="1">
            <w:col w:w="10160"/>
          </w:cols>
          <w:pgMar w:left="860" w:top="512" w:right="860" w:bottom="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880" w:h="15480" w:orient="portrait"/>
          <w:cols w:equalWidth="0" w:num="1">
            <w:col w:w="10160"/>
          </w:cols>
          <w:pgMar w:left="860" w:top="512" w:right="860" w:bottom="0" w:gutter="0" w:footer="0" w:header="0"/>
          <w:type w:val="continuous"/>
        </w:sectPr>
      </w:pPr>
    </w:p>
    <w:bookmarkStart w:id="73" w:name="page74"/>
    <w:bookmarkEnd w:id="73"/>
    <w:p>
      <w:pPr>
        <w:jc w:val="both"/>
        <w:spacing w:after="0" w:line="252" w:lineRule="auto"/>
        <w:rPr>
          <w:sz w:val="20"/>
          <w:szCs w:val="20"/>
          <w:color w:val="auto"/>
        </w:rPr>
      </w:pPr>
      <w:r>
        <w:rPr>
          <w:rFonts w:ascii="Arial" w:cs="Arial" w:eastAsia="Arial" w:hAnsi="Arial"/>
          <w:sz w:val="20"/>
          <w:szCs w:val="20"/>
          <w:color w:val="auto"/>
        </w:rPr>
        <w:t>the sensitivity of the Company's portfolio to potential changes in market prices using VaR, a statistical model which attempts to predict risk of loss based on market price and volatility. NRG's risk management policy places a limit on one-day holding period VaR, which limits the Company's net open position. As the Company's trade-by-trade derivative accounting results in a gross-up of the Company's derivative assets and liabilities, the net derivative assets and liability position is a better indicator of NRG's hedging activity. As of December 31, 2024, NRG's net derivative asset was $992 million, an increase to total fair value of $344 million as compared to December 31, 2023. This increase was primarily driven by gains in fair value and roll-off of trades that settled during the period.</w:t>
      </w:r>
    </w:p>
    <w:p>
      <w:pPr>
        <w:spacing w:after="0" w:line="92"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Based on a sensitivity analysis using simplified assumptions, the impact of a $0.50 per MMBtu increase or decrease in natural gas prices across the term of the derivative contracts would result in a change of approximately $1.0 billion in the net value of derivatives as of December 31, 2024.</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134" w:lineRule="exact"/>
        <w:rPr>
          <w:sz w:val="20"/>
          <w:szCs w:val="20"/>
          <w:color w:val="auto"/>
        </w:rPr>
      </w:pPr>
    </w:p>
    <w:p>
      <w:pPr>
        <w:jc w:val="both"/>
        <w:ind w:firstLine="445"/>
        <w:spacing w:after="0" w:line="281" w:lineRule="auto"/>
        <w:rPr>
          <w:sz w:val="20"/>
          <w:szCs w:val="20"/>
          <w:color w:val="auto"/>
        </w:rPr>
      </w:pPr>
      <w:r>
        <w:rPr>
          <w:rFonts w:ascii="Arial" w:cs="Arial" w:eastAsia="Arial" w:hAnsi="Arial"/>
          <w:sz w:val="18"/>
          <w:szCs w:val="18"/>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appropriate technical accounting rules and guidance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accounting guidance has not changed.</w:t>
      </w:r>
    </w:p>
    <w:p>
      <w:pPr>
        <w:spacing w:after="0" w:line="67" w:lineRule="exact"/>
        <w:rPr>
          <w:sz w:val="20"/>
          <w:szCs w:val="20"/>
          <w:color w:val="auto"/>
        </w:rPr>
      </w:pPr>
    </w:p>
    <w:p>
      <w:pPr>
        <w:jc w:val="both"/>
        <w:ind w:firstLine="445"/>
        <w:spacing w:after="0" w:line="295" w:lineRule="auto"/>
        <w:rPr>
          <w:sz w:val="20"/>
          <w:szCs w:val="20"/>
          <w:color w:val="auto"/>
        </w:rPr>
      </w:pPr>
      <w:r>
        <w:rPr>
          <w:rFonts w:ascii="Arial" w:cs="Arial" w:eastAsia="Arial" w:hAnsi="Arial"/>
          <w:sz w:val="18"/>
          <w:szCs w:val="18"/>
          <w:color w:val="auto"/>
        </w:rPr>
        <w:t>NRG evaluates these estimates, on an ongoing basis,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52"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20"/>
          <w:szCs w:val="20"/>
          <w:color w:val="auto"/>
        </w:rPr>
        <w:t>The Company identifies its most critical accounting estimates as those that are the most pervasive and important to the portrayal of the Company's financial position and results of operations, and require the most difficult, subjective, and/or complex judgments by management about matters that are inherently uncertain.</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880" w:h="15480" w:orient="portrait"/>
          <w:cols w:equalWidth="0" w:num="1">
            <w:col w:w="10160"/>
          </w:cols>
          <w:pgMar w:left="860" w:top="512" w:right="860" w:bottom="0" w:gutter="0" w:footer="0" w:header="0"/>
          <w:type w:val="continuous"/>
        </w:sectPr>
      </w:pPr>
    </w:p>
    <w:bookmarkStart w:id="74" w:name="page75"/>
    <w:bookmarkEnd w:id="74"/>
    <w:p>
      <w:pPr>
        <w:ind w:left="440"/>
        <w:spacing w:after="0"/>
        <w:rPr>
          <w:sz w:val="20"/>
          <w:szCs w:val="20"/>
          <w:color w:val="auto"/>
        </w:rPr>
      </w:pPr>
      <w:r>
        <w:rPr>
          <w:rFonts w:ascii="Arial" w:cs="Arial" w:eastAsia="Arial" w:hAnsi="Arial"/>
          <w:sz w:val="20"/>
          <w:szCs w:val="20"/>
          <w:color w:val="auto"/>
        </w:rPr>
        <w:t>Such accounting estimates include:</w:t>
      </w:r>
    </w:p>
    <w:p>
      <w:pPr>
        <w:spacing w:after="0" w:line="100" w:lineRule="exact"/>
        <w:rPr>
          <w:sz w:val="20"/>
          <w:szCs w:val="20"/>
          <w:color w:val="auto"/>
        </w:rPr>
      </w:pPr>
    </w:p>
    <w:p>
      <w:pPr>
        <w:ind w:left="60"/>
        <w:spacing w:after="0"/>
        <w:tabs>
          <w:tab w:leader="none" w:pos="5440" w:val="left"/>
        </w:tabs>
        <w:rPr>
          <w:sz w:val="20"/>
          <w:szCs w:val="20"/>
          <w:color w:val="auto"/>
        </w:rPr>
      </w:pPr>
      <w:r>
        <w:rPr>
          <w:rFonts w:ascii="Arial" w:cs="Arial" w:eastAsia="Arial" w:hAnsi="Arial"/>
          <w:sz w:val="18"/>
          <w:szCs w:val="18"/>
          <w:b w:val="1"/>
          <w:bCs w:val="1"/>
          <w:u w:val="single" w:color="auto"/>
          <w:color w:val="auto"/>
        </w:rPr>
        <w:t>Accounting Estimate</w:t>
      </w:r>
      <w:r>
        <w:rPr>
          <w:sz w:val="20"/>
          <w:szCs w:val="20"/>
          <w:color w:val="auto"/>
        </w:rPr>
        <w:tab/>
      </w:r>
      <w:r>
        <w:rPr>
          <w:rFonts w:ascii="Arial" w:cs="Arial" w:eastAsia="Arial" w:hAnsi="Arial"/>
          <w:sz w:val="16"/>
          <w:szCs w:val="16"/>
          <w:b w:val="1"/>
          <w:bCs w:val="1"/>
          <w:color w:val="auto"/>
        </w:rPr>
        <w:t>Judgments/Uncertainties Affecting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15240</wp:posOffset>
            </wp:positionV>
            <wp:extent cx="6475095" cy="49758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5">
                      <a:extLst>
                        <a:ext uri="{28A0092B-C50C-407E-A947-70E740481C1C}"/>
                      </a:extLst>
                    </a:blip>
                    <a:srcRect/>
                    <a:stretch>
                      <a:fillRect/>
                    </a:stretch>
                  </pic:blipFill>
                  <pic:spPr bwMode="auto">
                    <a:xfrm>
                      <a:off x="0" y="0"/>
                      <a:ext cx="6475095" cy="4975860"/>
                    </a:xfrm>
                    <a:prstGeom prst="rect">
                      <a:avLst/>
                    </a:prstGeom>
                    <a:noFill/>
                  </pic:spPr>
                </pic:pic>
              </a:graphicData>
            </a:graphic>
          </wp:anchor>
        </w:drawing>
      </w:r>
    </w:p>
    <w:p>
      <w:pPr>
        <w:spacing w:after="0" w:line="37" w:lineRule="exact"/>
        <w:rPr>
          <w:sz w:val="20"/>
          <w:szCs w:val="20"/>
          <w:color w:val="auto"/>
        </w:rPr>
      </w:pPr>
    </w:p>
    <w:p>
      <w:pPr>
        <w:ind w:left="60"/>
        <w:spacing w:after="0"/>
        <w:rPr>
          <w:sz w:val="20"/>
          <w:szCs w:val="20"/>
          <w:color w:val="auto"/>
        </w:rPr>
      </w:pPr>
      <w:r>
        <w:rPr>
          <w:rFonts w:ascii="Arial" w:cs="Arial" w:eastAsia="Arial" w:hAnsi="Arial"/>
          <w:sz w:val="20"/>
          <w:szCs w:val="20"/>
          <w:color w:val="auto"/>
        </w:rPr>
        <w:t xml:space="preserve">Derivative Instruments </w:t>
      </w:r>
      <w:r>
        <w:rPr>
          <w:rFonts w:ascii="Arial" w:cs="Arial" w:eastAsia="Arial" w:hAnsi="Arial"/>
          <w:sz w:val="20"/>
          <w:szCs w:val="20"/>
          <w:color w:val="B4B4B4"/>
        </w:rPr>
        <w:t>. . . . . . . . . . . . . . . . . . . . . . . . . . . . . . . . . . .</w:t>
      </w:r>
      <w:r>
        <w:rPr>
          <w:rFonts w:ascii="Arial" w:cs="Arial" w:eastAsia="Arial" w:hAnsi="Arial"/>
          <w:sz w:val="20"/>
          <w:szCs w:val="20"/>
          <w:color w:val="auto"/>
        </w:rPr>
        <w:t xml:space="preserve"> Assumptions used in valuation techniques</w:t>
      </w:r>
    </w:p>
    <w:p>
      <w:pPr>
        <w:spacing w:after="0" w:line="67"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Market maturity and economic conditions</w:t>
      </w:r>
    </w:p>
    <w:p>
      <w:pPr>
        <w:spacing w:after="0" w:line="67"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Contract interpretation</w:t>
      </w:r>
    </w:p>
    <w:p>
      <w:pPr>
        <w:spacing w:after="0" w:line="67"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Market conditions in the energy industry, especially the</w:t>
      </w:r>
    </w:p>
    <w:p>
      <w:pPr>
        <w:spacing w:after="0" w:line="2"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effects of price volatility on contractual commitments</w:t>
      </w:r>
    </w:p>
    <w:p>
      <w:pPr>
        <w:spacing w:after="0" w:line="40" w:lineRule="exact"/>
        <w:rPr>
          <w:sz w:val="20"/>
          <w:szCs w:val="20"/>
          <w:color w:val="auto"/>
        </w:rPr>
      </w:pPr>
    </w:p>
    <w:p>
      <w:pPr>
        <w:ind w:left="5460" w:right="780" w:hanging="5404"/>
        <w:spacing w:after="0" w:line="238" w:lineRule="auto"/>
        <w:rPr>
          <w:sz w:val="20"/>
          <w:szCs w:val="20"/>
          <w:color w:val="auto"/>
        </w:rPr>
      </w:pPr>
      <w:r>
        <w:rPr>
          <w:rFonts w:ascii="Arial" w:cs="Arial" w:eastAsia="Arial" w:hAnsi="Arial"/>
          <w:sz w:val="20"/>
          <w:szCs w:val="20"/>
          <w:color w:val="auto"/>
        </w:rPr>
        <w:t xml:space="preserve">Income Taxes and Valuation Allowance for Deferred Tax Assets </w:t>
      </w:r>
      <w:r>
        <w:rPr>
          <w:rFonts w:ascii="Arial" w:cs="Arial" w:eastAsia="Arial" w:hAnsi="Arial"/>
          <w:sz w:val="20"/>
          <w:szCs w:val="20"/>
          <w:color w:val="B4B4B4"/>
        </w:rPr>
        <w:t>.</w:t>
      </w:r>
      <w:r>
        <w:rPr>
          <w:rFonts w:ascii="Arial" w:cs="Arial" w:eastAsia="Arial" w:hAnsi="Arial"/>
          <w:sz w:val="20"/>
          <w:szCs w:val="20"/>
          <w:color w:val="auto"/>
        </w:rPr>
        <w:t xml:space="preserve"> Interpret existing tax statute and regulations upon application to transactions</w:t>
      </w:r>
    </w:p>
    <w:p>
      <w:pPr>
        <w:spacing w:after="0" w:line="34"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Ability to utilize tax benefits through carry backs to prior</w:t>
      </w:r>
    </w:p>
    <w:p>
      <w:pPr>
        <w:spacing w:after="0" w:line="2"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periods and carry forwards to future periods</w:t>
      </w:r>
    </w:p>
    <w:p>
      <w:pPr>
        <w:spacing w:after="0" w:line="40" w:lineRule="exact"/>
        <w:rPr>
          <w:sz w:val="20"/>
          <w:szCs w:val="20"/>
          <w:color w:val="auto"/>
        </w:rPr>
      </w:pPr>
    </w:p>
    <w:p>
      <w:pPr>
        <w:jc w:val="right"/>
        <w:ind w:right="220"/>
        <w:spacing w:after="0"/>
        <w:rPr>
          <w:sz w:val="20"/>
          <w:szCs w:val="20"/>
          <w:color w:val="auto"/>
        </w:rPr>
      </w:pPr>
      <w:r>
        <w:rPr>
          <w:rFonts w:ascii="Arial" w:cs="Arial" w:eastAsia="Arial" w:hAnsi="Arial"/>
          <w:sz w:val="20"/>
          <w:szCs w:val="20"/>
          <w:color w:val="auto"/>
        </w:rPr>
        <w:t>Judgement about future realization of deferred tax assets</w:t>
      </w:r>
    </w:p>
    <w:p>
      <w:pPr>
        <w:spacing w:after="0" w:line="67"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 xml:space="preserve">Evaluation of Assets for Impairment </w:t>
      </w:r>
      <w:r>
        <w:rPr>
          <w:rFonts w:ascii="Arial" w:cs="Arial" w:eastAsia="Arial" w:hAnsi="Arial"/>
          <w:sz w:val="18"/>
          <w:szCs w:val="18"/>
          <w:color w:val="B4B4B4"/>
        </w:rPr>
        <w:t>. . . . . . . . . . . . . . . . . . . . . . . .</w:t>
      </w:r>
      <w:r>
        <w:rPr>
          <w:rFonts w:ascii="Arial" w:cs="Arial" w:eastAsia="Arial" w:hAnsi="Arial"/>
          <w:sz w:val="18"/>
          <w:szCs w:val="18"/>
          <w:color w:val="auto"/>
        </w:rPr>
        <w:t xml:space="preserve"> Regulatory and political environments and requirements</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Estimated useful lives of assets</w:t>
      </w:r>
    </w:p>
    <w:p>
      <w:pPr>
        <w:spacing w:after="0" w:line="67"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Environmental obligations and operational limitations</w:t>
      </w:r>
    </w:p>
    <w:p>
      <w:pPr>
        <w:spacing w:after="0" w:line="67"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Estimates of future cash flows</w:t>
      </w:r>
    </w:p>
    <w:p>
      <w:pPr>
        <w:spacing w:after="0" w:line="67"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Estimates of fair value</w:t>
      </w:r>
    </w:p>
    <w:p>
      <w:pPr>
        <w:spacing w:after="0" w:line="67"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Judgment about impairment triggering events</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9"/>
          <w:szCs w:val="19"/>
          <w:color w:val="auto"/>
        </w:rPr>
        <w:t xml:space="preserve">Goodwill and Other Intangible Assets </w:t>
      </w:r>
      <w:r>
        <w:rPr>
          <w:rFonts w:ascii="Arial" w:cs="Arial" w:eastAsia="Arial" w:hAnsi="Arial"/>
          <w:sz w:val="19"/>
          <w:szCs w:val="19"/>
          <w:color w:val="B4B4B4"/>
        </w:rPr>
        <w:t>. . . . . . . . . . . . . . . . . . . . . . .</w:t>
      </w:r>
      <w:r>
        <w:rPr>
          <w:rFonts w:ascii="Arial" w:cs="Arial" w:eastAsia="Arial" w:hAnsi="Arial"/>
          <w:sz w:val="19"/>
          <w:szCs w:val="19"/>
          <w:color w:val="auto"/>
        </w:rPr>
        <w:t xml:space="preserve"> Estimated useful lives for finite-lived intangible assets</w:t>
      </w:r>
    </w:p>
    <w:p>
      <w:pPr>
        <w:spacing w:after="0" w:line="79"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Judgment about impairment triggering events</w:t>
      </w:r>
    </w:p>
    <w:p>
      <w:pPr>
        <w:spacing w:after="0" w:line="67"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Estimates of reporting unit's fair value</w:t>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Fair value estimate of intangible assets acquired in</w:t>
      </w:r>
    </w:p>
    <w:p>
      <w:pPr>
        <w:ind w:left="5460"/>
        <w:spacing w:after="0"/>
        <w:rPr>
          <w:sz w:val="20"/>
          <w:szCs w:val="20"/>
          <w:color w:val="auto"/>
        </w:rPr>
      </w:pPr>
      <w:r>
        <w:rPr>
          <w:rFonts w:ascii="Arial" w:cs="Arial" w:eastAsia="Arial" w:hAnsi="Arial"/>
          <w:sz w:val="20"/>
          <w:szCs w:val="20"/>
          <w:color w:val="auto"/>
        </w:rPr>
        <w:t>business combinations</w:t>
      </w:r>
    </w:p>
    <w:p>
      <w:pPr>
        <w:spacing w:after="0" w:line="40" w:lineRule="exact"/>
        <w:rPr>
          <w:sz w:val="20"/>
          <w:szCs w:val="20"/>
          <w:color w:val="auto"/>
        </w:rPr>
      </w:pPr>
    </w:p>
    <w:p>
      <w:pPr>
        <w:ind w:left="5460" w:right="400" w:hanging="5404"/>
        <w:spacing w:after="0" w:line="238" w:lineRule="auto"/>
        <w:rPr>
          <w:sz w:val="20"/>
          <w:szCs w:val="20"/>
          <w:color w:val="auto"/>
        </w:rPr>
      </w:pPr>
      <w:r>
        <w:rPr>
          <w:rFonts w:ascii="Arial" w:cs="Arial" w:eastAsia="Arial" w:hAnsi="Arial"/>
          <w:sz w:val="20"/>
          <w:szCs w:val="20"/>
          <w:color w:val="auto"/>
        </w:rPr>
        <w:t xml:space="preserve">Business Combinations </w:t>
      </w:r>
      <w:r>
        <w:rPr>
          <w:rFonts w:ascii="Arial" w:cs="Arial" w:eastAsia="Arial" w:hAnsi="Arial"/>
          <w:sz w:val="20"/>
          <w:szCs w:val="20"/>
          <w:color w:val="B4B4B4"/>
        </w:rPr>
        <w:t>. . . . . . . . . . . . . . . . . . . . . . . . . . . . . . . . . .</w:t>
      </w:r>
      <w:r>
        <w:rPr>
          <w:rFonts w:ascii="Arial" w:cs="Arial" w:eastAsia="Arial" w:hAnsi="Arial"/>
          <w:sz w:val="20"/>
          <w:szCs w:val="20"/>
          <w:color w:val="auto"/>
        </w:rPr>
        <w:t xml:space="preserve"> Fair value of assets acquired and liabilities assumed in business combinations</w:t>
      </w:r>
    </w:p>
    <w:p>
      <w:pPr>
        <w:spacing w:after="0" w:line="34"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Estimated future cash flow</w:t>
      </w:r>
    </w:p>
    <w:p>
      <w:pPr>
        <w:spacing w:after="0" w:line="67"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Estimated useful lives of assets</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20"/>
          <w:szCs w:val="20"/>
          <w:color w:val="auto"/>
        </w:rPr>
        <w:t xml:space="preserve">Contingencies </w:t>
      </w:r>
      <w:r>
        <w:rPr>
          <w:rFonts w:ascii="Arial" w:cs="Arial" w:eastAsia="Arial" w:hAnsi="Arial"/>
          <w:sz w:val="20"/>
          <w:szCs w:val="20"/>
          <w:color w:val="B4B4B4"/>
        </w:rPr>
        <w:t>. . . . . . . . . . . . . . . . . . . . . . . . . . . . . . . . . . . . . . . . . .</w:t>
      </w:r>
      <w:r>
        <w:rPr>
          <w:rFonts w:ascii="Arial" w:cs="Arial" w:eastAsia="Arial" w:hAnsi="Arial"/>
          <w:sz w:val="20"/>
          <w:szCs w:val="20"/>
          <w:color w:val="auto"/>
        </w:rPr>
        <w:t xml:space="preserve"> Estimated financial impact of event(s)</w:t>
      </w:r>
    </w:p>
    <w:p>
      <w:pPr>
        <w:spacing w:after="0" w:line="67"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Judgment about likelihood of event(s) occurring</w:t>
      </w:r>
    </w:p>
    <w:p>
      <w:pPr>
        <w:spacing w:after="0" w:line="67"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Regulatory and political environments and requirements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Derivative Instruments</w:t>
      </w:r>
    </w:p>
    <w:p>
      <w:pPr>
        <w:spacing w:after="0" w:line="13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9"/>
          <w:szCs w:val="19"/>
          <w:color w:val="auto"/>
        </w:rPr>
        <w:t xml:space="preserve">The Company follows the guidance of ASC 815, </w:t>
      </w:r>
      <w:r>
        <w:rPr>
          <w:rFonts w:ascii="Arial" w:cs="Arial" w:eastAsia="Arial" w:hAnsi="Arial"/>
          <w:sz w:val="19"/>
          <w:szCs w:val="19"/>
          <w:b w:val="1"/>
          <w:bCs w:val="1"/>
          <w:i w:val="1"/>
          <w:iCs w:val="1"/>
          <w:color w:val="auto"/>
        </w:rPr>
        <w:t>Derivatives and Hedging "(A</w:t>
      </w:r>
      <w:r>
        <w:rPr>
          <w:rFonts w:ascii="Arial" w:cs="Arial" w:eastAsia="Arial" w:hAnsi="Arial"/>
          <w:sz w:val="19"/>
          <w:szCs w:val="19"/>
          <w:color w:val="auto"/>
        </w:rPr>
        <w:t>SC 815"), to account for derivative instruments. ASC 815 requires the Company to mark-to-market all derivative instruments on the balance sheet and recognize fair value change in earnings, unless they qualify for the NPNS exception. ASC 815 applies to NRG's energy related commodity contracts, interest rate swaps, foreign exchange contracts and Consumer Financing Program.</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Energy-Related Commodities</w:t>
      </w:r>
    </w:p>
    <w:p>
      <w:pPr>
        <w:spacing w:after="0" w:line="130"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9"/>
          <w:szCs w:val="19"/>
          <w:color w:val="auto"/>
        </w:rPr>
        <w:t>As of December 31, 2024 and 2023, for purposes of measuring the fair value of derivative instruments, the Company primarily used quoted exchange prices and consensus pricing. Consensus pricing is provided by independent pricing services which are compiled from market makers with longer dated tenors as compared to broker quotes. Prior to the fourth quarter of 2023, the Company valued derivatives based on price quotes from brokers in active markets who regularly facilitate those transactions. The Company started using consensus pricing as it offers data from more market makers and for longer dated tenors as compared to broker quotes, enhances data integrity, and increases transparency. When external prices are not available, NRG uses internal models to determine the fair value. These internal models include assumptions of the future prices of energy commodities based on the specific market in which the energy commodity is being purchased or sold, using externally available forward market pricing curves for all periods possible under the pricing model. These estimations are considered to be critical accounting estimates.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Interest Rate Swaps</w:t>
      </w:r>
    </w:p>
    <w:p>
      <w:pPr>
        <w:spacing w:after="0" w:line="130" w:lineRule="exact"/>
        <w:rPr>
          <w:sz w:val="20"/>
          <w:szCs w:val="20"/>
          <w:color w:val="auto"/>
        </w:rPr>
      </w:pPr>
    </w:p>
    <w:p>
      <w:pPr>
        <w:jc w:val="both"/>
        <w:ind w:firstLine="445"/>
        <w:spacing w:after="0" w:line="305" w:lineRule="auto"/>
        <w:rPr>
          <w:sz w:val="20"/>
          <w:szCs w:val="20"/>
          <w:color w:val="auto"/>
        </w:rPr>
      </w:pPr>
      <w:r>
        <w:rPr>
          <w:rFonts w:ascii="Arial" w:cs="Arial" w:eastAsia="Arial" w:hAnsi="Arial"/>
          <w:sz w:val="18"/>
          <w:szCs w:val="18"/>
          <w:color w:val="auto"/>
        </w:rPr>
        <w:t>NRG is exposed to changes in interest rate through the Company's issuance of variable rate debt. To manage the Company's interest rate risk, NRG enters into interest rate swap agreements. In order to qualify the derivative instruments for hedged transactions, NRG estimates the forecasted borrowings for interest rate swaps occurring within a specified time period.</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880" w:h="15480" w:orient="portrait"/>
          <w:cols w:equalWidth="0" w:num="1">
            <w:col w:w="10160"/>
          </w:cols>
          <w:pgMar w:left="860" w:top="512" w:right="860" w:bottom="0" w:gutter="0" w:footer="0" w:header="0"/>
          <w:type w:val="continuous"/>
        </w:sectPr>
      </w:pPr>
    </w:p>
    <w:bookmarkStart w:id="75" w:name="page76"/>
    <w:bookmarkEnd w:id="75"/>
    <w:p>
      <w:pPr>
        <w:ind w:left="440"/>
        <w:spacing w:after="0"/>
        <w:rPr>
          <w:sz w:val="20"/>
          <w:szCs w:val="20"/>
          <w:color w:val="auto"/>
        </w:rPr>
      </w:pPr>
      <w:r>
        <w:rPr>
          <w:rFonts w:ascii="Arial" w:cs="Arial" w:eastAsia="Arial" w:hAnsi="Arial"/>
          <w:sz w:val="20"/>
          <w:szCs w:val="20"/>
          <w:b w:val="1"/>
          <w:bCs w:val="1"/>
          <w:i w:val="1"/>
          <w:iCs w:val="1"/>
          <w:color w:val="auto"/>
        </w:rPr>
        <w:t>Foreign Exchange Contracts</w:t>
      </w:r>
    </w:p>
    <w:p>
      <w:pPr>
        <w:spacing w:after="0" w:line="13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In order to mitigate foreign exchange risk primarily associated with the purchase of USD denominated natural gas for the Company's Canadian business, the Company enters into foreign exchange contract agreements.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Consumer Financing Program</w:t>
      </w:r>
    </w:p>
    <w:p>
      <w:pPr>
        <w:spacing w:after="0" w:line="13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The derivative positions for the Company's Consumer Financing Program are valued using a discounted cash flow model, with inputs consisting of available market data, such as market yield discount rates, as well as unobservable internally derived assumptions, such as collateral prepayment rates, collateral default rates and credit loss rates. In summary, the fair value represents an estimate of the present value of the cash flows Vivint Smart Home will be obligated to pay to the third-party financing provider for each component of the derivative.</w:t>
      </w:r>
    </w:p>
    <w:p>
      <w:pPr>
        <w:spacing w:after="0" w:line="85"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9"/>
          <w:szCs w:val="19"/>
          <w:color w:val="auto"/>
        </w:rPr>
        <w:t>Certain derivative instruments that meet the criteria for derivative accounting treatment also qualify for a scope exception to derivative accounting, as they are considered to be NPNS. The availability of this exception is based upon the assumption that the Company has the ability and it is probable to deliver or take delivery of the underlying item. These assumptions are based on expected load requirements, internal forecasts of sales and generation and historical physical delivery on contracts. Derivatives that are considered to be NPNS are exempt from derivative accounting treatment and are accounted for under accrual accounting. If it is determined that a transaction designated as NPNS no longer meets the scope exception due to changes in estimates, the related contract would be recorded on the balance sheet at fair value combined with the immediate recognition through earnings.</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Income Taxes and Valuation Allowance for Deferred Tax Assets</w:t>
      </w:r>
    </w:p>
    <w:p>
      <w:pPr>
        <w:spacing w:after="0" w:line="134"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As of December 31, 2024, NRG’s deferred tax assets were primarily the result of U.S. federal and state NOLs, the difference between book and tax basis in property, plant, and equipment, deferred revenues and tax credit carryforwards. The realization of deferred tax assets is dependent upon the Company's ability to generate sufficient future taxable income during the periods in which those temporary differences become deductible, prior to the expiration of the tax attributes. The evaluation of deferred tax assets requires judgment in assessing the likely future tax consequences of events that have been recognized in the Company's financial statements or tax returns and forecasting future profitability by tax jurisdiction.</w:t>
      </w:r>
    </w:p>
    <w:p>
      <w:pPr>
        <w:spacing w:after="0" w:line="59"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color w:val="auto"/>
        </w:rPr>
        <w:t>The Company evaluates its deferred tax assets on a jurisdictional basis to determine whether adjustments to the valuation allowance are appropriate considering changes in facts or circumstances. As of each reporting date, management considers new evidence, both positive and negative, when determining the future realization of the Company’s deferred tax assets. Given the Company’s current level of pre-tax earnings and forecasted future pre-tax earnings, the Company expects to generate income before taxes in the U.S. in future periods at a level that would fully utilize its U.S. federal NOL carryforwards and the majority of its state NOL carryforwards prior to their expiration.</w:t>
      </w:r>
    </w:p>
    <w:p>
      <w:pPr>
        <w:spacing w:after="0" w:line="7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The Company continues to maintain a valuation allowance of $144 million as of December 31, 2024 against deferred tax assets consisting of state NOL carryforwards and foreign NOL carryforwards in jurisdictions where the Company does not currently believe that the realization of deferred tax assets is more likely than not. As of December 31, 2023, the Company's valuation allowance balance was $275 million.</w:t>
      </w:r>
    </w:p>
    <w:p>
      <w:pPr>
        <w:spacing w:after="0" w:line="84"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9"/>
          <w:szCs w:val="19"/>
          <w:color w:val="auto"/>
        </w:rPr>
        <w:t>Considerable judgment is required to determine the tax treatment of a particular item that involves interpretations of complex tax laws. The Company is subject to examination by taxing authorities for income tax returns filed in the U.S. federal jurisdiction and various state and foreign jurisdictions, including operations located in Australia and Canada. The Company continues to be under audit for multiple years by taxing authorities in various jurisdictions.</w:t>
      </w:r>
    </w:p>
    <w:p>
      <w:pPr>
        <w:spacing w:after="0" w:line="77" w:lineRule="exact"/>
        <w:rPr>
          <w:sz w:val="20"/>
          <w:szCs w:val="20"/>
          <w:color w:val="auto"/>
        </w:rPr>
      </w:pPr>
    </w:p>
    <w:p>
      <w:pPr>
        <w:jc w:val="both"/>
        <w:ind w:firstLine="445"/>
        <w:spacing w:after="0" w:line="298" w:lineRule="auto"/>
        <w:rPr>
          <w:sz w:val="20"/>
          <w:szCs w:val="20"/>
          <w:color w:val="auto"/>
        </w:rPr>
      </w:pPr>
      <w:r>
        <w:rPr>
          <w:rFonts w:ascii="Arial" w:cs="Arial" w:eastAsia="Arial" w:hAnsi="Arial"/>
          <w:sz w:val="20"/>
          <w:szCs w:val="20"/>
          <w:color w:val="auto"/>
        </w:rPr>
        <w:t>The Company is no longer subject to U.S. federal income tax examinations for years prior to 2021. With few exceptions, state and Canadian income tax examinations are no longer open for years before 2015.</w:t>
      </w:r>
    </w:p>
    <w:p>
      <w:pPr>
        <w:spacing w:after="0" w:line="43"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NRG does not intend, nor currently foresee a need, to repatriate funds held at its international operations into the U.S. These funds are deemed to be indefinitely reinvested in its foreign operations and the Company has not changed its assertion with respect to distributions of funds that would require the accrual of U.S. income tax.</w:t>
      </w:r>
    </w:p>
    <w:p>
      <w:pPr>
        <w:sectPr>
          <w:pgSz w:w="11880" w:h="15480" w:orient="portrait"/>
          <w:cols w:equalWidth="0" w:num="1">
            <w:col w:w="10160"/>
          </w:cols>
          <w:pgMar w:left="860" w:top="50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880" w:h="15480" w:orient="portrait"/>
          <w:cols w:equalWidth="0" w:num="1">
            <w:col w:w="10160"/>
          </w:cols>
          <w:pgMar w:left="860" w:top="508" w:right="860" w:bottom="0" w:gutter="0" w:footer="0" w:header="0"/>
          <w:type w:val="continuous"/>
        </w:sectPr>
      </w:pPr>
    </w:p>
    <w:bookmarkStart w:id="76" w:name="page77"/>
    <w:bookmarkEnd w:id="76"/>
    <w:p>
      <w:pPr>
        <w:ind w:left="440"/>
        <w:spacing w:after="0"/>
        <w:rPr>
          <w:sz w:val="20"/>
          <w:szCs w:val="20"/>
          <w:color w:val="auto"/>
        </w:rPr>
      </w:pPr>
      <w:r>
        <w:rPr>
          <w:rFonts w:ascii="Arial" w:cs="Arial" w:eastAsia="Arial" w:hAnsi="Arial"/>
          <w:sz w:val="20"/>
          <w:szCs w:val="20"/>
          <w:b w:val="1"/>
          <w:bCs w:val="1"/>
          <w:i w:val="1"/>
          <w:iCs w:val="1"/>
          <w:color w:val="auto"/>
        </w:rPr>
        <w:t>Evaluation of Assets for Impairment</w:t>
      </w:r>
    </w:p>
    <w:p>
      <w:pPr>
        <w:spacing w:after="0" w:line="130"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20"/>
          <w:szCs w:val="20"/>
          <w:color w:val="auto"/>
        </w:rPr>
        <w:t xml:space="preserve">In accordance with ASC 360, </w:t>
      </w:r>
      <w:r>
        <w:rPr>
          <w:rFonts w:ascii="Arial" w:cs="Arial" w:eastAsia="Arial" w:hAnsi="Arial"/>
          <w:sz w:val="20"/>
          <w:szCs w:val="20"/>
          <w:b w:val="1"/>
          <w:bCs w:val="1"/>
          <w:i w:val="1"/>
          <w:iCs w:val="1"/>
          <w:color w:val="auto"/>
        </w:rPr>
        <w:t>Property, Plant, and Equipment ("</w:t>
      </w:r>
      <w:r>
        <w:rPr>
          <w:rFonts w:ascii="Arial" w:cs="Arial" w:eastAsia="Arial" w:hAnsi="Arial"/>
          <w:sz w:val="20"/>
          <w:szCs w:val="20"/>
          <w:color w:val="auto"/>
        </w:rPr>
        <w:t>ASC 360"), the Company evaluates property, plant and equipment and certain intangible assets for impairment whenever indicators of impairment exist. Examples of such indicators or events include:</w:t>
      </w:r>
    </w:p>
    <w:p>
      <w:pPr>
        <w:spacing w:after="0" w:line="76" w:lineRule="exact"/>
        <w:rPr>
          <w:sz w:val="20"/>
          <w:szCs w:val="20"/>
          <w:color w:val="auto"/>
        </w:rPr>
      </w:pPr>
    </w:p>
    <w:p>
      <w:pPr>
        <w:ind w:left="720" w:hanging="362"/>
        <w:spacing w:after="0"/>
        <w:tabs>
          <w:tab w:leader="none" w:pos="7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Significant decrease in the market price of a long-lived asset;</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Significant adverse change in the manner an asset is being used or its physical condition;</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Adverse business climate;</w:t>
      </w:r>
    </w:p>
    <w:p>
      <w:pPr>
        <w:spacing w:after="0" w:line="67" w:lineRule="exact"/>
        <w:rPr>
          <w:rFonts w:ascii="Arial" w:cs="Arial" w:eastAsia="Arial" w:hAnsi="Arial"/>
          <w:sz w:val="20"/>
          <w:szCs w:val="20"/>
          <w:color w:val="auto"/>
        </w:rPr>
      </w:pPr>
    </w:p>
    <w:p>
      <w:pPr>
        <w:ind w:left="720" w:right="120" w:hanging="362"/>
        <w:spacing w:after="0" w:line="277" w:lineRule="auto"/>
        <w:tabs>
          <w:tab w:leader="none" w:pos="7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Accumulation of costs significantly in excess of the amounts originally expected for the construction or acquisition of an asset;</w:t>
      </w:r>
    </w:p>
    <w:p>
      <w:pPr>
        <w:spacing w:after="0" w:line="3" w:lineRule="exact"/>
        <w:rPr>
          <w:rFonts w:ascii="Arial" w:cs="Arial" w:eastAsia="Arial" w:hAnsi="Arial"/>
          <w:sz w:val="20"/>
          <w:szCs w:val="20"/>
          <w:color w:val="auto"/>
        </w:rPr>
      </w:pPr>
    </w:p>
    <w:p>
      <w:pPr>
        <w:ind w:left="720" w:hanging="362"/>
        <w:spacing w:after="0"/>
        <w:tabs>
          <w:tab w:leader="none" w:pos="7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Current period loss combined with a history of losses or the projection of future losses; and</w:t>
      </w:r>
    </w:p>
    <w:p>
      <w:pPr>
        <w:spacing w:after="0" w:line="67" w:lineRule="exact"/>
        <w:rPr>
          <w:rFonts w:ascii="Arial" w:cs="Arial" w:eastAsia="Arial" w:hAnsi="Arial"/>
          <w:sz w:val="20"/>
          <w:szCs w:val="20"/>
          <w:color w:val="auto"/>
        </w:rPr>
      </w:pPr>
    </w:p>
    <w:p>
      <w:pPr>
        <w:ind w:left="720" w:right="20" w:hanging="362"/>
        <w:spacing w:after="0" w:line="277" w:lineRule="auto"/>
        <w:tabs>
          <w:tab w:leader="none" w:pos="7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Change in the Company's intent about an asset from an intent to hold to a greater than 50% likelihood that an asset will be sold, or disposed of before the end of its previously estimated useful life.</w:t>
      </w:r>
    </w:p>
    <w:p>
      <w:pPr>
        <w:spacing w:after="0" w:line="63"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9"/>
          <w:szCs w:val="19"/>
          <w:color w:val="auto"/>
        </w:rPr>
        <w:t>For assets to be held and used, recoverability is measured by a comparison of the carrying amount of the assets to the undiscounted future net cash flows expected to be generated by the asset, through considering project specific assumptions for long-term power and natural gas prices, escalated future project operating costs and expected plant operations. If the Company determines that the undiscounted cash flows from the asset are less than the carrying amount of the asset, NRG must estimate fair value to determine the amount of any impairment loss. If such assets are considered to be impaired, the impairment to be recognized is measured as the amount by which the carrying amount of the assets exceeds the fair value of the assets, factoring in the different courses of action available to the Company. Generally, fair value will be determined using valuation techniques, such as the present value of expected future cash flows. NRG uses its best estimates in making these evaluations and considers various factors, including forward price curves for energy, fuel and operating costs. However, actual future market prices and project costs could vary from the assumptions used in the Company's estimates and the impact of such variations could be material.</w:t>
      </w:r>
    </w:p>
    <w:p>
      <w:pPr>
        <w:spacing w:after="0" w:line="79" w:lineRule="exact"/>
        <w:rPr>
          <w:sz w:val="20"/>
          <w:szCs w:val="20"/>
          <w:color w:val="auto"/>
        </w:rPr>
      </w:pPr>
    </w:p>
    <w:p>
      <w:pPr>
        <w:jc w:val="both"/>
        <w:ind w:firstLine="504"/>
        <w:spacing w:after="0" w:line="251" w:lineRule="auto"/>
        <w:rPr>
          <w:sz w:val="20"/>
          <w:szCs w:val="20"/>
          <w:color w:val="auto"/>
        </w:rPr>
      </w:pPr>
      <w:r>
        <w:rPr>
          <w:rFonts w:ascii="Arial" w:cs="Arial" w:eastAsia="Arial" w:hAnsi="Arial"/>
          <w:sz w:val="20"/>
          <w:szCs w:val="20"/>
          <w:color w:val="auto"/>
        </w:rPr>
        <w:t>Assets held-for-sale are reported at the lower of the carrying amount or fair value less the cost to sell. The estimation of fair value, whether in conjunction with an asset to be held and used or with an asset held-for-sale, and the evaluation of asset impairment are, by their nature, subjective. The Company considers quoted market prices in active markets to the extent they are available. In the absence of such information, NRG may consider prices of similar assets, consult with brokers or employ other valuation techniques. The Company will also discount the estimated future cash flows associated with the asset using a single interest rate representative of the risk involved with such an investment or asset. The use of these methods involves the same inherent uncertainty of future cash flows as previously discussed with respect to undiscounted cash flows. Actual future market prices and project costs could vary from those used in NRG's estimates and the impact of such variations could be material.</w:t>
      </w:r>
    </w:p>
    <w:p>
      <w:pPr>
        <w:spacing w:after="0" w:line="93"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9"/>
          <w:szCs w:val="19"/>
          <w:color w:val="auto"/>
        </w:rPr>
        <w:t>Annually, during the fourth quarter, the Company revises its views of power and fuel prices including the Company's fundamental view for long-term prices, forecasted generation and operating and capital expenditures, in connection with the preparation of its annual budget. Changes to the Company's views of long-term power and fuel prices impact the Company’s projections of profitability, based on management's estimate of supply and demand within the sub-markets for its operations and the physical and economic characteristics of each of its businesses.</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For further discussion, see Item 15 — Note 10</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Asset Impairments</w:t>
      </w:r>
      <w:r>
        <w:rPr>
          <w:rFonts w:ascii="Arial" w:cs="Arial" w:eastAsia="Arial" w:hAnsi="Arial"/>
          <w:sz w:val="20"/>
          <w:szCs w:val="20"/>
          <w:color w:val="auto"/>
        </w:rPr>
        <w:t>.</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Goodwill and Other Intangible Assets</w:t>
      </w:r>
    </w:p>
    <w:p>
      <w:pPr>
        <w:spacing w:after="0" w:line="124" w:lineRule="exact"/>
        <w:rPr>
          <w:sz w:val="20"/>
          <w:szCs w:val="20"/>
          <w:color w:val="auto"/>
        </w:rPr>
      </w:pPr>
    </w:p>
    <w:p>
      <w:pPr>
        <w:jc w:val="both"/>
        <w:ind w:firstLine="445"/>
        <w:spacing w:after="0" w:line="304" w:lineRule="auto"/>
        <w:rPr>
          <w:sz w:val="20"/>
          <w:szCs w:val="20"/>
          <w:color w:val="auto"/>
        </w:rPr>
      </w:pPr>
      <w:r>
        <w:rPr>
          <w:rFonts w:ascii="Arial" w:cs="Arial" w:eastAsia="Arial" w:hAnsi="Arial"/>
          <w:sz w:val="19"/>
          <w:szCs w:val="19"/>
          <w:color w:val="auto"/>
        </w:rPr>
        <w:t>At December 31, 2024, the Company reported goodwill of $5.0 billion, consisting of $3.5 billion from the acquisition of Vivint in 2023, $1.2 billion from the acquisition of Direct Energy in 2021 and $0.3 billion from other retail acquisitions.</w:t>
      </w:r>
    </w:p>
    <w:p>
      <w:pPr>
        <w:spacing w:after="0" w:line="37" w:lineRule="exact"/>
        <w:rPr>
          <w:sz w:val="20"/>
          <w:szCs w:val="20"/>
          <w:color w:val="auto"/>
        </w:rPr>
      </w:pPr>
    </w:p>
    <w:p>
      <w:pPr>
        <w:jc w:val="both"/>
        <w:ind w:firstLine="445"/>
        <w:spacing w:after="0" w:line="281" w:lineRule="auto"/>
        <w:rPr>
          <w:sz w:val="20"/>
          <w:szCs w:val="20"/>
          <w:color w:val="auto"/>
        </w:rPr>
      </w:pPr>
      <w:r>
        <w:rPr>
          <w:rFonts w:ascii="Arial" w:cs="Arial" w:eastAsia="Arial" w:hAnsi="Arial"/>
          <w:sz w:val="18"/>
          <w:szCs w:val="18"/>
          <w:color w:val="auto"/>
        </w:rPr>
        <w:t xml:space="preserve">The Company applies ASC 805, </w:t>
      </w:r>
      <w:r>
        <w:rPr>
          <w:rFonts w:ascii="Arial" w:cs="Arial" w:eastAsia="Arial" w:hAnsi="Arial"/>
          <w:sz w:val="18"/>
          <w:szCs w:val="18"/>
          <w:b w:val="1"/>
          <w:bCs w:val="1"/>
          <w:i w:val="1"/>
          <w:iCs w:val="1"/>
          <w:color w:val="auto"/>
        </w:rPr>
        <w:t>Business Combinations</w:t>
      </w:r>
      <w:r>
        <w:rPr>
          <w:rFonts w:ascii="Arial" w:cs="Arial" w:eastAsia="Arial" w:hAnsi="Arial"/>
          <w:sz w:val="18"/>
          <w:szCs w:val="18"/>
          <w:color w:val="auto"/>
        </w:rPr>
        <w:t xml:space="preserve"> ("ASC 805"), and ASC 350, </w:t>
      </w:r>
      <w:r>
        <w:rPr>
          <w:rFonts w:ascii="Arial" w:cs="Arial" w:eastAsia="Arial" w:hAnsi="Arial"/>
          <w:sz w:val="18"/>
          <w:szCs w:val="18"/>
          <w:b w:val="1"/>
          <w:bCs w:val="1"/>
          <w:i w:val="1"/>
          <w:iCs w:val="1"/>
          <w:color w:val="auto"/>
        </w:rPr>
        <w:t>Intangibles-Goodwill and Other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color w:val="auto"/>
        </w:rPr>
        <w:t>ASC 350") to account for its goodwill and intangible assets. Under these standards, the Company amortizes all finite-lived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intangible assets over their respective estimated weighted-average useful lives. Goodwill has an indefinite life and is not amortized. Goodwill is tested for impairment at least annually, or more frequently whenever an event or change in circumstances occurs that would more likely than not reduce the fair value of a reporting unit below its carrying amount. The Company tests goodwill for impairment at the reporting unit level, which is identified by assessing whether the components of the Company's operating segments constitute businesses for which discrete financial information is available and whether segment management regularly reviews the operating results of those components. The Company performs the annual goodwill impairment assessment as of December 31 or when events or changes in circumstances indicate that the fair value of the reporting unit may be below the carrying amount. The Company may first assess qualitative factors to determine whether it is more likely than not that an impairment has occurred. In the absence of sufficient qualitative factors, the Company performs a</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880" w:h="15480" w:orient="portrait"/>
          <w:cols w:equalWidth="0" w:num="1">
            <w:col w:w="10160"/>
          </w:cols>
          <w:pgMar w:left="860" w:top="505" w:right="860" w:bottom="0" w:gutter="0" w:footer="0" w:header="0"/>
          <w:type w:val="continuous"/>
        </w:sectPr>
      </w:pPr>
    </w:p>
    <w:bookmarkStart w:id="77" w:name="page78"/>
    <w:bookmarkEnd w:id="77"/>
    <w:p>
      <w:pPr>
        <w:jc w:val="both"/>
        <w:spacing w:after="0" w:line="335" w:lineRule="auto"/>
        <w:rPr>
          <w:sz w:val="20"/>
          <w:szCs w:val="20"/>
          <w:color w:val="auto"/>
        </w:rPr>
      </w:pPr>
      <w:r>
        <w:rPr>
          <w:rFonts w:ascii="Arial" w:cs="Arial" w:eastAsia="Arial" w:hAnsi="Arial"/>
          <w:sz w:val="18"/>
          <w:szCs w:val="18"/>
          <w:color w:val="auto"/>
        </w:rPr>
        <w:t>quantitative assessment by determining the fair value of the reporting unit and comparing to its book value. If it is determined that the fair value of a reporting unit is below its carrying amount, the Company's goodwill will be impaired at that time.</w:t>
      </w:r>
    </w:p>
    <w:p>
      <w:pPr>
        <w:spacing w:after="0" w:line="16"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Fair value determinations require considerable judgment and are sensitive to changes in underlying assumptions and factors. As a result, there can be no assurance that the estimates and assumptions made for purposes of the annual goodwill impairment test will prove to be accurate predictions of the future.</w:t>
      </w:r>
    </w:p>
    <w:p>
      <w:pPr>
        <w:spacing w:after="0" w:line="75" w:lineRule="exact"/>
        <w:rPr>
          <w:sz w:val="20"/>
          <w:szCs w:val="20"/>
          <w:color w:val="auto"/>
        </w:rPr>
      </w:pPr>
    </w:p>
    <w:p>
      <w:pPr>
        <w:jc w:val="both"/>
        <w:ind w:firstLine="445"/>
        <w:spacing w:after="0" w:line="281" w:lineRule="auto"/>
        <w:rPr>
          <w:sz w:val="20"/>
          <w:szCs w:val="20"/>
          <w:color w:val="auto"/>
        </w:rPr>
      </w:pPr>
      <w:r>
        <w:rPr>
          <w:rFonts w:ascii="Arial" w:cs="Arial" w:eastAsia="Arial" w:hAnsi="Arial"/>
          <w:sz w:val="20"/>
          <w:szCs w:val="20"/>
          <w:color w:val="auto"/>
        </w:rPr>
        <w:t xml:space="preserve">For further discussion, see </w:t>
      </w:r>
      <w:r>
        <w:rPr>
          <w:rFonts w:ascii="Arial" w:cs="Arial" w:eastAsia="Arial" w:hAnsi="Arial"/>
          <w:sz w:val="20"/>
          <w:szCs w:val="20"/>
          <w:b w:val="1"/>
          <w:bCs w:val="1"/>
          <w:i w:val="1"/>
          <w:iCs w:val="1"/>
          <w:color w:val="auto"/>
        </w:rPr>
        <w:t>Evaluation of Assets for Impairment</w:t>
      </w:r>
      <w:r>
        <w:rPr>
          <w:rFonts w:ascii="Arial" w:cs="Arial" w:eastAsia="Arial" w:hAnsi="Arial"/>
          <w:sz w:val="20"/>
          <w:szCs w:val="20"/>
          <w:color w:val="auto"/>
        </w:rPr>
        <w:t xml:space="preserve"> caption above, and Item 15 — Note 10</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Asset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Impairments</w:t>
      </w:r>
      <w:r>
        <w:rPr>
          <w:rFonts w:ascii="Arial" w:cs="Arial" w:eastAsia="Arial" w:hAnsi="Arial"/>
          <w:sz w:val="20"/>
          <w:szCs w:val="20"/>
          <w:color w:val="auto"/>
        </w:rPr>
        <w:t>.</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Business Combinations</w:t>
      </w:r>
    </w:p>
    <w:p>
      <w:pPr>
        <w:spacing w:after="0" w:line="134"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9"/>
          <w:szCs w:val="19"/>
          <w:color w:val="auto"/>
        </w:rPr>
        <w:t xml:space="preserve">NRG accounts for business acquisitions using the acquisition method of accounting prescribed under ASC 805. Under this method, the Company is required to record on its Consolidated Balance Sheets the estimated fair values of the acquired company’s assets and liabilities assumed at the acquisition date. The excess of the consideration transferred over the fair value of the net identifiable assets acquired and liabilities assumed is recorded as goodwill. Determining fair values of assets acquired and liabilities assumed requires significant estimates and judgments. Fair value is determined based on the estimated price that would be received to sell an asset or paid to transfer a liability in an orderly transaction between market participants at the measurement date. The acquired assets and assumed liabilities from the Vivint Smart Home acquisition that involved the most subjectivity in determining fair value consisted of customer relationships, developed technology, trade names, acquired debt and derivative instruments. NRG describes in detail its acquisitions in Item 15 — Note 4, </w:t>
      </w:r>
      <w:r>
        <w:rPr>
          <w:rFonts w:ascii="Arial" w:cs="Arial" w:eastAsia="Arial" w:hAnsi="Arial"/>
          <w:sz w:val="19"/>
          <w:szCs w:val="19"/>
          <w:b w:val="1"/>
          <w:bCs w:val="1"/>
          <w:i w:val="1"/>
          <w:iCs w:val="1"/>
          <w:color w:val="auto"/>
        </w:rPr>
        <w:t>Acquisitions and Dispositions</w:t>
      </w:r>
      <w:r>
        <w:rPr>
          <w:rFonts w:ascii="Arial" w:cs="Arial" w:eastAsia="Arial" w:hAnsi="Arial"/>
          <w:sz w:val="19"/>
          <w:szCs w:val="19"/>
          <w:color w:val="auto"/>
        </w:rPr>
        <w:t>, to the Consolidated Financial Statements.</w:t>
      </w:r>
    </w:p>
    <w:p>
      <w:pPr>
        <w:spacing w:after="0" w:line="82" w:lineRule="exact"/>
        <w:rPr>
          <w:sz w:val="20"/>
          <w:szCs w:val="20"/>
          <w:color w:val="auto"/>
        </w:rPr>
      </w:pPr>
    </w:p>
    <w:p>
      <w:pPr>
        <w:jc w:val="both"/>
        <w:ind w:firstLine="445"/>
        <w:spacing w:after="0" w:line="295" w:lineRule="auto"/>
        <w:rPr>
          <w:sz w:val="20"/>
          <w:szCs w:val="20"/>
          <w:color w:val="auto"/>
        </w:rPr>
      </w:pPr>
      <w:r>
        <w:rPr>
          <w:rFonts w:ascii="Arial" w:cs="Arial" w:eastAsia="Arial" w:hAnsi="Arial"/>
          <w:sz w:val="18"/>
          <w:szCs w:val="18"/>
          <w:color w:val="auto"/>
        </w:rPr>
        <w:t>The fair value of the customer relationships, technology and trade names are measured using income-based valuation methodologies, which include certain assumptions such as forecasted future cash flows, customer attrition rates, royalty rates and discount rates. Customer relationships and technology are amortized to depreciation and amortization, ratably based on discounted future cash flows. Trade names are amortized to depreciation and amortization, on a straight line basis.</w:t>
      </w:r>
    </w:p>
    <w:p>
      <w:pPr>
        <w:spacing w:after="0" w:line="52"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9"/>
          <w:szCs w:val="19"/>
          <w:color w:val="auto"/>
        </w:rPr>
        <w:t xml:space="preserve">The acquired Vivint Smart Home debt was measured at fair value using observable market inputs based on interest rates at the acquisition closing date. The difference between the fair value at the acquisition closing date and the principal outstanding was being amortized through interest expense over the remaining term of the debt. On October 30, 2024, the Company repaid in full the outstanding Vivint Term Loans and terminated the revolving credit facility under the Vivint Credit Agreement. For further discussion, see Item 15 — Note 12, </w:t>
      </w:r>
      <w:r>
        <w:rPr>
          <w:rFonts w:ascii="Arial" w:cs="Arial" w:eastAsia="Arial" w:hAnsi="Arial"/>
          <w:sz w:val="19"/>
          <w:szCs w:val="19"/>
          <w:b w:val="1"/>
          <w:bCs w:val="1"/>
          <w:i w:val="1"/>
          <w:iCs w:val="1"/>
          <w:color w:val="auto"/>
        </w:rPr>
        <w:t>Long-term Debt and Finance Leases.</w:t>
      </w:r>
    </w:p>
    <w:p>
      <w:pPr>
        <w:spacing w:after="0" w:line="69"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8"/>
          <w:szCs w:val="18"/>
          <w:color w:val="auto"/>
        </w:rPr>
        <w:t>The derivative liabilities in connection with the contractual future payment obligations with the financing providers under Vivint Smart Home’s Consumer Financing Program were measured at fair value at the acquisition closing date using a discounted cash flow model, with inputs consisting of available market data, such as market yield discount rates, as well as unobservable internally derived assumptions, such as collateral prepayment rates, collateral default rates and credit loss rates. Changes to the fair value are recorded each period through other income, net in the consolidated statement of operations.</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Contingencies</w:t>
      </w:r>
    </w:p>
    <w:p>
      <w:pPr>
        <w:spacing w:after="0" w:line="13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 xml:space="preserve">NRG records reserves for estimated losses from contingencies when information available indicates that a loss is probable and the amount of the loss, or range of loss, can be reasonably estimated. Gain contingencies are not recorded until management determines it is certain that the future event will become or does become a reality. Such determinations are subject to interpretations of current facts and circumstances, forecasts of future events, and estimates of the financial impacts of such events. NRG describes in detail its contingencies in Item 15 — Note 22, </w:t>
      </w:r>
      <w:r>
        <w:rPr>
          <w:rFonts w:ascii="Arial" w:cs="Arial" w:eastAsia="Arial" w:hAnsi="Arial"/>
          <w:sz w:val="20"/>
          <w:szCs w:val="20"/>
          <w:b w:val="1"/>
          <w:bCs w:val="1"/>
          <w:i w:val="1"/>
          <w:iCs w:val="1"/>
          <w:color w:val="auto"/>
        </w:rPr>
        <w:t>Commitments and Contingencies,</w:t>
      </w:r>
      <w:r>
        <w:rPr>
          <w:rFonts w:ascii="Arial" w:cs="Arial" w:eastAsia="Arial" w:hAnsi="Arial"/>
          <w:sz w:val="20"/>
          <w:szCs w:val="20"/>
          <w:color w:val="auto"/>
        </w:rPr>
        <w:t xml:space="preserve"> to the Consolidated Financial Statements.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Recent Accounting Developments</w:t>
      </w:r>
    </w:p>
    <w:p>
      <w:pPr>
        <w:spacing w:after="0" w:line="130" w:lineRule="exact"/>
        <w:rPr>
          <w:sz w:val="20"/>
          <w:szCs w:val="20"/>
          <w:color w:val="auto"/>
        </w:rPr>
      </w:pPr>
    </w:p>
    <w:p>
      <w:pPr>
        <w:jc w:val="both"/>
        <w:ind w:firstLine="445"/>
        <w:spacing w:after="0" w:line="281" w:lineRule="auto"/>
        <w:rPr>
          <w:sz w:val="20"/>
          <w:szCs w:val="20"/>
          <w:color w:val="auto"/>
        </w:rPr>
      </w:pPr>
      <w:r>
        <w:rPr>
          <w:rFonts w:ascii="Arial" w:cs="Arial" w:eastAsia="Arial" w:hAnsi="Arial"/>
          <w:sz w:val="20"/>
          <w:szCs w:val="20"/>
          <w:color w:val="auto"/>
        </w:rPr>
        <w:t xml:space="preserve">See Item 15 — Note 2, </w:t>
      </w:r>
      <w:r>
        <w:rPr>
          <w:rFonts w:ascii="Arial" w:cs="Arial" w:eastAsia="Arial" w:hAnsi="Arial"/>
          <w:sz w:val="20"/>
          <w:szCs w:val="20"/>
          <w:b w:val="1"/>
          <w:bCs w:val="1"/>
          <w:i w:val="1"/>
          <w:iCs w:val="1"/>
          <w:color w:val="auto"/>
        </w:rPr>
        <w:t>Summary of Significant Accounting Policies,</w:t>
      </w:r>
      <w:r>
        <w:rPr>
          <w:rFonts w:ascii="Arial" w:cs="Arial" w:eastAsia="Arial" w:hAnsi="Arial"/>
          <w:sz w:val="20"/>
          <w:szCs w:val="20"/>
          <w:color w:val="auto"/>
        </w:rPr>
        <w:t xml:space="preserve"> to the Consolidated Financial Statements for a discussion of recent accounting developments.</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880" w:h="15480" w:orient="portrait"/>
          <w:cols w:equalWidth="0" w:num="1">
            <w:col w:w="10160"/>
          </w:cols>
          <w:pgMar w:left="860" w:top="512" w:right="860" w:bottom="0" w:gutter="0" w:footer="0" w:header="0"/>
          <w:type w:val="continuous"/>
        </w:sectPr>
      </w:pPr>
    </w:p>
    <w:bookmarkStart w:id="78" w:name="page79"/>
    <w:bookmarkEnd w:id="78"/>
    <w:p>
      <w:pPr>
        <w:spacing w:after="0"/>
        <w:rPr>
          <w:sz w:val="20"/>
          <w:szCs w:val="20"/>
          <w:color w:val="auto"/>
        </w:rPr>
      </w:pPr>
      <w:r>
        <w:rPr>
          <w:rFonts w:ascii="Arial" w:cs="Arial" w:eastAsia="Arial" w:hAnsi="Arial"/>
          <w:sz w:val="20"/>
          <w:szCs w:val="20"/>
          <w:b w:val="1"/>
          <w:bCs w:val="1"/>
          <w:color w:val="auto"/>
        </w:rPr>
        <w:t>Item 7A — Quantitative and Qualitative Disclosures About Market Risk</w:t>
      </w:r>
    </w:p>
    <w:p>
      <w:pPr>
        <w:spacing w:after="0" w:line="13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color w:val="auto"/>
        </w:rPr>
        <w:t>NRG is exposed to several market risks in the Company's normal business activities. Market risk is the potential loss that may result from market changes associated with the Company's retail operations, merchant power generation, or with an existing or forecasted financial or commodity transactions. The types of market risks the Company is exposed to are commodity price risk, credit risk, liquidity risk, interest rate risk and currency exchange risk. In order to manage these risks, the Company uses various fixed-price forward purchase and sales contracts, futures and option contracts traded on NYMEX and other exchanges, and swaps and options traded in the over-the-counter financial markets to:</w:t>
      </w:r>
    </w:p>
    <w:p>
      <w:pPr>
        <w:spacing w:after="0" w:line="75" w:lineRule="exact"/>
        <w:rPr>
          <w:sz w:val="20"/>
          <w:szCs w:val="20"/>
          <w:color w:val="auto"/>
        </w:rPr>
      </w:pPr>
    </w:p>
    <w:p>
      <w:pPr>
        <w:ind w:left="720" w:hanging="362"/>
        <w:spacing w:after="0"/>
        <w:tabs>
          <w:tab w:leader="none" w:pos="7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Manage and hedge fixed-price purchase and sales commitments;</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Reduce exposure to the volatility of cash market prices; and</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Hedge fuel requirements for the Company's generating facilities.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Commodity Price Risk</w:t>
      </w:r>
    </w:p>
    <w:p>
      <w:pPr>
        <w:spacing w:after="0" w:line="134" w:lineRule="exact"/>
        <w:rPr>
          <w:sz w:val="20"/>
          <w:szCs w:val="20"/>
          <w:color w:val="auto"/>
        </w:rPr>
      </w:pPr>
    </w:p>
    <w:p>
      <w:pPr>
        <w:jc w:val="both"/>
        <w:ind w:firstLine="445"/>
        <w:spacing w:after="0" w:line="280" w:lineRule="auto"/>
        <w:rPr>
          <w:sz w:val="20"/>
          <w:szCs w:val="20"/>
          <w:color w:val="auto"/>
        </w:rPr>
      </w:pPr>
      <w:r>
        <w:rPr>
          <w:rFonts w:ascii="Arial" w:cs="Arial" w:eastAsia="Arial" w:hAnsi="Arial"/>
          <w:sz w:val="18"/>
          <w:szCs w:val="18"/>
          <w:color w:val="auto"/>
        </w:rPr>
        <w:t>Commodity price risks result from exposures to changes in spot prices, forward prices, volatilities, and correlations between various commodities, such as natural gas, electricity, coal, oil, and emissions credits. NRG manages the commodity price risk of the Company's load servicing obligations and merchant generation operations by entering into various derivative or non-derivative instruments to hedge the variability in future cash flows from forecasted sales and purchases of power and fuel. NRG measures the risk of the Company's portfolio using several analytical methods, including sensitivity tests, scenario tests, stress tests, position reports and VaR. NRG uses a Monte Carlo simulation based VaR model to estimate the potential loss in the fair value of its energy assets and liabilities, which includes generation assets, gas transportation and storage assets, load obligations and bilateral physical and financial transactions, based on historical and forward values for factors such as customer demand, weather, commodity availability and commodity prices. The Company's VaR model is based on a one-day holding period at a 95% confidence interval for the forward 36 months, not including the spot month. The VaR model is not a complete picture of all risks that may affect the Company's results. Certain events such as counterparty defaults, regulatory changes, and extreme weather and prices that deviate significantly from historically observed values are not reflected in the model.</w:t>
      </w:r>
    </w:p>
    <w:p>
      <w:pPr>
        <w:spacing w:after="0" w:line="7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The following table summarizes average, maximum and minimum VaR for NRG's commodity portfolio, calculated using the VaR model for the years ended December 31, 2024 and 2023:</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7500" w:type="dxa"/>
            <w:vAlign w:val="bottom"/>
          </w:tcPr>
          <w:p>
            <w:pPr>
              <w:jc w:val="right"/>
              <w:ind w:right="6564"/>
              <w:spacing w:after="0"/>
              <w:rPr>
                <w:sz w:val="20"/>
                <w:szCs w:val="20"/>
                <w:color w:val="auto"/>
              </w:rPr>
            </w:pPr>
            <w:r>
              <w:rPr>
                <w:rFonts w:ascii="Arial" w:cs="Arial" w:eastAsia="Arial" w:hAnsi="Arial"/>
                <w:sz w:val="16"/>
                <w:szCs w:val="16"/>
                <w:b w:val="1"/>
                <w:bCs w:val="1"/>
                <w:color w:val="auto"/>
                <w:w w:val="91"/>
              </w:rPr>
              <w:t>(In millions)</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43"/>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43"/>
              <w:spacing w:after="0"/>
              <w:rPr>
                <w:sz w:val="20"/>
                <w:szCs w:val="20"/>
                <w:color w:val="auto"/>
              </w:rPr>
            </w:pPr>
            <w:r>
              <w:rPr>
                <w:rFonts w:ascii="Arial" w:cs="Arial" w:eastAsia="Arial" w:hAnsi="Arial"/>
                <w:sz w:val="18"/>
                <w:szCs w:val="18"/>
                <w:b w:val="1"/>
                <w:bCs w:val="1"/>
                <w:color w:val="auto"/>
              </w:rPr>
              <w:t>2023</w:t>
            </w:r>
          </w:p>
        </w:tc>
      </w:tr>
      <w:tr>
        <w:trPr>
          <w:trHeight w:val="277"/>
        </w:trPr>
        <w:tc>
          <w:tcPr>
            <w:tcW w:w="750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VaR as of December 31, </w:t>
            </w:r>
            <w:r>
              <w:rPr>
                <w:rFonts w:ascii="Arial" w:cs="Arial" w:eastAsia="Arial" w:hAnsi="Arial"/>
                <w:sz w:val="20"/>
                <w:szCs w:val="20"/>
                <w:b w:val="1"/>
                <w:bCs w:val="1"/>
                <w:color w:val="B4B4B4"/>
                <w:w w:val="89"/>
              </w:rPr>
              <w:t>. . . . . . . . . . . . . . . . . . . . . . . . . . . . . . . . . . . . . . . . . . . . . . . . . . . . . .</w:t>
            </w: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71</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75"/>
        </w:trPr>
        <w:tc>
          <w:tcPr>
            <w:tcW w:w="7500" w:type="dxa"/>
            <w:vAlign w:val="bottom"/>
          </w:tcPr>
          <w:p>
            <w:pPr>
              <w:jc w:val="right"/>
              <w:ind w:right="4764"/>
              <w:spacing w:after="0"/>
              <w:rPr>
                <w:sz w:val="20"/>
                <w:szCs w:val="20"/>
                <w:color w:val="auto"/>
              </w:rPr>
            </w:pPr>
            <w:r>
              <w:rPr>
                <w:rFonts w:ascii="Arial" w:cs="Arial" w:eastAsia="Arial" w:hAnsi="Arial"/>
                <w:sz w:val="20"/>
                <w:szCs w:val="20"/>
                <w:color w:val="auto"/>
                <w:w w:val="87"/>
              </w:rPr>
              <w:t>For the year ended December 31,</w:t>
            </w: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0"/>
              </w:rPr>
              <w:t xml:space="preserve">Average </w:t>
            </w:r>
            <w:r>
              <w:rPr>
                <w:rFonts w:ascii="Arial" w:cs="Arial" w:eastAsia="Arial" w:hAnsi="Arial"/>
                <w:sz w:val="20"/>
                <w:szCs w:val="20"/>
                <w:color w:val="B4B4B4"/>
                <w:w w:val="90"/>
              </w:rPr>
              <w:t>. . . . . . . . . . . . . . . . . . . . . . . . . . . . . . . . . . . . . . . . . . . . . . . . . . . . . . . . . . . . . . . . . . .</w:t>
            </w: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61</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1"/>
              </w:rPr>
              <w:t xml:space="preserve">Maximum </w:t>
            </w:r>
            <w:r>
              <w:rPr>
                <w:rFonts w:ascii="Arial" w:cs="Arial" w:eastAsia="Arial" w:hAnsi="Arial"/>
                <w:sz w:val="20"/>
                <w:szCs w:val="20"/>
                <w:color w:val="B4B4B4"/>
                <w:w w:val="91"/>
              </w:rPr>
              <w:t>. . . . . . . . . . . . . . . . . . . . . . . . . . . . . . . . . . . . . . . . . . . . . . . . . . . . . . . . . . . . . . . . .</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1"/>
              </w:rPr>
              <w:t xml:space="preserve">Minimum  </w:t>
            </w:r>
            <w:r>
              <w:rPr>
                <w:rFonts w:ascii="Arial" w:cs="Arial" w:eastAsia="Arial" w:hAnsi="Arial"/>
                <w:sz w:val="20"/>
                <w:szCs w:val="20"/>
                <w:color w:val="B4B4B4"/>
                <w:w w:val="91"/>
              </w:rPr>
              <w:t>. . . . . . . . . . . . . . . . . . . . . . . . . . . . . . . . . . . . . . . . . . . . . . . . . . . . . . . . . . . . . . . . .</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-947420</wp:posOffset>
            </wp:positionV>
            <wp:extent cx="6456680" cy="9683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6">
                      <a:extLst>
                        <a:ext uri="{28A0092B-C50C-407E-A947-70E740481C1C}"/>
                      </a:extLst>
                    </a:blip>
                    <a:srcRect/>
                    <a:stretch>
                      <a:fillRect/>
                    </a:stretch>
                  </pic:blipFill>
                  <pic:spPr bwMode="auto">
                    <a:xfrm>
                      <a:off x="0" y="0"/>
                      <a:ext cx="6456680" cy="968375"/>
                    </a:xfrm>
                    <a:prstGeom prst="rect">
                      <a:avLst/>
                    </a:prstGeom>
                    <a:noFill/>
                  </pic:spPr>
                </pic:pic>
              </a:graphicData>
            </a:graphic>
          </wp:anchor>
        </w:drawing>
      </w:r>
    </w:p>
    <w:p>
      <w:pPr>
        <w:spacing w:after="0" w:line="22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The Company also uses VaR to estimate the potential loss of derivative financial instruments that are subject to mark-to-market accounting. These derivative instruments include transactions that were entered into for both asset management and trading purposes. The VaR for the derivative financial instruments calculated using the diversified VaR model for the entire term of these instruments entered into for both asset management and trading was $142 million as of December 31, 2024, primarily driven by asset-backed transactions.</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Credit Risk</w:t>
      </w:r>
    </w:p>
    <w:p>
      <w:pPr>
        <w:spacing w:after="0" w:line="13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 xml:space="preserve">Credit risk relates to the risk of loss resulting from non-performance or non-payment by counterparties pursuant to the terms of their contractual obligations. NRG is exposed to counterparty credit risk through various activities including wholesale sales, fuel purchases and retail supply arrangements, and retail customer credit risk through its retail load activities. Counterparty credit risk and retail customer credit risk are discussed below. See Item 15 — Note 6, </w:t>
      </w:r>
      <w:r>
        <w:rPr>
          <w:rFonts w:ascii="Arial" w:cs="Arial" w:eastAsia="Arial" w:hAnsi="Arial"/>
          <w:sz w:val="20"/>
          <w:szCs w:val="20"/>
          <w:b w:val="1"/>
          <w:bCs w:val="1"/>
          <w:i w:val="1"/>
          <w:iCs w:val="1"/>
          <w:color w:val="auto"/>
        </w:rPr>
        <w:t>Accounting for Derivative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Instruments and Hedging Activities</w:t>
      </w:r>
      <w:r>
        <w:rPr>
          <w:rFonts w:ascii="Arial" w:cs="Arial" w:eastAsia="Arial" w:hAnsi="Arial"/>
          <w:sz w:val="20"/>
          <w:szCs w:val="20"/>
          <w:color w:val="auto"/>
        </w:rPr>
        <w:t>, to this Annual Report on Form 10-K for discussion regarding credit risk contingent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features.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Counterparty Credit Risk</w:t>
      </w:r>
    </w:p>
    <w:p>
      <w:pPr>
        <w:spacing w:after="0" w:line="134"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8"/>
          <w:szCs w:val="18"/>
          <w:color w:val="auto"/>
        </w:rPr>
        <w:t>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a daily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880" w:h="15480" w:orient="portrait"/>
          <w:cols w:equalWidth="0" w:num="1">
            <w:col w:w="10160"/>
          </w:cols>
          <w:pgMar w:left="860" w:top="505" w:right="860" w:bottom="0" w:gutter="0" w:footer="0" w:header="0"/>
          <w:type w:val="continuous"/>
        </w:sectPr>
      </w:pPr>
    </w:p>
    <w:bookmarkStart w:id="79" w:name="page80"/>
    <w:bookmarkEnd w:id="79"/>
    <w:p>
      <w:pPr>
        <w:jc w:val="both"/>
        <w:spacing w:after="0" w:line="262" w:lineRule="auto"/>
        <w:rPr>
          <w:sz w:val="20"/>
          <w:szCs w:val="20"/>
          <w:color w:val="auto"/>
        </w:rPr>
      </w:pPr>
      <w:r>
        <w:rPr>
          <w:rFonts w:ascii="Arial" w:cs="Arial" w:eastAsia="Arial" w:hAnsi="Arial"/>
          <w:sz w:val="20"/>
          <w:szCs w:val="20"/>
          <w:color w:val="auto"/>
        </w:rPr>
        <w:t>portfolio of counterparties. The Company also has credit protection within various agreements to call on additional collateral support if and when necessary. Cash margin is collected and held at the Company to cover the credit risk of the counterparty until positions settle.</w:t>
      </w:r>
    </w:p>
    <w:p>
      <w:pPr>
        <w:spacing w:after="0" w:line="78"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9"/>
          <w:szCs w:val="19"/>
          <w:color w:val="auto"/>
        </w:rPr>
        <w:t>As of December 31, 2024, counterparty credit exposure, excluding credit exposure from RTOs, ISOs, registered commodity exchanges and certain long-term agreements, was $1.7 billion, of which the Company held collateral (cash and letters of credit) against those positions of $288 million resulting in a net exposure of $1.5 billion. NRG periodically receives collateral from counterparties in excess of their exposure. Collateral amounts shown include such excess while net exposure shown excludes excess collateral received. Approximately 69% of the Company's exposure before collateral is expected to roll off by the end of 2026. The following table highlights the net counterparty credit exposure by industry sector and by counterparty credit quality. Net counterparty credit exposure is defined as the aggregate net asset position for NRG with counterparties where netting is permitted under the enabling agreement and includes all cash flow, mark-to-market, NPNS, and non-derivative transactions. As of December 31, 2024, the aggregate credit exposure is shown net of collateral held, and includes amounts net of receivables or payables.</w:t>
      </w:r>
    </w:p>
    <w:p>
      <w:pPr>
        <w:spacing w:after="0" w:line="2" w:lineRule="exact"/>
        <w:rPr>
          <w:sz w:val="20"/>
          <w:szCs w:val="20"/>
          <w:color w:val="auto"/>
        </w:rPr>
      </w:pPr>
    </w:p>
    <w:p>
      <w:pPr>
        <w:ind w:left="8760"/>
        <w:spacing w:after="0"/>
        <w:rPr>
          <w:sz w:val="20"/>
          <w:szCs w:val="20"/>
          <w:color w:val="auto"/>
        </w:rPr>
      </w:pPr>
      <w:r>
        <w:rPr>
          <w:rFonts w:ascii="Arial" w:cs="Arial" w:eastAsia="Arial" w:hAnsi="Arial"/>
          <w:sz w:val="15"/>
          <w:szCs w:val="15"/>
          <w:b w:val="1"/>
          <w:bCs w:val="1"/>
          <w:color w:val="auto"/>
        </w:rPr>
        <w:t xml:space="preserve">Net Exposure </w:t>
      </w:r>
      <w:r>
        <w:rPr>
          <w:rFonts w:ascii="Arial" w:cs="Arial" w:eastAsia="Arial" w:hAnsi="Arial"/>
          <w:sz w:val="19"/>
          <w:szCs w:val="19"/>
          <w:b w:val="1"/>
          <w:bCs w:val="1"/>
          <w:color w:val="auto"/>
          <w:vertAlign w:val="superscript"/>
        </w:rPr>
        <w:t>(a) (b)</w:t>
      </w:r>
    </w:p>
    <w:p>
      <w:pPr>
        <w:ind w:left="60"/>
        <w:spacing w:after="0"/>
        <w:tabs>
          <w:tab w:leader="none" w:pos="8940" w:val="left"/>
        </w:tabs>
        <w:rPr>
          <w:sz w:val="20"/>
          <w:szCs w:val="20"/>
          <w:color w:val="auto"/>
        </w:rPr>
      </w:pPr>
      <w:r>
        <w:rPr>
          <w:rFonts w:ascii="Arial" w:cs="Arial" w:eastAsia="Arial" w:hAnsi="Arial"/>
          <w:sz w:val="16"/>
          <w:szCs w:val="16"/>
          <w:b w:val="1"/>
          <w:bCs w:val="1"/>
          <w:u w:val="single" w:color="auto"/>
          <w:color w:val="auto"/>
        </w:rPr>
        <w:t>Category</w:t>
      </w:r>
      <w:r>
        <w:rPr>
          <w:sz w:val="20"/>
          <w:szCs w:val="20"/>
          <w:color w:val="auto"/>
        </w:rPr>
        <w:tab/>
      </w:r>
      <w:r>
        <w:rPr>
          <w:rFonts w:ascii="Arial" w:cs="Arial" w:eastAsia="Arial" w:hAnsi="Arial"/>
          <w:sz w:val="15"/>
          <w:szCs w:val="15"/>
          <w:b w:val="1"/>
          <w:bCs w:val="1"/>
          <w:color w:val="auto"/>
        </w:rPr>
        <w:t>(% of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wp:posOffset>
            </wp:positionV>
            <wp:extent cx="6456680" cy="6038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7">
                      <a:extLst>
                        <a:ext uri="{28A0092B-C50C-407E-A947-70E740481C1C}"/>
                      </a:extLst>
                    </a:blip>
                    <a:srcRect/>
                    <a:stretch>
                      <a:fillRect/>
                    </a:stretch>
                  </pic:blipFill>
                  <pic:spPr bwMode="auto">
                    <a:xfrm>
                      <a:off x="0" y="0"/>
                      <a:ext cx="6456680" cy="603885"/>
                    </a:xfrm>
                    <a:prstGeom prst="rect">
                      <a:avLst/>
                    </a:prstGeom>
                    <a:noFill/>
                  </pic:spPr>
                </pic:pic>
              </a:graphicData>
            </a:graphic>
          </wp:anchor>
        </w:drawing>
      </w:r>
    </w:p>
    <w:p>
      <w:pPr>
        <w:spacing w:after="0" w:line="27" w:lineRule="exact"/>
        <w:rPr>
          <w:sz w:val="20"/>
          <w:szCs w:val="20"/>
          <w:color w:val="auto"/>
        </w:rPr>
      </w:pPr>
    </w:p>
    <w:p>
      <w:pPr>
        <w:ind w:left="60"/>
        <w:spacing w:after="0"/>
        <w:tabs>
          <w:tab w:leader="none" w:pos="9660" w:val="left"/>
        </w:tabs>
        <w:rPr>
          <w:sz w:val="20"/>
          <w:szCs w:val="20"/>
          <w:color w:val="auto"/>
        </w:rPr>
      </w:pPr>
      <w:r>
        <w:rPr>
          <w:rFonts w:ascii="Arial" w:cs="Arial" w:eastAsia="Arial" w:hAnsi="Arial"/>
          <w:sz w:val="20"/>
          <w:szCs w:val="20"/>
          <w:color w:val="auto"/>
        </w:rPr>
        <w:t xml:space="preserve">Utilities, energy merchants, marketers and other </w:t>
      </w:r>
      <w:r>
        <w:rPr>
          <w:rFonts w:ascii="Arial" w:cs="Arial" w:eastAsia="Arial" w:hAnsi="Arial"/>
          <w:sz w:val="20"/>
          <w:szCs w:val="20"/>
          <w:color w:val="B4B4B4"/>
        </w:rPr>
        <w:t>. . . . . . . . . . . . . . . . . . . . . . . . . . . . . . . . . . . . . . . . . . . . . . .</w:t>
      </w:r>
      <w:r>
        <w:rPr>
          <w:sz w:val="20"/>
          <w:szCs w:val="20"/>
          <w:color w:val="auto"/>
        </w:rPr>
        <w:tab/>
      </w:r>
      <w:r>
        <w:rPr>
          <w:rFonts w:ascii="Arial" w:cs="Arial" w:eastAsia="Arial" w:hAnsi="Arial"/>
          <w:sz w:val="19"/>
          <w:szCs w:val="19"/>
          <w:color w:val="auto"/>
        </w:rPr>
        <w:t>74 %</w:t>
      </w:r>
    </w:p>
    <w:p>
      <w:pPr>
        <w:spacing w:after="0" w:line="67" w:lineRule="exact"/>
        <w:rPr>
          <w:sz w:val="20"/>
          <w:szCs w:val="20"/>
          <w:color w:val="auto"/>
        </w:rPr>
      </w:pPr>
    </w:p>
    <w:p>
      <w:pPr>
        <w:ind w:left="60"/>
        <w:spacing w:after="0"/>
        <w:tabs>
          <w:tab w:leader="none" w:pos="9660" w:val="left"/>
        </w:tabs>
        <w:rPr>
          <w:sz w:val="20"/>
          <w:szCs w:val="20"/>
          <w:color w:val="auto"/>
        </w:rPr>
      </w:pPr>
      <w:r>
        <w:rPr>
          <w:rFonts w:ascii="Arial" w:cs="Arial" w:eastAsia="Arial" w:hAnsi="Arial"/>
          <w:sz w:val="20"/>
          <w:szCs w:val="20"/>
          <w:color w:val="auto"/>
        </w:rPr>
        <w:t xml:space="preserve">Financial institutions </w:t>
      </w:r>
      <w:r>
        <w:rPr>
          <w:rFonts w:ascii="Arial" w:cs="Arial" w:eastAsia="Arial" w:hAnsi="Arial"/>
          <w:sz w:val="20"/>
          <w:szCs w:val="20"/>
          <w:color w:val="B4B4B4"/>
        </w:rPr>
        <w:t>. . . . . . . . . . . . . . . . . . . . . . . . . . . . . . . . . . . . . . . . . . . . . . . . . . . . . . . . . . . . . . . . . . . . .</w:t>
      </w:r>
      <w:r>
        <w:rPr>
          <w:sz w:val="20"/>
          <w:szCs w:val="20"/>
          <w:color w:val="auto"/>
        </w:rPr>
        <w:tab/>
      </w:r>
      <w:r>
        <w:rPr>
          <w:rFonts w:ascii="Arial" w:cs="Arial" w:eastAsia="Arial" w:hAnsi="Arial"/>
          <w:sz w:val="16"/>
          <w:szCs w:val="16"/>
          <w:color w:val="auto"/>
        </w:rPr>
        <w:t>26</w:t>
      </w:r>
    </w:p>
    <w:p>
      <w:pPr>
        <w:spacing w:after="0" w:line="67" w:lineRule="exact"/>
        <w:rPr>
          <w:sz w:val="20"/>
          <w:szCs w:val="20"/>
          <w:color w:val="auto"/>
        </w:rPr>
      </w:pPr>
    </w:p>
    <w:p>
      <w:pPr>
        <w:ind w:left="240"/>
        <w:spacing w:after="0"/>
        <w:tabs>
          <w:tab w:leader="none" w:pos="9560" w:val="left"/>
        </w:tabs>
        <w:rPr>
          <w:sz w:val="20"/>
          <w:szCs w:val="20"/>
          <w:color w:val="auto"/>
        </w:rPr>
      </w:pPr>
      <w:r>
        <w:rPr>
          <w:rFonts w:ascii="Arial" w:cs="Arial" w:eastAsia="Arial" w:hAnsi="Arial"/>
          <w:sz w:val="20"/>
          <w:szCs w:val="20"/>
          <w:color w:val="auto"/>
        </w:rPr>
        <w:t xml:space="preserve">Total </w:t>
      </w:r>
      <w:r>
        <w:rPr>
          <w:rFonts w:ascii="Arial" w:cs="Arial" w:eastAsia="Arial" w:hAnsi="Arial"/>
          <w:sz w:val="20"/>
          <w:szCs w:val="20"/>
          <w:color w:val="B4B4B4"/>
        </w:rPr>
        <w:t>. . . . . . . . . . . . . . . . . . . . . . . . . . . . . . . . . . . . . . . . . . . . . . . . . . . . . . . . . . . . . . . . . . . . . . . . . . . . . . . .</w:t>
      </w:r>
      <w:r>
        <w:rPr>
          <w:sz w:val="20"/>
          <w:szCs w:val="20"/>
          <w:color w:val="auto"/>
        </w:rPr>
        <w:tab/>
      </w:r>
      <w:r>
        <w:rPr>
          <w:rFonts w:ascii="Arial" w:cs="Arial" w:eastAsia="Arial" w:hAnsi="Arial"/>
          <w:sz w:val="19"/>
          <w:szCs w:val="19"/>
          <w:color w:val="auto"/>
        </w:rPr>
        <w:t>100 %</w:t>
      </w:r>
    </w:p>
    <w:p>
      <w:pPr>
        <w:spacing w:after="0" w:line="177" w:lineRule="exact"/>
        <w:rPr>
          <w:sz w:val="20"/>
          <w:szCs w:val="20"/>
          <w:color w:val="auto"/>
        </w:rPr>
      </w:pPr>
    </w:p>
    <w:p>
      <w:pPr>
        <w:ind w:left="8760"/>
        <w:spacing w:after="0"/>
        <w:rPr>
          <w:sz w:val="20"/>
          <w:szCs w:val="20"/>
          <w:color w:val="auto"/>
        </w:rPr>
      </w:pPr>
      <w:r>
        <w:rPr>
          <w:rFonts w:ascii="Arial" w:cs="Arial" w:eastAsia="Arial" w:hAnsi="Arial"/>
          <w:sz w:val="15"/>
          <w:szCs w:val="15"/>
          <w:b w:val="1"/>
          <w:bCs w:val="1"/>
          <w:color w:val="auto"/>
        </w:rPr>
        <w:t xml:space="preserve">Net Exposure </w:t>
      </w:r>
      <w:r>
        <w:rPr>
          <w:rFonts w:ascii="Arial" w:cs="Arial" w:eastAsia="Arial" w:hAnsi="Arial"/>
          <w:sz w:val="19"/>
          <w:szCs w:val="19"/>
          <w:b w:val="1"/>
          <w:bCs w:val="1"/>
          <w:color w:val="auto"/>
          <w:vertAlign w:val="superscript"/>
        </w:rPr>
        <w:t>(a) (b)</w:t>
      </w:r>
    </w:p>
    <w:p>
      <w:pPr>
        <w:ind w:left="60"/>
        <w:spacing w:after="0"/>
        <w:tabs>
          <w:tab w:leader="none" w:pos="8940" w:val="left"/>
        </w:tabs>
        <w:rPr>
          <w:sz w:val="20"/>
          <w:szCs w:val="20"/>
          <w:color w:val="auto"/>
        </w:rPr>
      </w:pPr>
      <w:r>
        <w:rPr>
          <w:rFonts w:ascii="Arial" w:cs="Arial" w:eastAsia="Arial" w:hAnsi="Arial"/>
          <w:sz w:val="16"/>
          <w:szCs w:val="16"/>
          <w:b w:val="1"/>
          <w:bCs w:val="1"/>
          <w:u w:val="single" w:color="auto"/>
          <w:color w:val="auto"/>
        </w:rPr>
        <w:t>Category</w:t>
      </w:r>
      <w:r>
        <w:rPr>
          <w:sz w:val="20"/>
          <w:szCs w:val="20"/>
          <w:color w:val="auto"/>
        </w:rPr>
        <w:tab/>
      </w:r>
      <w:r>
        <w:rPr>
          <w:rFonts w:ascii="Arial" w:cs="Arial" w:eastAsia="Arial" w:hAnsi="Arial"/>
          <w:sz w:val="15"/>
          <w:szCs w:val="15"/>
          <w:b w:val="1"/>
          <w:bCs w:val="1"/>
          <w:color w:val="auto"/>
        </w:rPr>
        <w:t>(% of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wp:posOffset>
            </wp:positionV>
            <wp:extent cx="6456680" cy="603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8">
                      <a:extLst>
                        <a:ext uri="{28A0092B-C50C-407E-A947-70E740481C1C}"/>
                      </a:extLst>
                    </a:blip>
                    <a:srcRect/>
                    <a:stretch>
                      <a:fillRect/>
                    </a:stretch>
                  </pic:blipFill>
                  <pic:spPr bwMode="auto">
                    <a:xfrm>
                      <a:off x="0" y="0"/>
                      <a:ext cx="6456680" cy="603885"/>
                    </a:xfrm>
                    <a:prstGeom prst="rect">
                      <a:avLst/>
                    </a:prstGeom>
                    <a:noFill/>
                  </pic:spPr>
                </pic:pic>
              </a:graphicData>
            </a:graphic>
          </wp:anchor>
        </w:drawing>
      </w:r>
    </w:p>
    <w:p>
      <w:pPr>
        <w:spacing w:after="0" w:line="27" w:lineRule="exact"/>
        <w:rPr>
          <w:sz w:val="20"/>
          <w:szCs w:val="20"/>
          <w:color w:val="auto"/>
        </w:rPr>
      </w:pPr>
    </w:p>
    <w:p>
      <w:pPr>
        <w:ind w:left="60"/>
        <w:spacing w:after="0"/>
        <w:tabs>
          <w:tab w:leader="none" w:pos="9660" w:val="left"/>
        </w:tabs>
        <w:rPr>
          <w:sz w:val="20"/>
          <w:szCs w:val="20"/>
          <w:color w:val="auto"/>
        </w:rPr>
      </w:pPr>
      <w:r>
        <w:rPr>
          <w:rFonts w:ascii="Arial" w:cs="Arial" w:eastAsia="Arial" w:hAnsi="Arial"/>
          <w:sz w:val="20"/>
          <w:szCs w:val="20"/>
          <w:color w:val="auto"/>
        </w:rPr>
        <w:t xml:space="preserve">Investment grade </w:t>
      </w:r>
      <w:r>
        <w:rPr>
          <w:rFonts w:ascii="Arial" w:cs="Arial" w:eastAsia="Arial" w:hAnsi="Arial"/>
          <w:sz w:val="20"/>
          <w:szCs w:val="20"/>
          <w:color w:val="B4B4B4"/>
        </w:rPr>
        <w:t>. . . . . . . . . . . . . . . . . . . . . . . . . . . . . . . . . . . . . . . . . . . . . . . . . . . . . . . . . . . . . . . . . . . . . . . .</w:t>
      </w:r>
      <w:r>
        <w:rPr>
          <w:sz w:val="20"/>
          <w:szCs w:val="20"/>
          <w:color w:val="auto"/>
        </w:rPr>
        <w:tab/>
      </w:r>
      <w:r>
        <w:rPr>
          <w:rFonts w:ascii="Arial" w:cs="Arial" w:eastAsia="Arial" w:hAnsi="Arial"/>
          <w:sz w:val="19"/>
          <w:szCs w:val="19"/>
          <w:color w:val="auto"/>
        </w:rPr>
        <w:t>55 %</w:t>
      </w:r>
    </w:p>
    <w:p>
      <w:pPr>
        <w:spacing w:after="0" w:line="67" w:lineRule="exact"/>
        <w:rPr>
          <w:sz w:val="20"/>
          <w:szCs w:val="20"/>
          <w:color w:val="auto"/>
        </w:rPr>
      </w:pPr>
    </w:p>
    <w:p>
      <w:pPr>
        <w:ind w:left="60"/>
        <w:spacing w:after="0"/>
        <w:tabs>
          <w:tab w:leader="none" w:pos="9660" w:val="left"/>
        </w:tabs>
        <w:rPr>
          <w:sz w:val="20"/>
          <w:szCs w:val="20"/>
          <w:color w:val="auto"/>
        </w:rPr>
      </w:pPr>
      <w:r>
        <w:rPr>
          <w:rFonts w:ascii="Arial" w:cs="Arial" w:eastAsia="Arial" w:hAnsi="Arial"/>
          <w:sz w:val="20"/>
          <w:szCs w:val="20"/>
          <w:color w:val="auto"/>
        </w:rPr>
        <w:t xml:space="preserve">Non-Investment grade/Non-Rated </w:t>
      </w:r>
      <w:r>
        <w:rPr>
          <w:rFonts w:ascii="Arial" w:cs="Arial" w:eastAsia="Arial" w:hAnsi="Arial"/>
          <w:sz w:val="20"/>
          <w:szCs w:val="20"/>
          <w:color w:val="B4B4B4"/>
        </w:rPr>
        <w:t>. . . . . . . . . . . . . . . . . . . . . . . . . . . . . . . . . . . . . . . . . . . . . . . . . . . . . . . . . .</w:t>
      </w:r>
      <w:r>
        <w:rPr>
          <w:sz w:val="20"/>
          <w:szCs w:val="20"/>
          <w:color w:val="auto"/>
        </w:rPr>
        <w:tab/>
      </w:r>
      <w:r>
        <w:rPr>
          <w:rFonts w:ascii="Arial" w:cs="Arial" w:eastAsia="Arial" w:hAnsi="Arial"/>
          <w:sz w:val="16"/>
          <w:szCs w:val="16"/>
          <w:color w:val="auto"/>
        </w:rPr>
        <w:t>45</w:t>
      </w:r>
    </w:p>
    <w:p>
      <w:pPr>
        <w:spacing w:after="0" w:line="67" w:lineRule="exact"/>
        <w:rPr>
          <w:sz w:val="20"/>
          <w:szCs w:val="20"/>
          <w:color w:val="auto"/>
        </w:rPr>
      </w:pPr>
    </w:p>
    <w:p>
      <w:pPr>
        <w:ind w:left="240"/>
        <w:spacing w:after="0"/>
        <w:tabs>
          <w:tab w:leader="none" w:pos="9560" w:val="left"/>
        </w:tabs>
        <w:rPr>
          <w:sz w:val="20"/>
          <w:szCs w:val="20"/>
          <w:color w:val="auto"/>
        </w:rPr>
      </w:pPr>
      <w:r>
        <w:rPr>
          <w:rFonts w:ascii="Arial" w:cs="Arial" w:eastAsia="Arial" w:hAnsi="Arial"/>
          <w:sz w:val="20"/>
          <w:szCs w:val="20"/>
          <w:color w:val="auto"/>
        </w:rPr>
        <w:t xml:space="preserve">Total </w:t>
      </w:r>
      <w:r>
        <w:rPr>
          <w:rFonts w:ascii="Arial" w:cs="Arial" w:eastAsia="Arial" w:hAnsi="Arial"/>
          <w:sz w:val="20"/>
          <w:szCs w:val="20"/>
          <w:color w:val="B4B4B4"/>
        </w:rPr>
        <w:t>. . . . . . . . . . . . . . . . . . . . . . . . . . . . . . . . . . . . . . . . . . . . . . . . . . . . . . . . . . . . . . . . . . . . . . . . . . . . . . . .</w:t>
      </w:r>
      <w:r>
        <w:rPr>
          <w:sz w:val="20"/>
          <w:szCs w:val="20"/>
          <w:color w:val="auto"/>
        </w:rPr>
        <w:tab/>
      </w:r>
      <w:r>
        <w:rPr>
          <w:rFonts w:ascii="Arial" w:cs="Arial" w:eastAsia="Arial" w:hAnsi="Arial"/>
          <w:sz w:val="19"/>
          <w:szCs w:val="19"/>
          <w:color w:val="auto"/>
        </w:rPr>
        <w:t>100 %</w:t>
      </w:r>
    </w:p>
    <w:p>
      <w:pPr>
        <w:spacing w:after="0" w:line="90" w:lineRule="exact"/>
        <w:rPr>
          <w:sz w:val="20"/>
          <w:szCs w:val="20"/>
          <w:color w:val="auto"/>
        </w:rPr>
      </w:pPr>
    </w:p>
    <w:p>
      <w:pPr>
        <w:ind w:left="360" w:hanging="359"/>
        <w:spacing w:after="0"/>
        <w:tabs>
          <w:tab w:leader="none" w:pos="3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Counterparty credit exposure excludes coal transportation contracts because of the unavailability of market prices</w:t>
      </w:r>
    </w:p>
    <w:p>
      <w:pPr>
        <w:spacing w:after="0" w:line="23" w:lineRule="exact"/>
        <w:rPr>
          <w:rFonts w:ascii="Arial" w:cs="Arial" w:eastAsia="Arial" w:hAnsi="Arial"/>
          <w:sz w:val="16"/>
          <w:szCs w:val="16"/>
          <w:color w:val="auto"/>
        </w:rPr>
      </w:pPr>
    </w:p>
    <w:p>
      <w:pPr>
        <w:ind w:left="360" w:right="160" w:hanging="359"/>
        <w:spacing w:after="0" w:line="255" w:lineRule="auto"/>
        <w:tabs>
          <w:tab w:leader="none" w:pos="3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figures in the tables above exclude potential counterparty credit exposure related to RTOs, ISOs, registered commodity exchanges and certain long-term contracts</w:t>
      </w:r>
    </w:p>
    <w:p>
      <w:pPr>
        <w:spacing w:after="0" w:line="150"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Company had no exposure to wholesale counterparties in excess of 10% of the total net exposure discussed above as of December 31, 2024. Changes in hedge positions and market prices will affect credit exposure and counterparty concentration.</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RTOs and ISOs</w:t>
      </w:r>
    </w:p>
    <w:p>
      <w:pPr>
        <w:spacing w:after="0" w:line="13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9"/>
          <w:szCs w:val="19"/>
          <w:color w:val="auto"/>
        </w:rPr>
        <w:t>The Company participates in the organized markets of CAISO, ERCOT, AESO, IESO, ISO-NE, MISO, NYISO and PJM, known as RTOs or ISOs. Trading in the majority of these markets is approved by FERC, whereas in the case of ERCOT, it is approved by the PUCT, and whereas in the case of AESO and IESO, both exist provincially with AESO primarily subject to Alberta Utilities Commission and the IESO subject to the Ontario Energy Board. These ISOs may include credit policies that, under certain circumstances, require that losses arising from the default of one member on spot market transactions be shared by the remaining participants. As a result, the counterparty credit risk to these markets is limited to NRG’s share of the overall market and are excluded from the above exposures.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Exchange Traded Transactions</w:t>
      </w:r>
    </w:p>
    <w:p>
      <w:pPr>
        <w:spacing w:after="0" w:line="130"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Company enters into commodity transactions on registered exchanges, notably ICE, NYMEX and Nodal. These clearinghouses act as the counterparty and transactions are subject to extensive collateral and margining requirements. As a result, these commodity transactions have limited counterparty credit risk.</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Long-Term Contracts</w:t>
      </w:r>
    </w:p>
    <w:p>
      <w:pPr>
        <w:spacing w:after="0" w:line="130"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color w:val="auto"/>
        </w:rPr>
        <w:t>Counterparty credit exposure described above excludes credit risk exposure under certain long-term contracts, primarily solar under Renewable PPAs. As external sources or observable market quotes are not available to estimate such exposure, the Company values these contracts based on various techniques including, but not limited to, internal models based on a fundamental analysis of the market and extrapolation of observable market data with similar characteristics. Based on these valuation techniques, as of December 31, 2024, aggregate credit risk exposure managed by NRG to these counterparties was approximately $868 million for the next five years.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Retail Customer Credit Risk</w:t>
      </w:r>
    </w:p>
    <w:p>
      <w:pPr>
        <w:spacing w:after="0" w:line="130" w:lineRule="exact"/>
        <w:rPr>
          <w:sz w:val="20"/>
          <w:szCs w:val="20"/>
          <w:color w:val="auto"/>
        </w:rPr>
      </w:pPr>
    </w:p>
    <w:p>
      <w:pPr>
        <w:jc w:val="both"/>
        <w:ind w:firstLine="445"/>
        <w:spacing w:after="0" w:line="305" w:lineRule="auto"/>
        <w:rPr>
          <w:sz w:val="20"/>
          <w:szCs w:val="20"/>
          <w:color w:val="auto"/>
        </w:rPr>
      </w:pPr>
      <w:r>
        <w:rPr>
          <w:rFonts w:ascii="Arial" w:cs="Arial" w:eastAsia="Arial" w:hAnsi="Arial"/>
          <w:sz w:val="18"/>
          <w:szCs w:val="18"/>
          <w:color w:val="auto"/>
        </w:rPr>
        <w:t>NRG is exposed to retail credit risk through the Company's retail electricity and gas providers as well as through Vivint Smart Home. Retail credit risk results in losses when a customer fails to pay for services rendered. The losses may result from both nonpayment of customer accounts receivable and the loss of in-the-money forward value. The Company manages retail</w:t>
      </w:r>
    </w:p>
    <w:p>
      <w:pPr>
        <w:sectPr>
          <w:pgSz w:w="11880" w:h="15480" w:orient="portrait"/>
          <w:cols w:equalWidth="0" w:num="1">
            <w:col w:w="10160"/>
          </w:cols>
          <w:pgMar w:left="860" w:top="512" w:right="860" w:bottom="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880" w:h="15480" w:orient="portrait"/>
          <w:cols w:equalWidth="0" w:num="1">
            <w:col w:w="10160"/>
          </w:cols>
          <w:pgMar w:left="860" w:top="512" w:right="860" w:bottom="0" w:gutter="0" w:footer="0" w:header="0"/>
          <w:type w:val="continuous"/>
        </w:sectPr>
      </w:pPr>
    </w:p>
    <w:bookmarkStart w:id="80" w:name="page81"/>
    <w:bookmarkEnd w:id="80"/>
    <w:p>
      <w:pPr>
        <w:jc w:val="both"/>
        <w:spacing w:after="0" w:line="277" w:lineRule="auto"/>
        <w:rPr>
          <w:sz w:val="20"/>
          <w:szCs w:val="20"/>
          <w:color w:val="auto"/>
        </w:rPr>
      </w:pPr>
      <w:r>
        <w:rPr>
          <w:rFonts w:ascii="Arial" w:cs="Arial" w:eastAsia="Arial" w:hAnsi="Arial"/>
          <w:sz w:val="20"/>
          <w:szCs w:val="20"/>
          <w:color w:val="auto"/>
        </w:rPr>
        <w:t>credit risk through the use of established credit policies, which include monitoring of the portfolio and the use of credit mitigation measures such as deposits or prepayment arrangements.</w:t>
      </w:r>
    </w:p>
    <w:p>
      <w:pPr>
        <w:spacing w:after="0" w:line="63"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20"/>
          <w:szCs w:val="20"/>
          <w:color w:val="auto"/>
        </w:rPr>
        <w:t>As of December 31, 2024, the Company's retail customer credit exposure to Home and Business customers was diversified across many customers and various industries, as well as government entities. Current economic conditions may affect the Company's customers' ability to pay bills in a timely manner, which could increase customer delinquencies and may lead to an increase in credit losses. The Company's provision for credit losses resulting from credit risk was $314 million, $251 million and $11 million for the years ended December 31, 2024, 2023 and 2022, respectively. During the year ended December 31, 2022, the provision for credit losses included the Company's loss mitigation efforts recognized as income of $126 million related to Winter Storm Uri.</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Liquidity Risk</w:t>
      </w:r>
    </w:p>
    <w:p>
      <w:pPr>
        <w:spacing w:after="0" w:line="134" w:lineRule="exact"/>
        <w:rPr>
          <w:sz w:val="20"/>
          <w:szCs w:val="20"/>
          <w:color w:val="auto"/>
        </w:rPr>
      </w:pPr>
    </w:p>
    <w:p>
      <w:pPr>
        <w:jc w:val="both"/>
        <w:ind w:firstLine="445"/>
        <w:spacing w:after="0" w:line="305" w:lineRule="auto"/>
        <w:rPr>
          <w:sz w:val="20"/>
          <w:szCs w:val="20"/>
          <w:color w:val="auto"/>
        </w:rPr>
      </w:pPr>
      <w:r>
        <w:rPr>
          <w:rFonts w:ascii="Arial" w:cs="Arial" w:eastAsia="Arial" w:hAnsi="Arial"/>
          <w:sz w:val="18"/>
          <w:szCs w:val="18"/>
          <w:color w:val="auto"/>
        </w:rPr>
        <w:t>Liquidity risk arises from the general funding needs of the Company's activities and the management of the Company's assets and liabilities. The Company is currently exposed to additional collateral posting if natural gas prices decline, primarily due to the long natural gas equivalent position at various exchanges used to hedge NRG's retail supply load obligations.</w:t>
      </w:r>
    </w:p>
    <w:p>
      <w:pPr>
        <w:spacing w:after="0" w:line="42"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8"/>
          <w:szCs w:val="18"/>
          <w:color w:val="auto"/>
        </w:rPr>
        <w:t>Based on a sensitivity analysis for power and gas positions under marginable contracts as of December 31, 2024, a $0.50 per MMBtu decrease in natural gas prices across the term of the marginable contracts would cause an increase in margin collateral posted of approximately $1.1 billion and a 1.00 MMBtu/MWh decrease in heat rates for heat rate positions would result in an increase in margin collateral posted of approximately $359 million. This analysis uses simplified assumptions and is calculated based on portfolio composition and margin-related contract provisions as of December 31, 2024.</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134"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NRG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combinations of the variable rate debt and the interest rate derivative instrument. NRG's risk management policies allow the Company to reduce interest rate exposure from variable rate debt obligations. In November 2024, the Company entered into $700 million of interest rate swaps through 2029 to hedge the floating rate on the Term Loans.</w:t>
      </w:r>
    </w:p>
    <w:p>
      <w:pPr>
        <w:spacing w:after="0" w:line="5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As of December 31, 2024, the Company's debt fair value was $10.8 billion and carrying value was $10.9 billion. NRG estimates that a 1% decrease in market interest rates would have increased the fair value of the Company's long-term debt by $465 million.</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Currency Exchange Risk</w:t>
      </w:r>
    </w:p>
    <w:p>
      <w:pPr>
        <w:spacing w:after="0" w:line="134"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20"/>
          <w:szCs w:val="20"/>
          <w:color w:val="auto"/>
        </w:rPr>
        <w:t>NRG is subject to transactional exchange rate risk from transactions with customers in countries outside of the U.S., primarily within Canada, as well as from intercompany transactions between affiliates. Transactional exchange rate risk arises from the purchase and sale of goods and services in currencies other than the Company's functional currency or the functional currency of an applicable subsidiary. NRG hedges a portion of its forecasted currency transactions with foreign exchange forward contracts. As of December 31, 2024, NRG is exposed to changes in foreign currency primarily associated with the purchase of U.S. dollar denominated natural gas for its Canadian business and entered into foreign exchange contracts with a notional amount of $410 million.</w:t>
      </w:r>
    </w:p>
    <w:p>
      <w:pPr>
        <w:spacing w:after="0" w:line="92"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color w:val="auto"/>
        </w:rPr>
        <w:t>The Company is subject to translation exchange rate risk related to the translation of the financial statements of its foreign operations into U.S. dollars. Costs incurred and sales recorded by subsidiaries operating outside of the U.S. are translated into U.S. dollars using exchange rates effective during the respective period. As a result, the Company is exposed to movements in the exchange rates of various currencies against the U.S. dollar, primarily the Canadian and Australian dollars. A hypothetical 10% appreciation in major currencies relative to the U.S. dollar as of December 31, 2024, would have resulted in a decrease of $3 million to net income within the Consolidated Statement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 Financial Statements and Supplementary Data</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financial statements and schedules are included in Part IV, Item 15 of this Annual Report on Form 10-K.</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 Changes in and Disagreements With Accountants on Accounting and Financial Disclosure</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880" w:h="15480" w:orient="portrait"/>
          <w:cols w:equalWidth="0" w:num="1">
            <w:col w:w="10160"/>
          </w:cols>
          <w:pgMar w:left="860" w:top="512" w:right="860" w:bottom="0" w:gutter="0" w:footer="0" w:header="0"/>
          <w:type w:val="continuous"/>
        </w:sectPr>
      </w:pPr>
    </w:p>
    <w:bookmarkStart w:id="81" w:name="page82"/>
    <w:bookmarkEnd w:id="81"/>
    <w:p>
      <w:pPr>
        <w:spacing w:after="0"/>
        <w:rPr>
          <w:sz w:val="20"/>
          <w:szCs w:val="20"/>
          <w:color w:val="auto"/>
        </w:rPr>
      </w:pPr>
      <w:r>
        <w:rPr>
          <w:rFonts w:ascii="Arial" w:cs="Arial" w:eastAsia="Arial" w:hAnsi="Arial"/>
          <w:sz w:val="20"/>
          <w:szCs w:val="20"/>
          <w:b w:val="1"/>
          <w:bCs w:val="1"/>
          <w:color w:val="auto"/>
        </w:rPr>
        <w:t>Item 9A — Controls and Procedures</w:t>
      </w:r>
    </w:p>
    <w:p>
      <w:pPr>
        <w:spacing w:after="0" w:line="126"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Conclusion Regarding the Effectiveness of Disclosure Controls and Procedures and Internal Control Over Financial Reporting</w:t>
      </w:r>
    </w:p>
    <w:p>
      <w:pPr>
        <w:spacing w:after="0" w:line="63"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8"/>
          <w:szCs w:val="18"/>
          <w:color w:val="auto"/>
        </w:rPr>
        <w:t>Under the supervision and with the participation of NRG's management, including its principal executive officer, principal financial officer and principal accounting officer, NRG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Annual Report on Form 10-K. Management's report on the Company's internal control over financial reporting and the report of the Company's independent registered public accounting firm are incorporated under the caption "Management's Report on Internal Control over Financial Reporting" and under the caption "Report of Independent Registered Public Accounting Firm" in this Annual Report on Form 10-K for the fiscal year ended December 31, 2024.</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3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There were no changes in NRG’s internal control over financial reporting (as such term is defined in Rule 13a-15(f) under the Exchange Act) that occurred in the fourth quarter of 2024 that materially affected, or are reasonably likely to materially affect, NRG’s internal control over financial reporting.</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Inherent Limitations over Internal Controls</w:t>
      </w:r>
    </w:p>
    <w:p>
      <w:pPr>
        <w:spacing w:after="0" w:line="134"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9"/>
          <w:szCs w:val="19"/>
          <w:color w:val="auto"/>
        </w:rPr>
        <w:t>NRG's internal control over financial reporting is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61" w:lineRule="exact"/>
        <w:rPr>
          <w:sz w:val="20"/>
          <w:szCs w:val="20"/>
          <w:color w:val="auto"/>
        </w:rPr>
      </w:pPr>
    </w:p>
    <w:p>
      <w:pPr>
        <w:ind w:left="720" w:hanging="362"/>
        <w:spacing w:after="0" w:line="277"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Pertain to the maintenance of records that, in reasonable detail, accurately and fairly reflect the transactions and dispositions of the Company's assets;</w:t>
      </w:r>
    </w:p>
    <w:p>
      <w:pPr>
        <w:spacing w:after="0" w:line="3" w:lineRule="exact"/>
        <w:rPr>
          <w:rFonts w:ascii="Arial" w:cs="Arial" w:eastAsia="Arial" w:hAnsi="Arial"/>
          <w:sz w:val="20"/>
          <w:szCs w:val="20"/>
          <w:color w:val="auto"/>
        </w:rPr>
      </w:pPr>
    </w:p>
    <w:p>
      <w:pPr>
        <w:jc w:val="both"/>
        <w:ind w:left="720" w:hanging="362"/>
        <w:spacing w:after="0" w:line="262"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spacing w:after="0" w:line="19" w:lineRule="exact"/>
        <w:rPr>
          <w:rFonts w:ascii="Arial" w:cs="Arial" w:eastAsia="Arial" w:hAnsi="Arial"/>
          <w:sz w:val="20"/>
          <w:szCs w:val="20"/>
          <w:color w:val="auto"/>
        </w:rPr>
      </w:pPr>
    </w:p>
    <w:p>
      <w:pPr>
        <w:ind w:left="720" w:hanging="362"/>
        <w:spacing w:after="0" w:line="293" w:lineRule="auto"/>
        <w:tabs>
          <w:tab w:leader="none" w:pos="7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Provide reasonable assurance regarding prevention or timely detection of unauthorized acquisition, use or disposition of the Company's assets that could have a material effect on the consolidated financial statements.</w:t>
      </w:r>
    </w:p>
    <w:p>
      <w:pPr>
        <w:spacing w:after="0" w:line="1"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134"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20"/>
          <w:szCs w:val="20"/>
          <w:color w:val="auto"/>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its principal executive officer, principal financial officer and principal accounting officer, the Company conducted an evaluation of the effectiveness of its internal control over financial reporting based on the framework in </w:t>
      </w:r>
      <w:r>
        <w:rPr>
          <w:rFonts w:ascii="Arial" w:cs="Arial" w:eastAsia="Arial" w:hAnsi="Arial"/>
          <w:sz w:val="20"/>
          <w:szCs w:val="20"/>
          <w:b w:val="1"/>
          <w:bCs w:val="1"/>
          <w:i w:val="1"/>
          <w:iCs w:val="1"/>
          <w:color w:val="auto"/>
        </w:rPr>
        <w:t>Internal Control — Integrated Framework (2013)</w:t>
      </w:r>
      <w:r>
        <w:rPr>
          <w:rFonts w:ascii="Arial" w:cs="Arial" w:eastAsia="Arial" w:hAnsi="Arial"/>
          <w:sz w:val="20"/>
          <w:szCs w:val="20"/>
          <w:color w:val="auto"/>
        </w:rPr>
        <w:t xml:space="preserve"> issued by the Committee of Sponsoring Organizations of the Treadway Commission. Based on the Company's evaluation under the framework in </w:t>
      </w:r>
      <w:r>
        <w:rPr>
          <w:rFonts w:ascii="Arial" w:cs="Arial" w:eastAsia="Arial" w:hAnsi="Arial"/>
          <w:sz w:val="20"/>
          <w:szCs w:val="20"/>
          <w:b w:val="1"/>
          <w:bCs w:val="1"/>
          <w:i w:val="1"/>
          <w:iCs w:val="1"/>
          <w:color w:val="auto"/>
        </w:rPr>
        <w:t>Internal Control — Integrated Framework</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(2013)</w:t>
      </w:r>
      <w:r>
        <w:rPr>
          <w:rFonts w:ascii="Arial" w:cs="Arial" w:eastAsia="Arial" w:hAnsi="Arial"/>
          <w:sz w:val="20"/>
          <w:szCs w:val="20"/>
          <w:color w:val="auto"/>
        </w:rPr>
        <w:t>, the Company's management concluded that its internal control over financial reporting was effective as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December 31, 2024.</w:t>
      </w:r>
    </w:p>
    <w:p>
      <w:pPr>
        <w:spacing w:after="0" w:line="88"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effectiveness of the Company's internal control over financial reporting as of December 31, 2024 has been audited by KPMG LLP, the Company's independent registered public accounting firm, as stated in its report which is included in this Annual Report on Form 10-K.</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880" w:h="15480" w:orient="portrait"/>
          <w:cols w:equalWidth="0" w:num="1">
            <w:col w:w="10160"/>
          </w:cols>
          <w:pgMar w:left="860" w:top="505" w:right="860" w:bottom="0" w:gutter="0" w:footer="0" w:header="0"/>
          <w:type w:val="continuous"/>
        </w:sectPr>
      </w:pPr>
    </w:p>
    <w:bookmarkStart w:id="82" w:name="page83"/>
    <w:bookmarkEnd w:id="82"/>
    <w:p>
      <w:pPr>
        <w:ind w:left="168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NRG Energy, Inc.:</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 on Internal Control Over Financial Reporting</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 xml:space="preserve">We have audited NRG Energy, Inc. and subsidiaries' (the Company) internal control over financial reporting as of December 31, 2024, based on criteria established in </w:t>
      </w:r>
      <w:r>
        <w:rPr>
          <w:rFonts w:ascii="Arial" w:cs="Arial" w:eastAsia="Arial" w:hAnsi="Arial"/>
          <w:sz w:val="18"/>
          <w:szCs w:val="18"/>
          <w:b w:val="1"/>
          <w:bCs w:val="1"/>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In our opinion, the Company maintained, in all material respects, effective internal control over financial reporting as of December 31, 2024, based on criteria established in </w:t>
      </w:r>
      <w:r>
        <w:rPr>
          <w:rFonts w:ascii="Arial" w:cs="Arial" w:eastAsia="Arial" w:hAnsi="Arial"/>
          <w:sz w:val="18"/>
          <w:szCs w:val="18"/>
          <w:b w:val="1"/>
          <w:bCs w:val="1"/>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w:t>
      </w:r>
    </w:p>
    <w:p>
      <w:pPr>
        <w:spacing w:after="0" w:line="5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income/(loss), stockholders’ equity, and cash flows for each of the years in the three-year period ended December 31, 2024, and the related notes and financial statement schedule II (collectively, the consolidated financial statements), and our report dated February 26, 2025 expressed an unqualified opinion on those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13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8"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 KPMG LLP</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Philadelphia, Pennsylvania</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February 26, 2025</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880" w:h="15480" w:orient="portrait"/>
          <w:cols w:equalWidth="0" w:num="1">
            <w:col w:w="10160"/>
          </w:cols>
          <w:pgMar w:left="860" w:top="505" w:right="860" w:bottom="0" w:gutter="0" w:footer="0" w:header="0"/>
          <w:type w:val="continuous"/>
        </w:sectPr>
      </w:pPr>
    </w:p>
    <w:bookmarkStart w:id="83" w:name="page84"/>
    <w:bookmarkEnd w:id="83"/>
    <w:p>
      <w:pPr>
        <w:spacing w:after="0"/>
        <w:rPr>
          <w:sz w:val="20"/>
          <w:szCs w:val="20"/>
          <w:color w:val="auto"/>
        </w:rPr>
      </w:pPr>
      <w:r>
        <w:rPr>
          <w:rFonts w:ascii="Arial" w:cs="Arial" w:eastAsia="Arial" w:hAnsi="Arial"/>
          <w:sz w:val="20"/>
          <w:szCs w:val="20"/>
          <w:b w:val="1"/>
          <w:bCs w:val="1"/>
          <w:color w:val="auto"/>
        </w:rPr>
        <w:t>Item 9B — Other Information</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Director and Officer Trading Arrangements</w:t>
      </w:r>
    </w:p>
    <w:p>
      <w:pPr>
        <w:spacing w:after="0" w:line="13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During the three months ended December 31, 2024, no director or officer of the Company adopted or terminated a 'Rule 10b5-1 trading arrangement' or 'non-Rule 10b5-1 trading arrangement,' as each term is defined in Item 408(a) of Regulation S-K.</w:t>
      </w:r>
    </w:p>
    <w:p>
      <w:pPr>
        <w:spacing w:after="0" w:line="71" w:lineRule="exact"/>
        <w:rPr>
          <w:sz w:val="20"/>
          <w:szCs w:val="20"/>
          <w:color w:val="auto"/>
        </w:rPr>
      </w:pPr>
    </w:p>
    <w:p>
      <w:pPr>
        <w:ind w:right="3400"/>
        <w:spacing w:after="0" w:line="409" w:lineRule="auto"/>
        <w:rPr>
          <w:sz w:val="20"/>
          <w:szCs w:val="20"/>
          <w:color w:val="auto"/>
        </w:rPr>
      </w:pPr>
      <w:r>
        <w:rPr>
          <w:rFonts w:ascii="Arial" w:cs="Arial" w:eastAsia="Arial" w:hAnsi="Arial"/>
          <w:sz w:val="20"/>
          <w:szCs w:val="20"/>
          <w:b w:val="1"/>
          <w:bCs w:val="1"/>
          <w:color w:val="auto"/>
        </w:rPr>
        <w:t xml:space="preserve">Item 9C — Disclosure Regarding Foreign Jurisdictions that Prevent Inspections </w:t>
      </w:r>
      <w:r>
        <w:rPr>
          <w:rFonts w:ascii="Arial" w:cs="Arial" w:eastAsia="Arial" w:hAnsi="Arial"/>
          <w:sz w:val="20"/>
          <w:szCs w:val="20"/>
          <w:color w:val="auto"/>
        </w:rPr>
        <w:t>Not applicable.</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880" w:h="15480" w:orient="portrait"/>
          <w:cols w:equalWidth="0" w:num="1">
            <w:col w:w="10160"/>
          </w:cols>
          <w:pgMar w:left="860" w:top="505" w:right="860" w:bottom="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20"/>
          <w:szCs w:val="20"/>
          <w:b w:val="1"/>
          <w:bCs w:val="1"/>
          <w:color w:val="auto"/>
        </w:rPr>
        <w:t>PART III</w:t>
      </w:r>
    </w:p>
    <w:p>
      <w:pPr>
        <w:spacing w:after="0" w:line="245" w:lineRule="exact"/>
        <w:rPr>
          <w:sz w:val="20"/>
          <w:szCs w:val="20"/>
          <w:color w:val="auto"/>
        </w:rPr>
      </w:pPr>
    </w:p>
    <w:p>
      <w:pPr>
        <w:ind w:right="4400"/>
        <w:spacing w:after="0" w:line="375" w:lineRule="auto"/>
        <w:rPr>
          <w:sz w:val="20"/>
          <w:szCs w:val="20"/>
          <w:color w:val="auto"/>
        </w:rPr>
      </w:pPr>
      <w:r>
        <w:rPr>
          <w:rFonts w:ascii="Arial" w:cs="Arial" w:eastAsia="Arial" w:hAnsi="Arial"/>
          <w:sz w:val="20"/>
          <w:szCs w:val="20"/>
          <w:b w:val="1"/>
          <w:bCs w:val="1"/>
          <w:color w:val="auto"/>
        </w:rPr>
        <w:t>Item 10 — Directors, Executive Officers and Corporate Governance Directors and Executive Officers</w:t>
      </w:r>
    </w:p>
    <w:p>
      <w:pPr>
        <w:spacing w:after="0" w:line="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Information required by this Item is incorporated by reference to the similarly named section of NRG's Definitive Proxy Statement for its 2025 Annual Meeting of Stockholders.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Ethics</w:t>
      </w:r>
    </w:p>
    <w:p>
      <w:pPr>
        <w:spacing w:after="0" w:line="13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color w:val="auto"/>
        </w:rPr>
        <w:t>NRG has adopted a code of ethics entitled "NRG Code of Conduct" that applies to directors, officers and employees, including the chief executive officer and senior financial officers of NRG. It may be accessed through the "Governance" section of the Company's website at www.nrg.com. NRG also elects to disclose the information required by Form 8-K, Item 5.05, "Amendments to the Registrant's Code of Ethics, or Waiver of a Provision of the Code of Ethics," through the Company's website, and such information will remain available on this website for at least a 12-month period. A copy of the "NRG Code of Conduct" is available in print to any stockholder who requests it.</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Insider Trading Arrangements and Policies</w:t>
      </w:r>
    </w:p>
    <w:p>
      <w:pPr>
        <w:spacing w:after="0" w:line="13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color w:val="auto"/>
        </w:rPr>
        <w:t>The Company has adopted a Securities Trading and Non-Disclosure Policy (the “Insider Trading Policy”) governing the purchase, sale, and other dispositions of its securities by its directors, officers, employees, and other covered personnel. It also follows procedures for the repurchase of its securities. NRG believes that its Insider Trading Policy and repurchase procedures are reasonably designed to promote compliance with insider trading laws, rules and regulations, and the exchange listing standards applicable to the Company. A copy of NRG’s Insider Trading Policy, including any amendments thereto, is filed as Exhibit 19.1 to this Annual Report on Form 10-K.</w:t>
      </w:r>
    </w:p>
    <w:p>
      <w:pPr>
        <w:spacing w:after="0" w:line="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Other information required by this Item is incorporated by reference to the similarly named section of NRG's Definitive Proxy Statement for its 2025 Annual Meeting of Stockholders.</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 Executive Compensation</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Information required by this Item is incorporated by reference to the similarly named section of NRG's Definitive Proxy Statement for its 2025 Annual Meeting of Stockholders.</w:t>
      </w:r>
    </w:p>
    <w:p>
      <w:pPr>
        <w:spacing w:after="0" w:line="294" w:lineRule="exact"/>
        <w:rPr>
          <w:sz w:val="20"/>
          <w:szCs w:val="20"/>
          <w:color w:val="auto"/>
        </w:rPr>
      </w:pPr>
    </w:p>
    <w:p>
      <w:pPr>
        <w:ind w:right="640"/>
        <w:spacing w:after="0" w:line="396" w:lineRule="auto"/>
        <w:rPr>
          <w:sz w:val="20"/>
          <w:szCs w:val="20"/>
          <w:color w:val="auto"/>
        </w:rPr>
      </w:pPr>
      <w:r>
        <w:rPr>
          <w:rFonts w:ascii="Arial" w:cs="Arial" w:eastAsia="Arial" w:hAnsi="Arial"/>
          <w:sz w:val="20"/>
          <w:szCs w:val="20"/>
          <w:b w:val="1"/>
          <w:bCs w:val="1"/>
          <w:color w:val="auto"/>
        </w:rPr>
        <w:t>Item 12 — Security Ownership of Certain Beneficial Owners and Management and Related Stockholder Matters Securities Authorized for Issuance under Equity Compensation Plans</w:t>
      </w:r>
    </w:p>
    <w:tbl>
      <w:tblPr>
        <w:tblLayout w:type="fixed"/>
        <w:tblInd w:w="6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2"/>
          </w:tcPr>
          <w:p>
            <w:pPr>
              <w:jc w:val="center"/>
              <w:ind w:right="280"/>
              <w:spacing w:after="0" w:line="161" w:lineRule="exact"/>
              <w:rPr>
                <w:sz w:val="20"/>
                <w:szCs w:val="20"/>
                <w:color w:val="auto"/>
              </w:rPr>
            </w:pPr>
            <w:r>
              <w:rPr>
                <w:rFonts w:ascii="Arial" w:cs="Arial" w:eastAsia="Arial" w:hAnsi="Arial"/>
                <w:sz w:val="16"/>
                <w:szCs w:val="16"/>
                <w:b w:val="1"/>
                <w:bCs w:val="1"/>
                <w:color w:val="auto"/>
                <w:w w:val="81"/>
              </w:rPr>
              <w:t>(c)</w:t>
            </w:r>
          </w:p>
        </w:tc>
        <w:tc>
          <w:tcPr>
            <w:tcW w:w="0" w:type="dxa"/>
            <w:vAlign w:val="bottom"/>
          </w:tcPr>
          <w:p>
            <w:pPr>
              <w:spacing w:after="0"/>
              <w:rPr>
                <w:sz w:val="1"/>
                <w:szCs w:val="1"/>
                <w:color w:val="auto"/>
              </w:rPr>
            </w:pPr>
          </w:p>
        </w:tc>
      </w:tr>
      <w:tr>
        <w:trPr>
          <w:trHeight w:val="158"/>
        </w:trPr>
        <w:tc>
          <w:tcPr>
            <w:tcW w:w="9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89"/>
              </w:rPr>
              <w:t>Number of Securities</w:t>
            </w:r>
          </w:p>
        </w:tc>
        <w:tc>
          <w:tcPr>
            <w:tcW w:w="0" w:type="dxa"/>
            <w:vAlign w:val="bottom"/>
          </w:tcPr>
          <w:p>
            <w:pPr>
              <w:spacing w:after="0"/>
              <w:rPr>
                <w:sz w:val="1"/>
                <w:szCs w:val="1"/>
                <w:color w:val="auto"/>
              </w:rPr>
            </w:pPr>
          </w:p>
        </w:tc>
      </w:tr>
      <w:tr>
        <w:trPr>
          <w:trHeight w:val="158"/>
        </w:trPr>
        <w:tc>
          <w:tcPr>
            <w:tcW w:w="9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vMerge w:val="restart"/>
          </w:tcPr>
          <w:p>
            <w:pPr>
              <w:jc w:val="center"/>
              <w:ind w:right="73"/>
              <w:spacing w:after="0"/>
              <w:rPr>
                <w:sz w:val="20"/>
                <w:szCs w:val="20"/>
                <w:color w:val="auto"/>
              </w:rPr>
            </w:pPr>
            <w:r>
              <w:rPr>
                <w:rFonts w:ascii="Arial" w:cs="Arial" w:eastAsia="Arial" w:hAnsi="Arial"/>
                <w:sz w:val="16"/>
                <w:szCs w:val="16"/>
                <w:b w:val="1"/>
                <w:bCs w:val="1"/>
                <w:color w:val="auto"/>
                <w:w w:val="97"/>
              </w:rPr>
              <w:t>(b)</w:t>
            </w:r>
          </w:p>
        </w:tc>
        <w:tc>
          <w:tcPr>
            <w:tcW w:w="280" w:type="dxa"/>
            <w:vAlign w:val="bottom"/>
          </w:tcPr>
          <w:p>
            <w:pPr>
              <w:spacing w:after="0"/>
              <w:rPr>
                <w:sz w:val="13"/>
                <w:szCs w:val="13"/>
                <w:color w:val="auto"/>
              </w:rPr>
            </w:pPr>
          </w:p>
        </w:tc>
        <w:tc>
          <w:tcPr>
            <w:tcW w:w="200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0"/>
              </w:rPr>
              <w:t>Remaining Available</w:t>
            </w:r>
          </w:p>
        </w:tc>
        <w:tc>
          <w:tcPr>
            <w:tcW w:w="0" w:type="dxa"/>
            <w:vAlign w:val="bottom"/>
          </w:tcPr>
          <w:p>
            <w:pPr>
              <w:spacing w:after="0"/>
              <w:rPr>
                <w:sz w:val="1"/>
                <w:szCs w:val="1"/>
                <w:color w:val="auto"/>
              </w:rPr>
            </w:pPr>
          </w:p>
        </w:tc>
      </w:tr>
      <w:tr>
        <w:trPr>
          <w:trHeight w:val="158"/>
        </w:trPr>
        <w:tc>
          <w:tcPr>
            <w:tcW w:w="9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7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88"/>
              </w:rPr>
              <w:t>for Future Issuance</w:t>
            </w:r>
          </w:p>
        </w:tc>
        <w:tc>
          <w:tcPr>
            <w:tcW w:w="0" w:type="dxa"/>
            <w:vAlign w:val="bottom"/>
          </w:tcPr>
          <w:p>
            <w:pPr>
              <w:spacing w:after="0"/>
              <w:rPr>
                <w:sz w:val="1"/>
                <w:szCs w:val="1"/>
                <w:color w:val="auto"/>
              </w:rPr>
            </w:pPr>
          </w:p>
        </w:tc>
      </w:tr>
      <w:tr>
        <w:trPr>
          <w:trHeight w:val="158"/>
        </w:trPr>
        <w:tc>
          <w:tcPr>
            <w:tcW w:w="9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9"/>
              </w:rPr>
              <w:t>Number of Securities</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center"/>
              <w:ind w:right="93"/>
              <w:spacing w:after="0" w:line="158" w:lineRule="exact"/>
              <w:rPr>
                <w:sz w:val="20"/>
                <w:szCs w:val="20"/>
                <w:color w:val="auto"/>
              </w:rPr>
            </w:pPr>
            <w:r>
              <w:rPr>
                <w:rFonts w:ascii="Arial" w:cs="Arial" w:eastAsia="Arial" w:hAnsi="Arial"/>
                <w:sz w:val="16"/>
                <w:szCs w:val="16"/>
                <w:b w:val="1"/>
                <w:bCs w:val="1"/>
                <w:color w:val="auto"/>
                <w:w w:val="89"/>
              </w:rPr>
              <w:t>Weighted-Average</w:t>
            </w:r>
          </w:p>
        </w:tc>
        <w:tc>
          <w:tcPr>
            <w:tcW w:w="280" w:type="dxa"/>
            <w:vAlign w:val="bottom"/>
          </w:tcPr>
          <w:p>
            <w:pPr>
              <w:spacing w:after="0"/>
              <w:rPr>
                <w:sz w:val="13"/>
                <w:szCs w:val="13"/>
                <w:color w:val="auto"/>
              </w:rPr>
            </w:pPr>
          </w:p>
        </w:tc>
        <w:tc>
          <w:tcPr>
            <w:tcW w:w="200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Under Equity</w:t>
            </w:r>
          </w:p>
        </w:tc>
        <w:tc>
          <w:tcPr>
            <w:tcW w:w="0" w:type="dxa"/>
            <w:vAlign w:val="bottom"/>
          </w:tcPr>
          <w:p>
            <w:pPr>
              <w:spacing w:after="0"/>
              <w:rPr>
                <w:sz w:val="1"/>
                <w:szCs w:val="1"/>
                <w:color w:val="auto"/>
              </w:rPr>
            </w:pPr>
          </w:p>
        </w:tc>
      </w:tr>
      <w:tr>
        <w:trPr>
          <w:trHeight w:val="158"/>
        </w:trPr>
        <w:tc>
          <w:tcPr>
            <w:tcW w:w="9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7"/>
              </w:rPr>
              <w:t>to be Issued Upon</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center"/>
              <w:ind w:right="93"/>
              <w:spacing w:after="0" w:line="158" w:lineRule="exact"/>
              <w:rPr>
                <w:sz w:val="20"/>
                <w:szCs w:val="20"/>
                <w:color w:val="auto"/>
              </w:rPr>
            </w:pPr>
            <w:r>
              <w:rPr>
                <w:rFonts w:ascii="Arial" w:cs="Arial" w:eastAsia="Arial" w:hAnsi="Arial"/>
                <w:sz w:val="16"/>
                <w:szCs w:val="16"/>
                <w:b w:val="1"/>
                <w:bCs w:val="1"/>
                <w:color w:val="auto"/>
                <w:w w:val="88"/>
              </w:rPr>
              <w:t>Exercise</w:t>
            </w:r>
          </w:p>
        </w:tc>
        <w:tc>
          <w:tcPr>
            <w:tcW w:w="280" w:type="dxa"/>
            <w:vAlign w:val="bottom"/>
          </w:tcPr>
          <w:p>
            <w:pPr>
              <w:spacing w:after="0"/>
              <w:rPr>
                <w:sz w:val="13"/>
                <w:szCs w:val="13"/>
                <w:color w:val="auto"/>
              </w:rPr>
            </w:pPr>
          </w:p>
        </w:tc>
        <w:tc>
          <w:tcPr>
            <w:tcW w:w="200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86"/>
              </w:rPr>
              <w:t>Compensation</w:t>
            </w:r>
          </w:p>
        </w:tc>
        <w:tc>
          <w:tcPr>
            <w:tcW w:w="0" w:type="dxa"/>
            <w:vAlign w:val="bottom"/>
          </w:tcPr>
          <w:p>
            <w:pPr>
              <w:spacing w:after="0"/>
              <w:rPr>
                <w:sz w:val="1"/>
                <w:szCs w:val="1"/>
                <w:color w:val="auto"/>
              </w:rPr>
            </w:pPr>
          </w:p>
        </w:tc>
      </w:tr>
      <w:tr>
        <w:trPr>
          <w:trHeight w:val="158"/>
        </w:trPr>
        <w:tc>
          <w:tcPr>
            <w:tcW w:w="9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6"/>
              </w:rPr>
              <w:t>Exercise of</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center"/>
              <w:ind w:right="73"/>
              <w:spacing w:after="0" w:line="158" w:lineRule="exact"/>
              <w:rPr>
                <w:sz w:val="20"/>
                <w:szCs w:val="20"/>
                <w:color w:val="auto"/>
              </w:rPr>
            </w:pPr>
            <w:r>
              <w:rPr>
                <w:rFonts w:ascii="Arial" w:cs="Arial" w:eastAsia="Arial" w:hAnsi="Arial"/>
                <w:sz w:val="16"/>
                <w:szCs w:val="16"/>
                <w:b w:val="1"/>
                <w:bCs w:val="1"/>
                <w:color w:val="auto"/>
                <w:w w:val="88"/>
              </w:rPr>
              <w:t>Price of Outstanding</w:t>
            </w:r>
          </w:p>
        </w:tc>
        <w:tc>
          <w:tcPr>
            <w:tcW w:w="280" w:type="dxa"/>
            <w:vAlign w:val="bottom"/>
          </w:tcPr>
          <w:p>
            <w:pPr>
              <w:spacing w:after="0"/>
              <w:rPr>
                <w:sz w:val="13"/>
                <w:szCs w:val="13"/>
                <w:color w:val="auto"/>
              </w:rPr>
            </w:pPr>
          </w:p>
        </w:tc>
        <w:tc>
          <w:tcPr>
            <w:tcW w:w="200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89"/>
              </w:rPr>
              <w:t>Plans (Excluding</w:t>
            </w:r>
          </w:p>
        </w:tc>
        <w:tc>
          <w:tcPr>
            <w:tcW w:w="0" w:type="dxa"/>
            <w:vAlign w:val="bottom"/>
          </w:tcPr>
          <w:p>
            <w:pPr>
              <w:spacing w:after="0"/>
              <w:rPr>
                <w:sz w:val="1"/>
                <w:szCs w:val="1"/>
                <w:color w:val="auto"/>
              </w:rPr>
            </w:pPr>
          </w:p>
        </w:tc>
      </w:tr>
      <w:tr>
        <w:trPr>
          <w:trHeight w:val="158"/>
        </w:trPr>
        <w:tc>
          <w:tcPr>
            <w:tcW w:w="4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Plan Category</w:t>
            </w:r>
          </w:p>
        </w:tc>
        <w:tc>
          <w:tcPr>
            <w:tcW w:w="17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9"/>
              </w:rPr>
              <w:t>Outstanding Options,</w:t>
            </w:r>
          </w:p>
        </w:tc>
        <w:tc>
          <w:tcPr>
            <w:tcW w:w="340" w:type="dxa"/>
            <w:vAlign w:val="bottom"/>
          </w:tcPr>
          <w:p>
            <w:pPr>
              <w:spacing w:after="0"/>
              <w:rPr>
                <w:sz w:val="13"/>
                <w:szCs w:val="13"/>
                <w:color w:val="auto"/>
              </w:rPr>
            </w:pPr>
          </w:p>
        </w:tc>
        <w:tc>
          <w:tcPr>
            <w:tcW w:w="170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w w:val="94"/>
              </w:rPr>
              <w:t>Options, Warrants and</w:t>
            </w:r>
          </w:p>
        </w:tc>
        <w:tc>
          <w:tcPr>
            <w:tcW w:w="280" w:type="dxa"/>
            <w:vAlign w:val="bottom"/>
          </w:tcPr>
          <w:p>
            <w:pPr>
              <w:spacing w:after="0"/>
              <w:rPr>
                <w:sz w:val="13"/>
                <w:szCs w:val="13"/>
                <w:color w:val="auto"/>
              </w:rPr>
            </w:pPr>
          </w:p>
        </w:tc>
        <w:tc>
          <w:tcPr>
            <w:tcW w:w="200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86"/>
              </w:rPr>
              <w:t>Securities Reflected</w:t>
            </w:r>
          </w:p>
        </w:tc>
        <w:tc>
          <w:tcPr>
            <w:tcW w:w="0" w:type="dxa"/>
            <w:vAlign w:val="bottom"/>
          </w:tcPr>
          <w:p>
            <w:pPr>
              <w:spacing w:after="0"/>
              <w:rPr>
                <w:sz w:val="1"/>
                <w:szCs w:val="1"/>
                <w:color w:val="auto"/>
              </w:rPr>
            </w:pPr>
          </w:p>
        </w:tc>
      </w:tr>
      <w:tr>
        <w:trPr>
          <w:trHeight w:val="172"/>
        </w:trPr>
        <w:tc>
          <w:tcPr>
            <w:tcW w:w="4040" w:type="dxa"/>
            <w:vAlign w:val="bottom"/>
            <w:gridSpan w:val="2"/>
            <w:vMerge w:val="continue"/>
          </w:tcPr>
          <w:p>
            <w:pPr>
              <w:spacing w:after="0"/>
              <w:rPr>
                <w:sz w:val="14"/>
                <w:szCs w:val="14"/>
                <w:color w:val="auto"/>
              </w:rPr>
            </w:pPr>
          </w:p>
        </w:tc>
        <w:tc>
          <w:tcPr>
            <w:tcW w:w="170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2"/>
              </w:rPr>
              <w:t>Warrants and Rights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center"/>
              <w:ind w:right="73"/>
              <w:spacing w:after="0" w:line="171" w:lineRule="exact"/>
              <w:rPr>
                <w:sz w:val="20"/>
                <w:szCs w:val="20"/>
                <w:color w:val="auto"/>
              </w:rPr>
            </w:pPr>
            <w:r>
              <w:rPr>
                <w:rFonts w:ascii="Arial" w:cs="Arial" w:eastAsia="Arial" w:hAnsi="Arial"/>
                <w:sz w:val="16"/>
                <w:szCs w:val="16"/>
                <w:b w:val="1"/>
                <w:bCs w:val="1"/>
                <w:color w:val="auto"/>
                <w:w w:val="88"/>
              </w:rPr>
              <w:t>Rights</w:t>
            </w:r>
          </w:p>
        </w:tc>
        <w:tc>
          <w:tcPr>
            <w:tcW w:w="280" w:type="dxa"/>
            <w:vAlign w:val="bottom"/>
          </w:tcPr>
          <w:p>
            <w:pPr>
              <w:spacing w:after="0"/>
              <w:rPr>
                <w:sz w:val="14"/>
                <w:szCs w:val="14"/>
                <w:color w:val="auto"/>
              </w:rPr>
            </w:pPr>
          </w:p>
        </w:tc>
        <w:tc>
          <w:tcPr>
            <w:tcW w:w="2000" w:type="dxa"/>
            <w:vAlign w:val="bottom"/>
            <w:gridSpan w:val="2"/>
          </w:tcPr>
          <w:p>
            <w:pPr>
              <w:jc w:val="center"/>
              <w:ind w:right="280"/>
              <w:spacing w:after="0" w:line="171" w:lineRule="exact"/>
              <w:rPr>
                <w:sz w:val="20"/>
                <w:szCs w:val="20"/>
                <w:color w:val="auto"/>
              </w:rPr>
            </w:pPr>
            <w:r>
              <w:rPr>
                <w:rFonts w:ascii="Arial" w:cs="Arial" w:eastAsia="Arial" w:hAnsi="Arial"/>
                <w:sz w:val="16"/>
                <w:szCs w:val="16"/>
                <w:b w:val="1"/>
                <w:bCs w:val="1"/>
                <w:color w:val="auto"/>
                <w:w w:val="92"/>
              </w:rPr>
              <w:t>in Column (a))</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040" w:type="dxa"/>
            <w:vAlign w:val="bottom"/>
            <w:gridSpan w:val="2"/>
            <w:vMerge w:val="restart"/>
          </w:tcPr>
          <w:p>
            <w:pPr>
              <w:spacing w:after="0"/>
              <w:rPr>
                <w:sz w:val="20"/>
                <w:szCs w:val="20"/>
                <w:color w:val="auto"/>
              </w:rPr>
            </w:pPr>
            <w:r>
              <w:rPr>
                <w:rFonts w:ascii="Arial" w:cs="Arial" w:eastAsia="Arial" w:hAnsi="Arial"/>
                <w:sz w:val="20"/>
                <w:szCs w:val="20"/>
                <w:color w:val="auto"/>
                <w:w w:val="93"/>
              </w:rPr>
              <w:t>Equity compensation plans approved by security</w:t>
            </w: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1700" w:type="dxa"/>
            <w:vAlign w:val="bottom"/>
            <w:vMerge w:val="restart"/>
          </w:tcPr>
          <w:p>
            <w:pPr>
              <w:jc w:val="right"/>
              <w:spacing w:after="0"/>
              <w:rPr>
                <w:sz w:val="20"/>
                <w:szCs w:val="20"/>
                <w:color w:val="auto"/>
              </w:rPr>
            </w:pPr>
            <w:r>
              <w:rPr>
                <w:rFonts w:ascii="Arial" w:cs="Arial" w:eastAsia="Arial" w:hAnsi="Arial"/>
                <w:sz w:val="20"/>
                <w:szCs w:val="20"/>
                <w:color w:val="auto"/>
              </w:rPr>
              <w:t>2,852,917</w:t>
            </w:r>
          </w:p>
        </w:tc>
        <w:tc>
          <w:tcPr>
            <w:tcW w:w="340" w:type="dxa"/>
            <w:vAlign w:val="bottom"/>
            <w:tcBorders>
              <w:right w:val="single" w:sz="8" w:color="E6E6E6"/>
            </w:tcBorders>
            <w:vMerge w:val="restart"/>
          </w:tcPr>
          <w:p>
            <w:pPr>
              <w:jc w:val="right"/>
              <w:spacing w:after="0"/>
              <w:rPr>
                <w:sz w:val="20"/>
                <w:szCs w:val="20"/>
                <w:color w:val="auto"/>
              </w:rPr>
            </w:pPr>
            <w:r>
              <w:rPr>
                <w:rFonts w:ascii="Arial" w:cs="Arial" w:eastAsia="Arial" w:hAnsi="Arial"/>
                <w:sz w:val="20"/>
                <w:szCs w:val="20"/>
                <w:color w:val="auto"/>
              </w:rPr>
              <w:t>(1)</w:t>
            </w:r>
          </w:p>
        </w:tc>
        <w:tc>
          <w:tcPr>
            <w:tcW w:w="140" w:type="dxa"/>
            <w:vAlign w:val="bottom"/>
            <w:vMerge w:val="restart"/>
          </w:tcPr>
          <w:p>
            <w:pPr>
              <w:ind w:left="40"/>
              <w:spacing w:after="0"/>
              <w:rPr>
                <w:sz w:val="20"/>
                <w:szCs w:val="20"/>
                <w:color w:val="auto"/>
              </w:rPr>
            </w:pPr>
            <w:r>
              <w:rPr>
                <w:rFonts w:ascii="Arial" w:cs="Arial" w:eastAsia="Arial" w:hAnsi="Arial"/>
                <w:sz w:val="20"/>
                <w:szCs w:val="20"/>
                <w:color w:val="auto"/>
                <w:w w:val="71"/>
              </w:rPr>
              <w:t>$</w:t>
            </w:r>
          </w:p>
        </w:tc>
        <w:tc>
          <w:tcPr>
            <w:tcW w:w="1560" w:type="dxa"/>
            <w:vAlign w:val="bottom"/>
            <w:tcBorders>
              <w:right w:val="single" w:sz="8" w:color="E6E6E6"/>
            </w:tcBorders>
            <w:vMerge w:val="restart"/>
          </w:tcPr>
          <w:p>
            <w:pPr>
              <w:ind w:left="1260"/>
              <w:spacing w:after="0"/>
              <w:rPr>
                <w:sz w:val="20"/>
                <w:szCs w:val="20"/>
                <w:color w:val="auto"/>
              </w:rPr>
            </w:pPr>
            <w:r>
              <w:rPr>
                <w:rFonts w:ascii="Arial" w:cs="Arial" w:eastAsia="Arial" w:hAnsi="Arial"/>
                <w:sz w:val="20"/>
                <w:szCs w:val="20"/>
                <w:color w:val="auto"/>
              </w:rPr>
              <w:t>—</w:t>
            </w:r>
          </w:p>
        </w:tc>
        <w:tc>
          <w:tcPr>
            <w:tcW w:w="2000" w:type="dxa"/>
            <w:vAlign w:val="bottom"/>
            <w:gridSpan w:val="2"/>
            <w:vMerge w:val="restart"/>
          </w:tcPr>
          <w:p>
            <w:pPr>
              <w:ind w:left="1020"/>
              <w:spacing w:after="0"/>
              <w:rPr>
                <w:sz w:val="20"/>
                <w:szCs w:val="20"/>
                <w:color w:val="auto"/>
              </w:rPr>
            </w:pPr>
            <w:r>
              <w:rPr>
                <w:rFonts w:ascii="Arial" w:cs="Arial" w:eastAsia="Arial" w:hAnsi="Arial"/>
                <w:sz w:val="20"/>
                <w:szCs w:val="20"/>
                <w:color w:val="auto"/>
                <w:w w:val="95"/>
              </w:rPr>
              <w:t>13,648,879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740" w:type="dxa"/>
            <w:vAlign w:val="bottom"/>
            <w:gridSpan w:val="3"/>
          </w:tcPr>
          <w:p>
            <w:pPr>
              <w:jc w:val="right"/>
              <w:ind w:right="1674"/>
              <w:spacing w:after="0"/>
              <w:rPr>
                <w:sz w:val="20"/>
                <w:szCs w:val="20"/>
                <w:color w:val="auto"/>
              </w:rPr>
            </w:pPr>
            <w:r>
              <w:rPr>
                <w:rFonts w:ascii="Arial" w:cs="Arial" w:eastAsia="Arial" w:hAnsi="Arial"/>
                <w:sz w:val="20"/>
                <w:szCs w:val="20"/>
                <w:color w:val="auto"/>
                <w:w w:val="96"/>
              </w:rPr>
              <w:t xml:space="preserve">holders </w:t>
            </w:r>
            <w:r>
              <w:rPr>
                <w:rFonts w:ascii="Arial" w:cs="Arial" w:eastAsia="Arial" w:hAnsi="Arial"/>
                <w:sz w:val="20"/>
                <w:szCs w:val="20"/>
                <w:color w:val="B4B4B4"/>
                <w:w w:val="96"/>
              </w:rPr>
              <w:t>. . . . . . . . . . . . . . . . . . . . . . . . . . . . . . .</w:t>
            </w:r>
          </w:p>
        </w:tc>
        <w:tc>
          <w:tcPr>
            <w:tcW w:w="340" w:type="dxa"/>
            <w:vAlign w:val="bottom"/>
            <w:tcBorders>
              <w:right w:val="single" w:sz="8" w:color="E6E6E6"/>
            </w:tcBorders>
            <w:vMerge w:val="continue"/>
          </w:tcPr>
          <w:p>
            <w:pPr>
              <w:spacing w:after="0"/>
              <w:rPr>
                <w:sz w:val="23"/>
                <w:szCs w:val="23"/>
                <w:color w:val="auto"/>
              </w:rPr>
            </w:pPr>
          </w:p>
        </w:tc>
        <w:tc>
          <w:tcPr>
            <w:tcW w:w="140" w:type="dxa"/>
            <w:vAlign w:val="bottom"/>
            <w:vMerge w:val="continue"/>
          </w:tcPr>
          <w:p>
            <w:pPr>
              <w:spacing w:after="0"/>
              <w:rPr>
                <w:sz w:val="23"/>
                <w:szCs w:val="23"/>
                <w:color w:val="auto"/>
              </w:rPr>
            </w:pPr>
          </w:p>
        </w:tc>
        <w:tc>
          <w:tcPr>
            <w:tcW w:w="1560" w:type="dxa"/>
            <w:vAlign w:val="bottom"/>
            <w:tcBorders>
              <w:right w:val="single" w:sz="8" w:color="E6E6E6"/>
            </w:tcBorders>
            <w:vMerge w:val="continue"/>
          </w:tcPr>
          <w:p>
            <w:pPr>
              <w:spacing w:after="0"/>
              <w:rPr>
                <w:sz w:val="23"/>
                <w:szCs w:val="23"/>
                <w:color w:val="auto"/>
              </w:rPr>
            </w:pPr>
          </w:p>
        </w:tc>
        <w:tc>
          <w:tcPr>
            <w:tcW w:w="2000" w:type="dxa"/>
            <w:vAlign w:val="bottom"/>
            <w:gridSpan w:val="2"/>
            <w:vMerge w:val="continue"/>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4040" w:type="dxa"/>
            <w:vAlign w:val="bottom"/>
            <w:gridSpan w:val="2"/>
          </w:tcPr>
          <w:p>
            <w:pPr>
              <w:spacing w:after="0" w:line="190" w:lineRule="exact"/>
              <w:rPr>
                <w:sz w:val="20"/>
                <w:szCs w:val="20"/>
                <w:color w:val="auto"/>
              </w:rPr>
            </w:pPr>
            <w:r>
              <w:rPr>
                <w:rFonts w:ascii="Arial" w:cs="Arial" w:eastAsia="Arial" w:hAnsi="Arial"/>
                <w:sz w:val="20"/>
                <w:szCs w:val="20"/>
                <w:color w:val="auto"/>
              </w:rPr>
              <w:t>Equity compensation plans not approved by</w:t>
            </w:r>
          </w:p>
        </w:tc>
        <w:tc>
          <w:tcPr>
            <w:tcW w:w="1700" w:type="dxa"/>
            <w:vAlign w:val="bottom"/>
            <w:vMerge w:val="restart"/>
          </w:tcPr>
          <w:p>
            <w:pPr>
              <w:jc w:val="right"/>
              <w:spacing w:after="0"/>
              <w:rPr>
                <w:sz w:val="20"/>
                <w:szCs w:val="20"/>
                <w:color w:val="auto"/>
              </w:rPr>
            </w:pPr>
            <w:r>
              <w:rPr>
                <w:rFonts w:ascii="Arial" w:cs="Arial" w:eastAsia="Arial" w:hAnsi="Arial"/>
                <w:sz w:val="20"/>
                <w:szCs w:val="20"/>
                <w:color w:val="auto"/>
              </w:rPr>
              <w:t>2,877,137</w:t>
            </w:r>
          </w:p>
        </w:tc>
        <w:tc>
          <w:tcPr>
            <w:tcW w:w="34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140" w:type="dxa"/>
            <w:vAlign w:val="bottom"/>
            <w:vMerge w:val="restart"/>
          </w:tcPr>
          <w:p>
            <w:pPr>
              <w:ind w:left="40"/>
              <w:spacing w:after="0"/>
              <w:rPr>
                <w:sz w:val="20"/>
                <w:szCs w:val="20"/>
                <w:color w:val="auto"/>
              </w:rPr>
            </w:pPr>
            <w:r>
              <w:rPr>
                <w:rFonts w:ascii="Arial" w:cs="Arial" w:eastAsia="Arial" w:hAnsi="Arial"/>
                <w:sz w:val="20"/>
                <w:szCs w:val="20"/>
                <w:color w:val="auto"/>
                <w:w w:val="71"/>
              </w:rPr>
              <w:t>$</w:t>
            </w:r>
          </w:p>
        </w:tc>
        <w:tc>
          <w:tcPr>
            <w:tcW w:w="1560" w:type="dxa"/>
            <w:vAlign w:val="bottom"/>
            <w:vMerge w:val="restart"/>
          </w:tcPr>
          <w:p>
            <w:pPr>
              <w:ind w:left="1260"/>
              <w:spacing w:after="0"/>
              <w:rPr>
                <w:sz w:val="20"/>
                <w:szCs w:val="20"/>
                <w:color w:val="auto"/>
              </w:rPr>
            </w:pPr>
            <w:r>
              <w:rPr>
                <w:rFonts w:ascii="Arial" w:cs="Arial" w:eastAsia="Arial" w:hAnsi="Arial"/>
                <w:sz w:val="20"/>
                <w:szCs w:val="20"/>
                <w:color w:val="auto"/>
              </w:rPr>
              <w:t>—</w:t>
            </w:r>
          </w:p>
        </w:tc>
        <w:tc>
          <w:tcPr>
            <w:tcW w:w="280" w:type="dxa"/>
            <w:vAlign w:val="bottom"/>
            <w:vMerge w:val="restart"/>
          </w:tcPr>
          <w:p>
            <w:pPr>
              <w:spacing w:after="0"/>
              <w:rPr>
                <w:sz w:val="16"/>
                <w:szCs w:val="16"/>
                <w:color w:val="auto"/>
              </w:rPr>
            </w:pPr>
          </w:p>
        </w:tc>
        <w:tc>
          <w:tcPr>
            <w:tcW w:w="1720" w:type="dxa"/>
            <w:vAlign w:val="bottom"/>
            <w:vMerge w:val="restart"/>
          </w:tcPr>
          <w:p>
            <w:pPr>
              <w:ind w:left="740"/>
              <w:spacing w:after="0"/>
              <w:rPr>
                <w:sz w:val="20"/>
                <w:szCs w:val="20"/>
                <w:color w:val="auto"/>
              </w:rPr>
            </w:pPr>
            <w:r>
              <w:rPr>
                <w:rFonts w:ascii="Arial" w:cs="Arial" w:eastAsia="Arial" w:hAnsi="Arial"/>
                <w:sz w:val="20"/>
                <w:szCs w:val="20"/>
                <w:color w:val="auto"/>
                <w:w w:val="95"/>
              </w:rPr>
              <w:t>12,557,143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040" w:type="dxa"/>
            <w:vAlign w:val="bottom"/>
            <w:gridSpan w:val="2"/>
          </w:tcPr>
          <w:p>
            <w:pPr>
              <w:jc w:val="right"/>
              <w:ind w:right="60"/>
              <w:spacing w:after="0"/>
              <w:rPr>
                <w:sz w:val="20"/>
                <w:szCs w:val="20"/>
                <w:color w:val="auto"/>
              </w:rPr>
            </w:pPr>
            <w:r>
              <w:rPr>
                <w:rFonts w:ascii="Arial" w:cs="Arial" w:eastAsia="Arial" w:hAnsi="Arial"/>
                <w:sz w:val="20"/>
                <w:szCs w:val="20"/>
                <w:color w:val="auto"/>
                <w:w w:val="95"/>
              </w:rPr>
              <w:t xml:space="preserve">security holders  </w:t>
            </w:r>
            <w:r>
              <w:rPr>
                <w:rFonts w:ascii="Arial" w:cs="Arial" w:eastAsia="Arial" w:hAnsi="Arial"/>
                <w:sz w:val="20"/>
                <w:szCs w:val="20"/>
                <w:color w:val="B4B4B4"/>
                <w:w w:val="95"/>
              </w:rPr>
              <w:t>. . . . . . . . . . . . . . . . . . . . . . . .</w:t>
            </w:r>
          </w:p>
        </w:tc>
        <w:tc>
          <w:tcPr>
            <w:tcW w:w="1700" w:type="dxa"/>
            <w:vAlign w:val="bottom"/>
            <w:tcBorders>
              <w:bottom w:val="single" w:sz="8" w:color="auto"/>
            </w:tcBorders>
            <w:vMerge w:val="continue"/>
          </w:tcPr>
          <w:p>
            <w:pPr>
              <w:spacing w:after="0"/>
              <w:rPr>
                <w:sz w:val="22"/>
                <w:szCs w:val="22"/>
                <w:color w:val="auto"/>
              </w:rPr>
            </w:pPr>
          </w:p>
        </w:tc>
        <w:tc>
          <w:tcPr>
            <w:tcW w:w="340" w:type="dxa"/>
            <w:vAlign w:val="bottom"/>
            <w:vMerge w:val="continue"/>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560" w:type="dxa"/>
            <w:vAlign w:val="bottom"/>
            <w:tcBorders>
              <w:bottom w:val="single" w:sz="8" w:color="auto"/>
            </w:tcBorders>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1720" w:type="dxa"/>
            <w:vAlign w:val="bottom"/>
            <w:tcBorders>
              <w:bottom w:val="single" w:sz="8" w:color="auto"/>
            </w:tcBorders>
            <w:vMerge w:val="continue"/>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040" w:type="dxa"/>
            <w:vAlign w:val="bottom"/>
            <w:gridSpan w:val="2"/>
          </w:tcPr>
          <w:p>
            <w:pPr>
              <w:jc w:val="right"/>
              <w:ind w:right="60"/>
              <w:spacing w:after="0"/>
              <w:rPr>
                <w:sz w:val="20"/>
                <w:szCs w:val="20"/>
                <w:color w:val="auto"/>
              </w:rPr>
            </w:pPr>
            <w:r>
              <w:rPr>
                <w:rFonts w:ascii="Arial" w:cs="Arial" w:eastAsia="Arial" w:hAnsi="Arial"/>
                <w:sz w:val="20"/>
                <w:szCs w:val="20"/>
                <w:color w:val="B4B4B4"/>
              </w:rPr>
              <w:t>. . . . . . . . . . . . . . . . . . . . . . . . . . . . . .</w:t>
            </w:r>
            <w:r>
              <w:rPr>
                <w:rFonts w:ascii="Arial" w:cs="Arial" w:eastAsia="Arial" w:hAnsi="Arial"/>
                <w:sz w:val="20"/>
                <w:szCs w:val="20"/>
                <w:color w:val="000000"/>
              </w:rPr>
              <w:t>Total</w:t>
            </w:r>
            <w:r>
              <w:rPr>
                <w:rFonts w:ascii="Arial" w:cs="Arial" w:eastAsia="Arial" w:hAnsi="Arial"/>
                <w:sz w:val="20"/>
                <w:szCs w:val="20"/>
                <w:color w:val="B4B4B4"/>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5,730,054</w:t>
            </w:r>
          </w:p>
        </w:tc>
        <w:tc>
          <w:tcPr>
            <w:tcW w:w="340" w:type="dxa"/>
            <w:vAlign w:val="bottom"/>
            <w:tcBorders>
              <w:right w:val="single" w:sz="8" w:color="E6E6E6"/>
            </w:tcBorders>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20"/>
                <w:szCs w:val="20"/>
                <w:color w:val="auto"/>
                <w:w w:val="71"/>
              </w:rPr>
              <w:t>$</w:t>
            </w:r>
          </w:p>
        </w:tc>
        <w:tc>
          <w:tcPr>
            <w:tcW w:w="1560" w:type="dxa"/>
            <w:vAlign w:val="bottom"/>
            <w:tcBorders>
              <w:right w:val="single" w:sz="8" w:color="E6E6E6"/>
            </w:tcBorders>
          </w:tcPr>
          <w:p>
            <w:pPr>
              <w:ind w:left="1260"/>
              <w:spacing w:after="0"/>
              <w:rPr>
                <w:sz w:val="20"/>
                <w:szCs w:val="20"/>
                <w:color w:val="auto"/>
              </w:rPr>
            </w:pPr>
            <w:r>
              <w:rPr>
                <w:rFonts w:ascii="Arial" w:cs="Arial" w:eastAsia="Arial" w:hAnsi="Arial"/>
                <w:sz w:val="20"/>
                <w:szCs w:val="20"/>
                <w:color w:val="auto"/>
              </w:rPr>
              <w:t>—</w:t>
            </w:r>
          </w:p>
        </w:tc>
        <w:tc>
          <w:tcPr>
            <w:tcW w:w="2280" w:type="dxa"/>
            <w:vAlign w:val="bottom"/>
            <w:gridSpan w:val="3"/>
          </w:tcPr>
          <w:p>
            <w:pPr>
              <w:ind w:left="1020"/>
              <w:spacing w:after="0"/>
              <w:rPr>
                <w:sz w:val="20"/>
                <w:szCs w:val="20"/>
                <w:color w:val="auto"/>
              </w:rPr>
            </w:pPr>
            <w:r>
              <w:rPr>
                <w:rFonts w:ascii="Arial" w:cs="Arial" w:eastAsia="Arial" w:hAnsi="Arial"/>
                <w:sz w:val="20"/>
                <w:szCs w:val="20"/>
                <w:color w:val="auto"/>
                <w:w w:val="91"/>
              </w:rPr>
              <w:t>26,206,022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-795020</wp:posOffset>
            </wp:positionV>
            <wp:extent cx="6466205" cy="8083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9">
                      <a:extLst>
                        <a:ext uri="{28A0092B-C50C-407E-A947-70E740481C1C}"/>
                      </a:extLst>
                    </a:blip>
                    <a:srcRect/>
                    <a:stretch>
                      <a:fillRect/>
                    </a:stretch>
                  </pic:blipFill>
                  <pic:spPr bwMode="auto">
                    <a:xfrm>
                      <a:off x="0" y="0"/>
                      <a:ext cx="6466205" cy="808355"/>
                    </a:xfrm>
                    <a:prstGeom prst="rect">
                      <a:avLst/>
                    </a:prstGeom>
                    <a:noFill/>
                  </pic:spPr>
                </pic:pic>
              </a:graphicData>
            </a:graphic>
          </wp:anchor>
        </w:drawing>
      </w:r>
    </w:p>
    <w:p>
      <w:pPr>
        <w:spacing w:after="0" w:line="28" w:lineRule="exact"/>
        <w:rPr>
          <w:sz w:val="20"/>
          <w:szCs w:val="20"/>
          <w:color w:val="auto"/>
        </w:rPr>
      </w:pPr>
    </w:p>
    <w:p>
      <w:pPr>
        <w:ind w:left="360" w:hanging="359"/>
        <w:spacing w:after="0"/>
        <w:tabs>
          <w:tab w:leader="none" w:pos="3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Consists of shares issuable under the NRG LTIP. See Note 20, </w:t>
      </w:r>
      <w:r>
        <w:rPr>
          <w:rFonts w:ascii="Arial" w:cs="Arial" w:eastAsia="Arial" w:hAnsi="Arial"/>
          <w:sz w:val="16"/>
          <w:szCs w:val="16"/>
          <w:b w:val="1"/>
          <w:bCs w:val="1"/>
          <w:i w:val="1"/>
          <w:iCs w:val="1"/>
          <w:color w:val="auto"/>
        </w:rPr>
        <w:t>Stock-Based Compensation</w:t>
      </w:r>
      <w:r>
        <w:rPr>
          <w:rFonts w:ascii="Arial" w:cs="Arial" w:eastAsia="Arial" w:hAnsi="Arial"/>
          <w:sz w:val="16"/>
          <w:szCs w:val="16"/>
          <w:color w:val="auto"/>
        </w:rPr>
        <w:t xml:space="preserve"> for a discussion of the NRG LTIP</w:t>
      </w:r>
    </w:p>
    <w:p>
      <w:pPr>
        <w:spacing w:after="0" w:line="25" w:lineRule="exact"/>
        <w:rPr>
          <w:rFonts w:ascii="Arial" w:cs="Arial" w:eastAsia="Arial" w:hAnsi="Arial"/>
          <w:sz w:val="16"/>
          <w:szCs w:val="16"/>
          <w:color w:val="auto"/>
        </w:rPr>
      </w:pPr>
    </w:p>
    <w:p>
      <w:pPr>
        <w:jc w:val="both"/>
        <w:ind w:left="360" w:hanging="359"/>
        <w:spacing w:after="0" w:line="247" w:lineRule="auto"/>
        <w:tabs>
          <w:tab w:leader="none" w:pos="3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Consists of shares issuable under the Vivint LTIP. On March 10, 2023, in connection with the Acquisition, NRG assumed the Vivint LTIP. While the Vivint LTIP was previously approved by stockholders of Vivint Smart Home, Inc., the plan is listed as "not approved" because it was assumed as part of the Acquisition and not subject to approval by NRG stockholders. The Company intends to make subsequent grants under the Vivint LTIP. See Note 20, </w:t>
      </w:r>
      <w:r>
        <w:rPr>
          <w:rFonts w:ascii="Arial" w:cs="Arial" w:eastAsia="Arial" w:hAnsi="Arial"/>
          <w:sz w:val="16"/>
          <w:szCs w:val="16"/>
          <w:b w:val="1"/>
          <w:bCs w:val="1"/>
          <w:i w:val="1"/>
          <w:iCs w:val="1"/>
          <w:color w:val="auto"/>
        </w:rPr>
        <w:t xml:space="preserve">Stock-Based Compensation </w:t>
      </w:r>
      <w:r>
        <w:rPr>
          <w:rFonts w:ascii="Arial" w:cs="Arial" w:eastAsia="Arial" w:hAnsi="Arial"/>
          <w:sz w:val="16"/>
          <w:szCs w:val="16"/>
          <w:color w:val="auto"/>
        </w:rPr>
        <w:t>for a discussion of the Vivint LTIP</w:t>
      </w:r>
    </w:p>
    <w:p>
      <w:pPr>
        <w:spacing w:after="0" w:line="2" w:lineRule="exact"/>
        <w:rPr>
          <w:rFonts w:ascii="Arial" w:cs="Arial" w:eastAsia="Arial" w:hAnsi="Arial"/>
          <w:sz w:val="16"/>
          <w:szCs w:val="16"/>
          <w:color w:val="auto"/>
        </w:rPr>
      </w:pPr>
    </w:p>
    <w:p>
      <w:pPr>
        <w:ind w:left="360" w:hanging="359"/>
        <w:spacing w:after="0" w:line="255" w:lineRule="auto"/>
        <w:tabs>
          <w:tab w:leader="none" w:pos="3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Consists of 7,188,824 shares of common stock under the NRG LTIP, 12,557,143 shares of common stock under the Vivint LTIP and 6,460,055 shares of treasury stock reserved for issuance under the ESPP</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880" w:h="15480" w:orient="portrait"/>
          <w:cols w:equalWidth="0" w:num="1">
            <w:col w:w="10160"/>
          </w:cols>
          <w:pgMar w:left="860" w:top="505" w:right="860" w:bottom="0" w:gutter="0" w:footer="0" w:header="0"/>
          <w:type w:val="continuous"/>
        </w:sectPr>
      </w:pPr>
    </w:p>
    <w:bookmarkStart w:id="85" w:name="page86"/>
    <w:bookmarkEnd w:id="85"/>
    <w:p>
      <w:pPr>
        <w:jc w:val="both"/>
        <w:ind w:firstLine="445"/>
        <w:spacing w:after="0" w:line="268" w:lineRule="auto"/>
        <w:rPr>
          <w:sz w:val="20"/>
          <w:szCs w:val="20"/>
          <w:color w:val="auto"/>
        </w:rPr>
      </w:pPr>
      <w:r>
        <w:rPr>
          <w:rFonts w:ascii="Arial" w:cs="Arial" w:eastAsia="Arial" w:hAnsi="Arial"/>
          <w:sz w:val="19"/>
          <w:szCs w:val="19"/>
          <w:color w:val="auto"/>
        </w:rPr>
        <w:t>The LTIPs currently provides for grants of restricted stock units, relative performance stock units, deferred stock units and dividend equivalent rights. The Company's directors, officers and employees, as well as other individuals performing services for, or to whom an offer of employment has been extended by the Company, are eligible to receive grants under one or both of the LTIPs. The purpose of the LTIPs is to promote the Company's long-term growth and profitability by providing these individuals with incentives to maximize stockholder value and otherwise contribute to the Company's success and to enable the Company to attract, retain and reward the best available persons for positions of responsibility. The Compensation Committee of the Board of Directors administers the LTIPs.</w:t>
      </w:r>
    </w:p>
    <w:p>
      <w:pPr>
        <w:spacing w:after="0" w:line="7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Other information required by this Item is incorporated by reference to the similarly named section of NRG's Definitive Proxy Statement for its 2025 Annual Meeting of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 Certain Relationships and Related Transactions, and Director Independence</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Information required by this Item is incorporated by reference to the similarly named section of NRG's Definitive Proxy Statement for its 2025 Annual Meeting of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 Principal Accounting Fees and Services</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Information required by this Item is incorporated by reference to the similarly named section of NRG's Definitive Proxy Statement for its 2025 Annual Meeting of Stockholders.</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880" w:h="15480" w:orient="portrait"/>
          <w:cols w:equalWidth="0" w:num="1">
            <w:col w:w="10160"/>
          </w:cols>
          <w:pgMar w:left="860" w:top="512" w:right="860" w:bottom="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20"/>
          <w:szCs w:val="20"/>
          <w:b w:val="1"/>
          <w:bCs w:val="1"/>
          <w:color w:val="auto"/>
        </w:rPr>
        <w:t>PART IV</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 Exhibits, Financial Statement Schedules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(a)(1) Financial Statements</w:t>
      </w:r>
    </w:p>
    <w:p>
      <w:pPr>
        <w:spacing w:after="0" w:line="186" w:lineRule="exact"/>
        <w:rPr>
          <w:sz w:val="20"/>
          <w:szCs w:val="20"/>
          <w:color w:val="auto"/>
        </w:rPr>
      </w:pPr>
    </w:p>
    <w:p>
      <w:pPr>
        <w:jc w:val="both"/>
        <w:ind w:left="1080" w:hanging="266"/>
        <w:spacing w:after="0" w:line="277" w:lineRule="auto"/>
        <w:rPr>
          <w:sz w:val="20"/>
          <w:szCs w:val="20"/>
          <w:color w:val="auto"/>
        </w:rPr>
      </w:pPr>
      <w:r>
        <w:rPr>
          <w:rFonts w:ascii="Arial" w:cs="Arial" w:eastAsia="Arial" w:hAnsi="Arial"/>
          <w:sz w:val="20"/>
          <w:szCs w:val="20"/>
          <w:color w:val="auto"/>
        </w:rPr>
        <w:t>The following consolidated financial statements of NRG Energy, Inc. and related notes thereto, together with the reports thereon of KPMG LLP, Philadelphia, PA, Auditor Firm ID: 185, are included herein:</w:t>
      </w:r>
    </w:p>
    <w:p>
      <w:pPr>
        <w:spacing w:after="0" w:line="12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Consolidated Statements of Operations — Years ended December 31, 2024, 2023, and 2022</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Consolidated Statements of Comprehensive Income/(Loss) — Years ended December 31, 2024, 2023, and 2022</w:t>
      </w:r>
    </w:p>
    <w:p>
      <w:pPr>
        <w:spacing w:after="0" w:line="20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Consolidated Balance Sheets — As of December 31, 2024 and 2023</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Consolidated Statements of Cash Flows — Years ended December 31, 2024, 2023, and 2022</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Consolidated Statements of Stockholders' Equity — Years ended December 31, 2024, 2023, and 2022</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Notes to Consolidated Financial Statements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(a)(2) Financial Statement Schedule</w:t>
      </w:r>
    </w:p>
    <w:p>
      <w:pPr>
        <w:spacing w:after="0" w:line="186" w:lineRule="exact"/>
        <w:rPr>
          <w:sz w:val="20"/>
          <w:szCs w:val="20"/>
          <w:color w:val="auto"/>
        </w:rPr>
      </w:pPr>
    </w:p>
    <w:p>
      <w:pPr>
        <w:jc w:val="both"/>
        <w:ind w:left="1080" w:hanging="266"/>
        <w:spacing w:after="0" w:line="277" w:lineRule="auto"/>
        <w:rPr>
          <w:sz w:val="20"/>
          <w:szCs w:val="20"/>
          <w:color w:val="auto"/>
        </w:rPr>
      </w:pPr>
      <w:r>
        <w:rPr>
          <w:rFonts w:ascii="Arial" w:cs="Arial" w:eastAsia="Arial" w:hAnsi="Arial"/>
          <w:sz w:val="20"/>
          <w:szCs w:val="20"/>
          <w:color w:val="auto"/>
        </w:rPr>
        <w:t>The following Consolidated Financial Statement Schedule of NRG Energy, Inc. is filed as part of Item 15 of this report and should be read in conjunction with the Consolidated Financial Statements.</w:t>
      </w:r>
    </w:p>
    <w:p>
      <w:pPr>
        <w:spacing w:after="0" w:line="12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Schedule II — Valuation and Qualifying Accounts</w:t>
      </w:r>
    </w:p>
    <w:p>
      <w:pPr>
        <w:spacing w:after="0" w:line="186" w:lineRule="exact"/>
        <w:rPr>
          <w:sz w:val="20"/>
          <w:szCs w:val="20"/>
          <w:color w:val="auto"/>
        </w:rPr>
      </w:pPr>
    </w:p>
    <w:p>
      <w:pPr>
        <w:jc w:val="both"/>
        <w:ind w:left="1080" w:hanging="266"/>
        <w:spacing w:after="0" w:line="262" w:lineRule="auto"/>
        <w:rPr>
          <w:sz w:val="20"/>
          <w:szCs w:val="20"/>
          <w:color w:val="auto"/>
        </w:rPr>
      </w:pPr>
      <w:r>
        <w:rPr>
          <w:rFonts w:ascii="Arial" w:cs="Arial" w:eastAsia="Arial" w:hAnsi="Arial"/>
          <w:sz w:val="20"/>
          <w:szCs w:val="20"/>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(a)(3) Exhibits: See Exhibit Index submitted as a separate section of this report.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(b) Exhibits</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See Exhibit Index submitted as a separate section of this report.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(c) Not applicable</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880" w:h="15480" w:orient="portrait"/>
          <w:cols w:equalWidth="0" w:num="1">
            <w:col w:w="10160"/>
          </w:cols>
          <w:pgMar w:left="860" w:top="505" w:right="860" w:bottom="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NRG Energy, Inc.:</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 on the Consolidated Financial Statements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have audited the accompanying consolidated balance sheets of NRG Energy, Inc. and subsidiaries (the Company) as of December 31, 2024 and 2023, the related consolidated statements of operations, comprehensive income/(loss), stockholders' equity, and cash flows for each of the years in the three-year period ended December 31, 2024, and the related notes and financial statement schedule II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Arial" w:cs="Arial" w:eastAsia="Arial" w:hAnsi="Arial"/>
          <w:sz w:val="20"/>
          <w:szCs w:val="20"/>
          <w:b w:val="1"/>
          <w:bCs w:val="1"/>
          <w:i w:val="1"/>
          <w:iCs w:val="1"/>
          <w:color w:val="auto"/>
        </w:rPr>
        <w:t xml:space="preserve">Internal Control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Integrated Framework (2013) </w:t>
      </w:r>
      <w:r>
        <w:rPr>
          <w:rFonts w:ascii="Arial" w:cs="Arial" w:eastAsia="Arial" w:hAnsi="Arial"/>
          <w:sz w:val="20"/>
          <w:szCs w:val="20"/>
          <w:color w:val="auto"/>
        </w:rPr>
        <w:t>issued by the Committee of Sponsoring Organizations of the Treadway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Commission, and our report dated February 26, 2025 expressed an unqualified opinion on the effectiveness of the Company's internal control over financial reporting.</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130"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5"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Evaluation of the sufficiency of audit evidence over revenues</w:t>
      </w:r>
    </w:p>
    <w:p>
      <w:pPr>
        <w:spacing w:after="0" w:line="170" w:lineRule="exact"/>
        <w:rPr>
          <w:sz w:val="20"/>
          <w:szCs w:val="20"/>
          <w:color w:val="auto"/>
        </w:rPr>
      </w:pPr>
    </w:p>
    <w:p>
      <w:pPr>
        <w:jc w:val="both"/>
        <w:ind w:left="720"/>
        <w:spacing w:after="0" w:line="305" w:lineRule="auto"/>
        <w:rPr>
          <w:sz w:val="20"/>
          <w:szCs w:val="20"/>
          <w:color w:val="auto"/>
        </w:rPr>
      </w:pPr>
      <w:r>
        <w:rPr>
          <w:rFonts w:ascii="Arial" w:cs="Arial" w:eastAsia="Arial" w:hAnsi="Arial"/>
          <w:sz w:val="18"/>
          <w:szCs w:val="18"/>
          <w:color w:val="auto"/>
        </w:rPr>
        <w:t>As discussed in Note 3 to the consolidated financial statements, the Company had $28,130 million of revenues. Revenue is derived from various revenue streams in different geographic markets and the Company’s processes and related information technology (IT) systems used to record revenue differ for each of these revenue streams.</w:t>
      </w:r>
    </w:p>
    <w:p>
      <w:pPr>
        <w:spacing w:after="0" w:line="82" w:lineRule="exact"/>
        <w:rPr>
          <w:sz w:val="20"/>
          <w:szCs w:val="20"/>
          <w:color w:val="auto"/>
        </w:rPr>
      </w:pPr>
    </w:p>
    <w:p>
      <w:pPr>
        <w:jc w:val="both"/>
        <w:ind w:left="720"/>
        <w:spacing w:after="0" w:line="253" w:lineRule="auto"/>
        <w:rPr>
          <w:sz w:val="20"/>
          <w:szCs w:val="20"/>
          <w:color w:val="auto"/>
        </w:rPr>
      </w:pPr>
      <w:r>
        <w:rPr>
          <w:rFonts w:ascii="Arial" w:cs="Arial" w:eastAsia="Arial" w:hAnsi="Arial"/>
          <w:sz w:val="20"/>
          <w:szCs w:val="20"/>
          <w:color w:val="auto"/>
        </w:rPr>
        <w:t>We identified the evaluation of the sufficiency of audit evidence over revenues as a critical audit matter which required a high degree of auditor judgment due to the number of revenue streams and IT systems involved in the revenue recognition process. This included determining the revenue streams over which procedures were to be performed and evaluating the nature and extent of evidence obtained over the individual revenue streams as well as revenue in the aggregate. It also included the involvement of IT professionals with specialized skills and knowledge to assist in the performance of certain procedures.</w:t>
      </w:r>
    </w:p>
    <w:p>
      <w:pPr>
        <w:spacing w:after="0" w:line="129" w:lineRule="exact"/>
        <w:rPr>
          <w:sz w:val="20"/>
          <w:szCs w:val="20"/>
          <w:color w:val="auto"/>
        </w:rPr>
      </w:pPr>
    </w:p>
    <w:p>
      <w:pPr>
        <w:jc w:val="both"/>
        <w:ind w:left="720"/>
        <w:spacing w:after="0" w:line="358" w:lineRule="auto"/>
        <w:rPr>
          <w:sz w:val="20"/>
          <w:szCs w:val="20"/>
          <w:color w:val="auto"/>
        </w:rPr>
      </w:pPr>
      <w:r>
        <w:rPr>
          <w:rFonts w:ascii="Arial" w:cs="Arial" w:eastAsia="Arial" w:hAnsi="Arial"/>
          <w:sz w:val="16"/>
          <w:szCs w:val="16"/>
          <w:color w:val="auto"/>
        </w:rPr>
        <w:t>The following are the primary procedures we performed to address this critical audit matter. We, with the assistance of IT professionals, applied auditor judgment to determine the revenue streams over which procedures were performed as well as the nature and extent of such procedures. For certain revenue streams over which procedures were performed,</w:t>
      </w:r>
    </w:p>
    <w:p>
      <w:pPr>
        <w:sectPr>
          <w:pgSz w:w="11880" w:h="15480" w:orient="portrait"/>
          <w:cols w:equalWidth="0" w:num="1">
            <w:col w:w="10160"/>
          </w:cols>
          <w:pgMar w:left="860" w:top="505" w:right="860" w:bottom="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880" w:h="15480" w:orient="portrait"/>
          <w:cols w:equalWidth="0" w:num="1">
            <w:col w:w="10160"/>
          </w:cols>
          <w:pgMar w:left="860" w:top="505" w:right="860" w:bottom="0" w:gutter="0" w:footer="0" w:header="0"/>
          <w:type w:val="continuous"/>
        </w:sectPr>
      </w:pPr>
    </w:p>
    <w:bookmarkStart w:id="88" w:name="page89"/>
    <w:bookmarkEnd w:id="88"/>
    <w:p>
      <w:pPr>
        <w:jc w:val="both"/>
        <w:ind w:left="720"/>
        <w:spacing w:after="0" w:line="285" w:lineRule="auto"/>
        <w:rPr>
          <w:sz w:val="20"/>
          <w:szCs w:val="20"/>
          <w:color w:val="auto"/>
        </w:rPr>
      </w:pPr>
      <w:r>
        <w:rPr>
          <w:rFonts w:ascii="Arial" w:cs="Arial" w:eastAsia="Arial" w:hAnsi="Arial"/>
          <w:sz w:val="18"/>
          <w:szCs w:val="18"/>
          <w:color w:val="auto"/>
        </w:rPr>
        <w:t>we evaluated the design and tested the operating effectiveness of certain internal controls over the Company’s revenue recognition processes. For certain revenue streams, we involved IT professionals, who assisted in testing certain IT applications used by the Company in its revenue recognition processes. In addition, we assessed recorded revenue for a selection of transactions by comparing the amounts recognized to underlying documentation, including contracts with customers, and for certain revenue streams, we performed a software-assisted data analysis to assess certain relationships among revenue transactions. In addition, we evaluated the sufficiency of audit evidence obtained over revenues by assessing the results of procedures performed, including the appropriateness of such evidence.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 KPMG LLP</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2004.</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Philadelphia, Pennsylvania</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February 26, 2025</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880" w:h="15480" w:orient="portrait"/>
          <w:cols w:equalWidth="0" w:num="1">
            <w:col w:w="10160"/>
          </w:cols>
          <w:pgMar w:left="860" w:top="512" w:right="860" w:bottom="0" w:gutter="0" w:footer="0" w:header="0"/>
          <w:type w:val="continuous"/>
        </w:sectPr>
      </w:pPr>
    </w:p>
    <w:bookmarkStart w:id="89" w:name="page90"/>
    <w:bookmarkEnd w:id="89"/>
    <w:p>
      <w:pPr>
        <w:jc w:val="center"/>
        <w:ind w:right="60"/>
        <w:spacing w:after="0"/>
        <w:rPr>
          <w:sz w:val="20"/>
          <w:szCs w:val="20"/>
          <w:color w:val="auto"/>
        </w:rPr>
      </w:pPr>
      <w:r>
        <w:rPr>
          <w:rFonts w:ascii="Arial" w:cs="Arial" w:eastAsia="Arial" w:hAnsi="Arial"/>
          <w:sz w:val="20"/>
          <w:szCs w:val="20"/>
          <w:b w:val="1"/>
          <w:bCs w:val="1"/>
          <w:color w:val="auto"/>
        </w:rPr>
        <w:t>NRG ENERGY, INC. AND SUBSIDIARIES</w:t>
      </w:r>
    </w:p>
    <w:p>
      <w:pPr>
        <w:spacing w:after="0" w:line="126"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7"/>
          </w:tcPr>
          <w:p>
            <w:pPr>
              <w:jc w:val="right"/>
              <w:ind w:right="322"/>
              <w:spacing w:after="0"/>
              <w:rPr>
                <w:sz w:val="20"/>
                <w:szCs w:val="20"/>
                <w:color w:val="auto"/>
              </w:rPr>
            </w:pPr>
            <w:r>
              <w:rPr>
                <w:rFonts w:ascii="Arial" w:cs="Arial" w:eastAsia="Arial" w:hAnsi="Arial"/>
                <w:sz w:val="16"/>
                <w:szCs w:val="16"/>
                <w:b w:val="1"/>
                <w:bCs w:val="1"/>
                <w:color w:val="auto"/>
                <w:w w:val="96"/>
              </w:rPr>
              <w:t>For the Year Ended December 31,</w:t>
            </w:r>
          </w:p>
        </w:tc>
        <w:tc>
          <w:tcPr>
            <w:tcW w:w="0" w:type="dxa"/>
            <w:vAlign w:val="bottom"/>
          </w:tcPr>
          <w:p>
            <w:pPr>
              <w:spacing w:after="0"/>
              <w:rPr>
                <w:sz w:val="1"/>
                <w:szCs w:val="1"/>
                <w:color w:val="auto"/>
              </w:rPr>
            </w:pPr>
          </w:p>
        </w:tc>
      </w:tr>
      <w:tr>
        <w:trPr>
          <w:trHeight w:val="232"/>
        </w:trPr>
        <w:tc>
          <w:tcPr>
            <w:tcW w:w="6960" w:type="dxa"/>
            <w:vAlign w:val="bottom"/>
          </w:tcPr>
          <w:p>
            <w:pPr>
              <w:spacing w:after="0"/>
              <w:rPr>
                <w:sz w:val="20"/>
                <w:szCs w:val="20"/>
                <w:color w:val="auto"/>
              </w:rPr>
            </w:pPr>
            <w:r>
              <w:rPr>
                <w:rFonts w:ascii="Arial" w:cs="Arial" w:eastAsia="Arial" w:hAnsi="Arial"/>
                <w:sz w:val="16"/>
                <w:szCs w:val="16"/>
                <w:b w:val="1"/>
                <w:bCs w:val="1"/>
                <w:color w:val="auto"/>
              </w:rPr>
              <w:t>(In millions, except per share amounts)</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60"/>
        </w:trPr>
        <w:tc>
          <w:tcPr>
            <w:tcW w:w="6960" w:type="dxa"/>
            <w:vAlign w:val="bottom"/>
          </w:tcPr>
          <w:p>
            <w:pPr>
              <w:spacing w:after="0"/>
              <w:rPr>
                <w:sz w:val="20"/>
                <w:szCs w:val="20"/>
                <w:color w:val="auto"/>
              </w:rPr>
            </w:pPr>
            <w:r>
              <w:rPr>
                <w:rFonts w:ascii="Arial" w:cs="Arial" w:eastAsia="Arial" w:hAnsi="Arial"/>
                <w:sz w:val="20"/>
                <w:szCs w:val="20"/>
                <w:b w:val="1"/>
                <w:bCs w:val="1"/>
                <w:color w:val="auto"/>
              </w:rPr>
              <w:t>Revenue</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6960" w:type="dxa"/>
            <w:vAlign w:val="bottom"/>
          </w:tcPr>
          <w:p>
            <w:pPr>
              <w:jc w:val="right"/>
              <w:spacing w:after="0"/>
              <w:rPr>
                <w:sz w:val="20"/>
                <w:szCs w:val="20"/>
                <w:color w:val="auto"/>
              </w:rPr>
            </w:pPr>
            <w:r>
              <w:rPr>
                <w:rFonts w:ascii="Arial" w:cs="Arial" w:eastAsia="Arial" w:hAnsi="Arial"/>
                <w:sz w:val="20"/>
                <w:szCs w:val="20"/>
                <w:color w:val="auto"/>
                <w:w w:val="92"/>
              </w:rPr>
              <w:t xml:space="preserve">Revenue </w:t>
            </w:r>
            <w:r>
              <w:rPr>
                <w:rFonts w:ascii="Arial" w:cs="Arial" w:eastAsia="Arial" w:hAnsi="Arial"/>
                <w:sz w:val="20"/>
                <w:szCs w:val="20"/>
                <w:color w:val="B4B4B4"/>
                <w:w w:val="92"/>
              </w:rPr>
              <w:t>. . . . . . . . . . . . . . . . . . . . . . . . . . . . . . . . . . . . . . . . . . . . . . . . . . . . . . . . . . . .</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28,130</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28,823</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31,543</w:t>
            </w:r>
          </w:p>
        </w:tc>
        <w:tc>
          <w:tcPr>
            <w:tcW w:w="0" w:type="dxa"/>
            <w:vAlign w:val="bottom"/>
          </w:tcPr>
          <w:p>
            <w:pPr>
              <w:spacing w:after="0"/>
              <w:rPr>
                <w:sz w:val="1"/>
                <w:szCs w:val="1"/>
                <w:color w:val="auto"/>
              </w:rPr>
            </w:pPr>
          </w:p>
        </w:tc>
      </w:tr>
      <w:tr>
        <w:trPr>
          <w:trHeight w:val="260"/>
        </w:trPr>
        <w:tc>
          <w:tcPr>
            <w:tcW w:w="6960" w:type="dxa"/>
            <w:vAlign w:val="bottom"/>
          </w:tcPr>
          <w:p>
            <w:pPr>
              <w:spacing w:after="0"/>
              <w:rPr>
                <w:sz w:val="20"/>
                <w:szCs w:val="20"/>
                <w:color w:val="auto"/>
              </w:rPr>
            </w:pPr>
            <w:r>
              <w:rPr>
                <w:rFonts w:ascii="Arial" w:cs="Arial" w:eastAsia="Arial" w:hAnsi="Arial"/>
                <w:sz w:val="20"/>
                <w:szCs w:val="20"/>
                <w:b w:val="1"/>
                <w:bCs w:val="1"/>
                <w:color w:val="auto"/>
              </w:rPr>
              <w:t>Operating Costs and Expenses</w:t>
            </w:r>
          </w:p>
        </w:tc>
        <w:tc>
          <w:tcPr>
            <w:tcW w:w="2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960" w:type="dxa"/>
            <w:vAlign w:val="bottom"/>
          </w:tcPr>
          <w:p>
            <w:pPr>
              <w:jc w:val="right"/>
              <w:spacing w:after="0"/>
              <w:rPr>
                <w:sz w:val="20"/>
                <w:szCs w:val="20"/>
                <w:color w:val="auto"/>
              </w:rPr>
            </w:pPr>
            <w:r>
              <w:rPr>
                <w:rFonts w:ascii="Arial" w:cs="Arial" w:eastAsia="Arial" w:hAnsi="Arial"/>
                <w:sz w:val="20"/>
                <w:szCs w:val="20"/>
                <w:color w:val="auto"/>
                <w:w w:val="93"/>
              </w:rPr>
              <w:t xml:space="preserve">Cost of operations (excluding depreciation and amortization shown below) </w:t>
            </w:r>
            <w:r>
              <w:rPr>
                <w:rFonts w:ascii="Arial" w:cs="Arial" w:eastAsia="Arial" w:hAnsi="Arial"/>
                <w:sz w:val="20"/>
                <w:szCs w:val="20"/>
                <w:color w:val="B4B4B4"/>
                <w:w w:val="93"/>
              </w:rPr>
              <w:t>. . . . . . .</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22,100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26,483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27,443</w:t>
            </w:r>
          </w:p>
        </w:tc>
        <w:tc>
          <w:tcPr>
            <w:tcW w:w="0" w:type="dxa"/>
            <w:vAlign w:val="bottom"/>
          </w:tcPr>
          <w:p>
            <w:pPr>
              <w:spacing w:after="0"/>
              <w:rPr>
                <w:sz w:val="1"/>
                <w:szCs w:val="1"/>
                <w:color w:val="auto"/>
              </w:rPr>
            </w:pPr>
          </w:p>
        </w:tc>
      </w:tr>
      <w:tr>
        <w:trPr>
          <w:trHeight w:val="297"/>
        </w:trPr>
        <w:tc>
          <w:tcPr>
            <w:tcW w:w="6960" w:type="dxa"/>
            <w:vAlign w:val="bottom"/>
          </w:tcPr>
          <w:p>
            <w:pPr>
              <w:jc w:val="right"/>
              <w:spacing w:after="0"/>
              <w:rPr>
                <w:sz w:val="20"/>
                <w:szCs w:val="20"/>
                <w:color w:val="auto"/>
              </w:rPr>
            </w:pPr>
            <w:r>
              <w:rPr>
                <w:rFonts w:ascii="Arial" w:cs="Arial" w:eastAsia="Arial" w:hAnsi="Arial"/>
                <w:sz w:val="20"/>
                <w:szCs w:val="20"/>
                <w:color w:val="auto"/>
                <w:w w:val="92"/>
              </w:rPr>
              <w:t xml:space="preserve">Depreciation and amortization </w:t>
            </w:r>
            <w:r>
              <w:rPr>
                <w:rFonts w:ascii="Arial" w:cs="Arial" w:eastAsia="Arial" w:hAnsi="Arial"/>
                <w:sz w:val="20"/>
                <w:szCs w:val="20"/>
                <w:color w:val="B4B4B4"/>
                <w:w w:val="92"/>
              </w:rPr>
              <w:t>. . . . . . . . . . . . . . . . . . . . . . . . . . . . . . . . . . . . . . . . . . .</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1,403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1,295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720</w:t>
            </w:r>
          </w:p>
        </w:tc>
        <w:tc>
          <w:tcPr>
            <w:tcW w:w="0" w:type="dxa"/>
            <w:vAlign w:val="bottom"/>
          </w:tcPr>
          <w:p>
            <w:pPr>
              <w:spacing w:after="0"/>
              <w:rPr>
                <w:sz w:val="1"/>
                <w:szCs w:val="1"/>
                <w:color w:val="auto"/>
              </w:rPr>
            </w:pPr>
          </w:p>
        </w:tc>
      </w:tr>
      <w:tr>
        <w:trPr>
          <w:trHeight w:val="297"/>
        </w:trPr>
        <w:tc>
          <w:tcPr>
            <w:tcW w:w="6960" w:type="dxa"/>
            <w:vAlign w:val="bottom"/>
          </w:tcPr>
          <w:p>
            <w:pPr>
              <w:jc w:val="right"/>
              <w:spacing w:after="0"/>
              <w:rPr>
                <w:sz w:val="20"/>
                <w:szCs w:val="20"/>
                <w:color w:val="auto"/>
              </w:rPr>
            </w:pPr>
            <w:r>
              <w:rPr>
                <w:rFonts w:ascii="Arial" w:cs="Arial" w:eastAsia="Arial" w:hAnsi="Arial"/>
                <w:sz w:val="20"/>
                <w:szCs w:val="20"/>
                <w:color w:val="auto"/>
                <w:w w:val="92"/>
              </w:rPr>
              <w:t xml:space="preserve">Impairment losses </w:t>
            </w:r>
            <w:r>
              <w:rPr>
                <w:rFonts w:ascii="Arial" w:cs="Arial" w:eastAsia="Arial" w:hAnsi="Arial"/>
                <w:sz w:val="20"/>
                <w:szCs w:val="20"/>
                <w:color w:val="B4B4B4"/>
                <w:w w:val="92"/>
              </w:rPr>
              <w:t>. . . . . . . . . . . . . . . . . . . . . . . . . . . . . . . . . . . . . . . . . . . . . . . . . . . .</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206</w:t>
            </w:r>
          </w:p>
        </w:tc>
        <w:tc>
          <w:tcPr>
            <w:tcW w:w="0" w:type="dxa"/>
            <w:vAlign w:val="bottom"/>
          </w:tcPr>
          <w:p>
            <w:pPr>
              <w:spacing w:after="0"/>
              <w:rPr>
                <w:sz w:val="1"/>
                <w:szCs w:val="1"/>
                <w:color w:val="auto"/>
              </w:rPr>
            </w:pPr>
          </w:p>
        </w:tc>
      </w:tr>
      <w:tr>
        <w:trPr>
          <w:trHeight w:val="242"/>
        </w:trPr>
        <w:tc>
          <w:tcPr>
            <w:tcW w:w="6960" w:type="dxa"/>
            <w:vAlign w:val="bottom"/>
          </w:tcPr>
          <w:p>
            <w:pPr>
              <w:ind w:left="240"/>
              <w:spacing w:after="0"/>
              <w:rPr>
                <w:sz w:val="20"/>
                <w:szCs w:val="20"/>
                <w:color w:val="auto"/>
              </w:rPr>
            </w:pPr>
            <w:r>
              <w:rPr>
                <w:rFonts w:ascii="Arial" w:cs="Arial" w:eastAsia="Arial" w:hAnsi="Arial"/>
                <w:sz w:val="20"/>
                <w:szCs w:val="20"/>
                <w:color w:val="auto"/>
                <w:w w:val="98"/>
              </w:rPr>
              <w:t>Selling, general and administrative costs (excluding amortization of customer</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960" w:type="dxa"/>
            <w:vAlign w:val="bottom"/>
          </w:tcPr>
          <w:p>
            <w:pPr>
              <w:ind w:left="240"/>
              <w:spacing w:after="0" w:line="198" w:lineRule="exact"/>
              <w:rPr>
                <w:sz w:val="20"/>
                <w:szCs w:val="20"/>
                <w:color w:val="auto"/>
              </w:rPr>
            </w:pPr>
            <w:r>
              <w:rPr>
                <w:rFonts w:ascii="Arial" w:cs="Arial" w:eastAsia="Arial" w:hAnsi="Arial"/>
                <w:sz w:val="20"/>
                <w:szCs w:val="20"/>
                <w:color w:val="auto"/>
              </w:rPr>
              <w:t>acquisition costs of $204, $125 and $83, respectively, which are included in</w:t>
            </w:r>
          </w:p>
        </w:tc>
        <w:tc>
          <w:tcPr>
            <w:tcW w:w="2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2,031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1,843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1,145</w:t>
            </w:r>
          </w:p>
        </w:tc>
        <w:tc>
          <w:tcPr>
            <w:tcW w:w="0" w:type="dxa"/>
            <w:vAlign w:val="bottom"/>
          </w:tcPr>
          <w:p>
            <w:pPr>
              <w:spacing w:after="0"/>
              <w:rPr>
                <w:sz w:val="1"/>
                <w:szCs w:val="1"/>
                <w:color w:val="auto"/>
              </w:rPr>
            </w:pPr>
          </w:p>
        </w:tc>
      </w:tr>
      <w:tr>
        <w:trPr>
          <w:trHeight w:val="258"/>
        </w:trPr>
        <w:tc>
          <w:tcPr>
            <w:tcW w:w="6960" w:type="dxa"/>
            <w:vAlign w:val="bottom"/>
          </w:tcPr>
          <w:p>
            <w:pPr>
              <w:jc w:val="right"/>
              <w:spacing w:after="0"/>
              <w:rPr>
                <w:sz w:val="20"/>
                <w:szCs w:val="20"/>
                <w:color w:val="auto"/>
              </w:rPr>
            </w:pPr>
            <w:r>
              <w:rPr>
                <w:rFonts w:ascii="Arial" w:cs="Arial" w:eastAsia="Arial" w:hAnsi="Arial"/>
                <w:sz w:val="20"/>
                <w:szCs w:val="20"/>
                <w:color w:val="auto"/>
                <w:w w:val="92"/>
              </w:rPr>
              <w:t xml:space="preserve">depreciation and amortization shown separately above) </w:t>
            </w:r>
            <w:r>
              <w:rPr>
                <w:rFonts w:ascii="Arial" w:cs="Arial" w:eastAsia="Arial" w:hAnsi="Arial"/>
                <w:sz w:val="20"/>
                <w:szCs w:val="20"/>
                <w:color w:val="B4B4B4"/>
                <w:w w:val="92"/>
              </w:rPr>
              <w:t>. . . . . . . . . . . . . . . . . . . . . . .</w:t>
            </w: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960" w:type="dxa"/>
            <w:vAlign w:val="bottom"/>
          </w:tcPr>
          <w:p>
            <w:pPr>
              <w:jc w:val="right"/>
              <w:spacing w:after="0"/>
              <w:rPr>
                <w:sz w:val="20"/>
                <w:szCs w:val="20"/>
                <w:color w:val="auto"/>
              </w:rPr>
            </w:pPr>
            <w:r>
              <w:rPr>
                <w:rFonts w:ascii="Arial" w:cs="Arial" w:eastAsia="Arial" w:hAnsi="Arial"/>
                <w:sz w:val="20"/>
                <w:szCs w:val="20"/>
                <w:color w:val="auto"/>
                <w:w w:val="93"/>
              </w:rPr>
              <w:t xml:space="preserve">Provision for credit losses </w:t>
            </w:r>
            <w:r>
              <w:rPr>
                <w:rFonts w:ascii="Arial" w:cs="Arial" w:eastAsia="Arial" w:hAnsi="Arial"/>
                <w:sz w:val="20"/>
                <w:szCs w:val="20"/>
                <w:color w:val="B4B4B4"/>
                <w:w w:val="93"/>
              </w:rPr>
              <w:t>. . . . . . . . . . . . . . . . . . . . . . . . . . . . . . . . . . . . . . . . . . . . . .</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314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251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99"/>
        </w:trPr>
        <w:tc>
          <w:tcPr>
            <w:tcW w:w="6960" w:type="dxa"/>
            <w:vAlign w:val="bottom"/>
          </w:tcPr>
          <w:p>
            <w:pPr>
              <w:jc w:val="right"/>
              <w:spacing w:after="0"/>
              <w:rPr>
                <w:sz w:val="20"/>
                <w:szCs w:val="20"/>
                <w:color w:val="auto"/>
              </w:rPr>
            </w:pPr>
            <w:r>
              <w:rPr>
                <w:rFonts w:ascii="Arial" w:cs="Arial" w:eastAsia="Arial" w:hAnsi="Arial"/>
                <w:sz w:val="20"/>
                <w:szCs w:val="20"/>
                <w:color w:val="auto"/>
                <w:w w:val="93"/>
              </w:rPr>
              <w:t xml:space="preserve">Acquisition-related transaction and integration costs </w:t>
            </w:r>
            <w:r>
              <w:rPr>
                <w:rFonts w:ascii="Arial" w:cs="Arial" w:eastAsia="Arial" w:hAnsi="Arial"/>
                <w:sz w:val="20"/>
                <w:szCs w:val="20"/>
                <w:color w:val="B4B4B4"/>
                <w:w w:val="93"/>
              </w:rPr>
              <w:t>. . . . . . . . . . . . . . . . . . . . . . . . .</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77"/>
        </w:trPr>
        <w:tc>
          <w:tcPr>
            <w:tcW w:w="6960" w:type="dxa"/>
            <w:vAlign w:val="bottom"/>
          </w:tcPr>
          <w:p>
            <w:pPr>
              <w:jc w:val="right"/>
              <w:spacing w:after="0"/>
              <w:rPr>
                <w:sz w:val="20"/>
                <w:szCs w:val="20"/>
                <w:color w:val="auto"/>
              </w:rPr>
            </w:pPr>
            <w:r>
              <w:rPr>
                <w:rFonts w:ascii="Arial" w:cs="Arial" w:eastAsia="Arial" w:hAnsi="Arial"/>
                <w:sz w:val="20"/>
                <w:szCs w:val="20"/>
                <w:color w:val="auto"/>
                <w:w w:val="93"/>
              </w:rPr>
              <w:t xml:space="preserve">Total operating costs and expenses </w:t>
            </w:r>
            <w:r>
              <w:rPr>
                <w:rFonts w:ascii="Arial" w:cs="Arial" w:eastAsia="Arial" w:hAnsi="Arial"/>
                <w:sz w:val="20"/>
                <w:szCs w:val="20"/>
                <w:color w:val="B4B4B4"/>
                <w:w w:val="93"/>
              </w:rPr>
              <w:t>. . . . . . . . . . . . . . . . . . . . . . . . . . . . . . . . . . . . . .</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25,914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30,017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29,577</w:t>
            </w:r>
          </w:p>
        </w:tc>
        <w:tc>
          <w:tcPr>
            <w:tcW w:w="0" w:type="dxa"/>
            <w:vAlign w:val="bottom"/>
          </w:tcPr>
          <w:p>
            <w:pPr>
              <w:spacing w:after="0"/>
              <w:rPr>
                <w:sz w:val="1"/>
                <w:szCs w:val="1"/>
                <w:color w:val="auto"/>
              </w:rPr>
            </w:pPr>
          </w:p>
        </w:tc>
      </w:tr>
      <w:tr>
        <w:trPr>
          <w:trHeight w:val="277"/>
        </w:trPr>
        <w:tc>
          <w:tcPr>
            <w:tcW w:w="6960" w:type="dxa"/>
            <w:vAlign w:val="bottom"/>
          </w:tcPr>
          <w:p>
            <w:pPr>
              <w:jc w:val="right"/>
              <w:spacing w:after="0"/>
              <w:rPr>
                <w:sz w:val="20"/>
                <w:szCs w:val="20"/>
                <w:color w:val="auto"/>
              </w:rPr>
            </w:pPr>
            <w:r>
              <w:rPr>
                <w:rFonts w:ascii="Arial" w:cs="Arial" w:eastAsia="Arial" w:hAnsi="Arial"/>
                <w:sz w:val="20"/>
                <w:szCs w:val="20"/>
                <w:color w:val="auto"/>
                <w:w w:val="94"/>
              </w:rPr>
              <w:t xml:space="preserve">Gain on sale of assets </w:t>
            </w:r>
            <w:r>
              <w:rPr>
                <w:rFonts w:ascii="Arial" w:cs="Arial" w:eastAsia="Arial" w:hAnsi="Arial"/>
                <w:sz w:val="20"/>
                <w:szCs w:val="20"/>
                <w:color w:val="B4B4B4"/>
                <w:w w:val="94"/>
              </w:rPr>
              <w:t>. . . . . . . . . . . . . . . . . . . . . . . . . . . . . . . . . . . . . . . . . . . . . . . .</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208</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1,578</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77"/>
        </w:trPr>
        <w:tc>
          <w:tcPr>
            <w:tcW w:w="696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Operating Income </w:t>
            </w:r>
            <w:r>
              <w:rPr>
                <w:rFonts w:ascii="Arial" w:cs="Arial" w:eastAsia="Arial" w:hAnsi="Arial"/>
                <w:sz w:val="20"/>
                <w:szCs w:val="20"/>
                <w:b w:val="1"/>
                <w:bCs w:val="1"/>
                <w:color w:val="B4B4B4"/>
                <w:w w:val="89"/>
              </w:rPr>
              <w:t>. . . . . . . . . . . . . . . . . . . . . . . . . . . . . . . . . . . . . . . . . . . . . . . . . . . . . .</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2,424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0" w:type="dxa"/>
            <w:vAlign w:val="bottom"/>
          </w:tcPr>
          <w:p>
            <w:pPr>
              <w:spacing w:after="0"/>
              <w:rPr>
                <w:sz w:val="1"/>
                <w:szCs w:val="1"/>
                <w:color w:val="auto"/>
              </w:rPr>
            </w:pPr>
          </w:p>
        </w:tc>
      </w:tr>
      <w:tr>
        <w:trPr>
          <w:trHeight w:val="260"/>
        </w:trPr>
        <w:tc>
          <w:tcPr>
            <w:tcW w:w="6960" w:type="dxa"/>
            <w:vAlign w:val="bottom"/>
          </w:tcPr>
          <w:p>
            <w:pPr>
              <w:spacing w:after="0"/>
              <w:rPr>
                <w:sz w:val="20"/>
                <w:szCs w:val="20"/>
                <w:color w:val="auto"/>
              </w:rPr>
            </w:pPr>
            <w:r>
              <w:rPr>
                <w:rFonts w:ascii="Arial" w:cs="Arial" w:eastAsia="Arial" w:hAnsi="Arial"/>
                <w:sz w:val="20"/>
                <w:szCs w:val="20"/>
                <w:b w:val="1"/>
                <w:bCs w:val="1"/>
                <w:color w:val="auto"/>
              </w:rPr>
              <w:t>Other Income/(Expense)</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960" w:type="dxa"/>
            <w:vAlign w:val="bottom"/>
          </w:tcPr>
          <w:p>
            <w:pPr>
              <w:jc w:val="right"/>
              <w:spacing w:after="0"/>
              <w:rPr>
                <w:sz w:val="20"/>
                <w:szCs w:val="20"/>
                <w:color w:val="auto"/>
              </w:rPr>
            </w:pPr>
            <w:r>
              <w:rPr>
                <w:rFonts w:ascii="Arial" w:cs="Arial" w:eastAsia="Arial" w:hAnsi="Arial"/>
                <w:sz w:val="20"/>
                <w:szCs w:val="20"/>
                <w:color w:val="auto"/>
                <w:w w:val="93"/>
              </w:rPr>
              <w:t xml:space="preserve">Equity in earnings of unconsolidated affiliates </w:t>
            </w:r>
            <w:r>
              <w:rPr>
                <w:rFonts w:ascii="Arial" w:cs="Arial" w:eastAsia="Arial" w:hAnsi="Arial"/>
                <w:sz w:val="20"/>
                <w:szCs w:val="20"/>
                <w:color w:val="B4B4B4"/>
                <w:w w:val="93"/>
              </w:rPr>
              <w:t>. . . . . . . . . . . . . . . . . . . . . . . . . . . . . .</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97"/>
        </w:trPr>
        <w:tc>
          <w:tcPr>
            <w:tcW w:w="6960" w:type="dxa"/>
            <w:vAlign w:val="bottom"/>
          </w:tcPr>
          <w:p>
            <w:pPr>
              <w:jc w:val="right"/>
              <w:spacing w:after="0"/>
              <w:rPr>
                <w:sz w:val="20"/>
                <w:szCs w:val="20"/>
                <w:color w:val="auto"/>
              </w:rPr>
            </w:pPr>
            <w:r>
              <w:rPr>
                <w:rFonts w:ascii="Arial" w:cs="Arial" w:eastAsia="Arial" w:hAnsi="Arial"/>
                <w:sz w:val="20"/>
                <w:szCs w:val="20"/>
                <w:color w:val="auto"/>
                <w:w w:val="92"/>
              </w:rPr>
              <w:t xml:space="preserve">Impairment losses on investments </w:t>
            </w:r>
            <w:r>
              <w:rPr>
                <w:rFonts w:ascii="Arial" w:cs="Arial" w:eastAsia="Arial" w:hAnsi="Arial"/>
                <w:sz w:val="20"/>
                <w:szCs w:val="20"/>
                <w:color w:val="B4B4B4"/>
                <w:w w:val="92"/>
              </w:rPr>
              <w:t>. . . . . . . . . . . . . . . . . . . . . . . . . . . . . . . . . . . . . . . .</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(102)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6960" w:type="dxa"/>
            <w:vAlign w:val="bottom"/>
          </w:tcPr>
          <w:p>
            <w:pPr>
              <w:jc w:val="right"/>
              <w:spacing w:after="0"/>
              <w:rPr>
                <w:sz w:val="20"/>
                <w:szCs w:val="20"/>
                <w:color w:val="auto"/>
              </w:rPr>
            </w:pPr>
            <w:r>
              <w:rPr>
                <w:rFonts w:ascii="Arial" w:cs="Arial" w:eastAsia="Arial" w:hAnsi="Arial"/>
                <w:sz w:val="20"/>
                <w:szCs w:val="20"/>
                <w:color w:val="auto"/>
                <w:w w:val="92"/>
              </w:rPr>
              <w:t xml:space="preserve">Other income, net  </w:t>
            </w:r>
            <w:r>
              <w:rPr>
                <w:rFonts w:ascii="Arial" w:cs="Arial" w:eastAsia="Arial" w:hAnsi="Arial"/>
                <w:sz w:val="20"/>
                <w:szCs w:val="20"/>
                <w:color w:val="B4B4B4"/>
                <w:w w:val="92"/>
              </w:rPr>
              <w:t>. . . . . . . . . . . . . . . . . . . . . . . . . . . . . . . . . . . . . . . . . . . . . . . . . . . .</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297"/>
        </w:trPr>
        <w:tc>
          <w:tcPr>
            <w:tcW w:w="6960" w:type="dxa"/>
            <w:vAlign w:val="bottom"/>
          </w:tcPr>
          <w:p>
            <w:pPr>
              <w:jc w:val="right"/>
              <w:spacing w:after="0"/>
              <w:rPr>
                <w:sz w:val="20"/>
                <w:szCs w:val="20"/>
                <w:color w:val="auto"/>
              </w:rPr>
            </w:pPr>
            <w:r>
              <w:rPr>
                <w:rFonts w:ascii="Arial" w:cs="Arial" w:eastAsia="Arial" w:hAnsi="Arial"/>
                <w:sz w:val="20"/>
                <w:szCs w:val="20"/>
                <w:color w:val="auto"/>
                <w:w w:val="93"/>
              </w:rPr>
              <w:t xml:space="preserve">(Loss)/Gain on debt extinguishment </w:t>
            </w:r>
            <w:r>
              <w:rPr>
                <w:rFonts w:ascii="Arial" w:cs="Arial" w:eastAsia="Arial" w:hAnsi="Arial"/>
                <w:sz w:val="20"/>
                <w:szCs w:val="20"/>
                <w:color w:val="B4B4B4"/>
                <w:w w:val="93"/>
              </w:rPr>
              <w:t>. . . . . . . . . . . . . . . . . . . . . . . . . . . . . . . . . . . . . .</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(382)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109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9"/>
        </w:trPr>
        <w:tc>
          <w:tcPr>
            <w:tcW w:w="6960" w:type="dxa"/>
            <w:vAlign w:val="bottom"/>
          </w:tcPr>
          <w:p>
            <w:pPr>
              <w:jc w:val="right"/>
              <w:spacing w:after="0"/>
              <w:rPr>
                <w:sz w:val="20"/>
                <w:szCs w:val="20"/>
                <w:color w:val="auto"/>
              </w:rPr>
            </w:pPr>
            <w:r>
              <w:rPr>
                <w:rFonts w:ascii="Arial" w:cs="Arial" w:eastAsia="Arial" w:hAnsi="Arial"/>
                <w:sz w:val="20"/>
                <w:szCs w:val="20"/>
                <w:color w:val="auto"/>
                <w:w w:val="91"/>
              </w:rPr>
              <w:t xml:space="preserve">Interest expense </w:t>
            </w:r>
            <w:r>
              <w:rPr>
                <w:rFonts w:ascii="Arial" w:cs="Arial" w:eastAsia="Arial" w:hAnsi="Arial"/>
                <w:sz w:val="20"/>
                <w:szCs w:val="20"/>
                <w:color w:val="B4B4B4"/>
                <w:w w:val="91"/>
              </w:rPr>
              <w:t>. . . . . . . . . . . . . . . . . . . . . . . . . . . . . . . . . . . . . . . . . . . . . . . . . . . . . .</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(651)</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(417)</w:t>
            </w:r>
          </w:p>
        </w:tc>
        <w:tc>
          <w:tcPr>
            <w:tcW w:w="0" w:type="dxa"/>
            <w:vAlign w:val="bottom"/>
          </w:tcPr>
          <w:p>
            <w:pPr>
              <w:spacing w:after="0"/>
              <w:rPr>
                <w:sz w:val="1"/>
                <w:szCs w:val="1"/>
                <w:color w:val="auto"/>
              </w:rPr>
            </w:pPr>
          </w:p>
        </w:tc>
      </w:tr>
      <w:tr>
        <w:trPr>
          <w:trHeight w:val="277"/>
        </w:trPr>
        <w:tc>
          <w:tcPr>
            <w:tcW w:w="6960" w:type="dxa"/>
            <w:vAlign w:val="bottom"/>
          </w:tcPr>
          <w:p>
            <w:pPr>
              <w:jc w:val="right"/>
              <w:spacing w:after="0"/>
              <w:rPr>
                <w:sz w:val="20"/>
                <w:szCs w:val="20"/>
                <w:color w:val="auto"/>
              </w:rPr>
            </w:pPr>
            <w:r>
              <w:rPr>
                <w:rFonts w:ascii="Arial" w:cs="Arial" w:eastAsia="Arial" w:hAnsi="Arial"/>
                <w:sz w:val="20"/>
                <w:szCs w:val="20"/>
                <w:color w:val="auto"/>
                <w:w w:val="93"/>
              </w:rPr>
              <w:t xml:space="preserve">Total other expense </w:t>
            </w:r>
            <w:r>
              <w:rPr>
                <w:rFonts w:ascii="Arial" w:cs="Arial" w:eastAsia="Arial" w:hAnsi="Arial"/>
                <w:sz w:val="20"/>
                <w:szCs w:val="20"/>
                <w:color w:val="B4B4B4"/>
                <w:w w:val="93"/>
              </w:rPr>
              <w:t>. . . . . . . . . . . . . . . . . . . . . . . . . . . . . . . . . . . . . . . . . . . . . . . . . .</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(355)</w:t>
            </w:r>
          </w:p>
        </w:tc>
        <w:tc>
          <w:tcPr>
            <w:tcW w:w="0" w:type="dxa"/>
            <w:vAlign w:val="bottom"/>
          </w:tcPr>
          <w:p>
            <w:pPr>
              <w:spacing w:after="0"/>
              <w:rPr>
                <w:sz w:val="1"/>
                <w:szCs w:val="1"/>
                <w:color w:val="auto"/>
              </w:rPr>
            </w:pPr>
          </w:p>
        </w:tc>
      </w:tr>
      <w:tr>
        <w:trPr>
          <w:trHeight w:val="275"/>
        </w:trPr>
        <w:tc>
          <w:tcPr>
            <w:tcW w:w="6960" w:type="dxa"/>
            <w:vAlign w:val="bottom"/>
          </w:tcPr>
          <w:p>
            <w:pPr>
              <w:jc w:val="right"/>
              <w:spacing w:after="0"/>
              <w:rPr>
                <w:sz w:val="20"/>
                <w:szCs w:val="20"/>
                <w:color w:val="auto"/>
              </w:rPr>
            </w:pPr>
            <w:r>
              <w:rPr>
                <w:rFonts w:ascii="Arial" w:cs="Arial" w:eastAsia="Arial" w:hAnsi="Arial"/>
                <w:sz w:val="20"/>
                <w:szCs w:val="20"/>
                <w:b w:val="1"/>
                <w:bCs w:val="1"/>
                <w:color w:val="auto"/>
                <w:w w:val="88"/>
              </w:rPr>
              <w:t xml:space="preserve">Income/(Loss) Before Income Taxes </w:t>
            </w:r>
            <w:r>
              <w:rPr>
                <w:rFonts w:ascii="Arial" w:cs="Arial" w:eastAsia="Arial" w:hAnsi="Arial"/>
                <w:sz w:val="20"/>
                <w:szCs w:val="20"/>
                <w:b w:val="1"/>
                <w:bCs w:val="1"/>
                <w:color w:val="B4B4B4"/>
                <w:w w:val="88"/>
              </w:rPr>
              <w:t>. . . . . . . . . . . . . . . . . . . . . . . . . . . . . . . . . . . . . . .</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1,448</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(213)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1,663</w:t>
            </w:r>
          </w:p>
        </w:tc>
        <w:tc>
          <w:tcPr>
            <w:tcW w:w="0" w:type="dxa"/>
            <w:vAlign w:val="bottom"/>
          </w:tcPr>
          <w:p>
            <w:pPr>
              <w:spacing w:after="0"/>
              <w:rPr>
                <w:sz w:val="1"/>
                <w:szCs w:val="1"/>
                <w:color w:val="auto"/>
              </w:rPr>
            </w:pPr>
          </w:p>
        </w:tc>
      </w:tr>
      <w:tr>
        <w:trPr>
          <w:trHeight w:val="299"/>
        </w:trPr>
        <w:tc>
          <w:tcPr>
            <w:tcW w:w="6960" w:type="dxa"/>
            <w:vAlign w:val="bottom"/>
          </w:tcPr>
          <w:p>
            <w:pPr>
              <w:jc w:val="right"/>
              <w:spacing w:after="0"/>
              <w:rPr>
                <w:sz w:val="20"/>
                <w:szCs w:val="20"/>
                <w:color w:val="auto"/>
              </w:rPr>
            </w:pPr>
            <w:r>
              <w:rPr>
                <w:rFonts w:ascii="Arial" w:cs="Arial" w:eastAsia="Arial" w:hAnsi="Arial"/>
                <w:sz w:val="20"/>
                <w:szCs w:val="20"/>
                <w:color w:val="auto"/>
                <w:w w:val="92"/>
              </w:rPr>
              <w:t xml:space="preserve">Income tax expense/(benefit) </w:t>
            </w:r>
            <w:r>
              <w:rPr>
                <w:rFonts w:ascii="Arial" w:cs="Arial" w:eastAsia="Arial" w:hAnsi="Arial"/>
                <w:sz w:val="20"/>
                <w:szCs w:val="20"/>
                <w:color w:val="B4B4B4"/>
                <w:w w:val="92"/>
              </w:rPr>
              <w:t>. . . . . . . . . . . . . . . . . . . . . . . . . . . . . . . . . . . . . . . . . . . .</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442</w:t>
            </w:r>
          </w:p>
        </w:tc>
        <w:tc>
          <w:tcPr>
            <w:tcW w:w="0" w:type="dxa"/>
            <w:vAlign w:val="bottom"/>
          </w:tcPr>
          <w:p>
            <w:pPr>
              <w:spacing w:after="0"/>
              <w:rPr>
                <w:sz w:val="1"/>
                <w:szCs w:val="1"/>
                <w:color w:val="auto"/>
              </w:rPr>
            </w:pPr>
          </w:p>
        </w:tc>
      </w:tr>
      <w:tr>
        <w:trPr>
          <w:trHeight w:val="275"/>
        </w:trPr>
        <w:tc>
          <w:tcPr>
            <w:tcW w:w="6960" w:type="dxa"/>
            <w:vAlign w:val="bottom"/>
          </w:tcPr>
          <w:p>
            <w:pPr>
              <w:jc w:val="right"/>
              <w:spacing w:after="0"/>
              <w:rPr>
                <w:sz w:val="20"/>
                <w:szCs w:val="20"/>
                <w:color w:val="auto"/>
              </w:rPr>
            </w:pPr>
            <w:r>
              <w:rPr>
                <w:rFonts w:ascii="Arial" w:cs="Arial" w:eastAsia="Arial" w:hAnsi="Arial"/>
                <w:sz w:val="20"/>
                <w:szCs w:val="20"/>
                <w:b w:val="1"/>
                <w:bCs w:val="1"/>
                <w:color w:val="auto"/>
                <w:w w:val="88"/>
              </w:rPr>
              <w:t xml:space="preserve">Net Income/(Loss) </w:t>
            </w:r>
            <w:r>
              <w:rPr>
                <w:rFonts w:ascii="Arial" w:cs="Arial" w:eastAsia="Arial" w:hAnsi="Arial"/>
                <w:sz w:val="20"/>
                <w:szCs w:val="20"/>
                <w:b w:val="1"/>
                <w:bCs w:val="1"/>
                <w:color w:val="B4B4B4"/>
                <w:w w:val="88"/>
              </w:rPr>
              <w:t>. . . . . . . . . . . . . . . . . . . . . . . . . . . . . . . . . . . . . . . . . . . . . . . . . . . . . .</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1,125</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(202)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1,221</w:t>
            </w:r>
          </w:p>
        </w:tc>
        <w:tc>
          <w:tcPr>
            <w:tcW w:w="0" w:type="dxa"/>
            <w:vAlign w:val="bottom"/>
          </w:tcPr>
          <w:p>
            <w:pPr>
              <w:spacing w:after="0"/>
              <w:rPr>
                <w:sz w:val="1"/>
                <w:szCs w:val="1"/>
                <w:color w:val="auto"/>
              </w:rPr>
            </w:pPr>
          </w:p>
        </w:tc>
      </w:tr>
      <w:tr>
        <w:trPr>
          <w:trHeight w:val="299"/>
        </w:trPr>
        <w:tc>
          <w:tcPr>
            <w:tcW w:w="6960" w:type="dxa"/>
            <w:vAlign w:val="bottom"/>
          </w:tcPr>
          <w:p>
            <w:pPr>
              <w:jc w:val="right"/>
              <w:spacing w:after="0"/>
              <w:rPr>
                <w:sz w:val="20"/>
                <w:szCs w:val="20"/>
                <w:color w:val="auto"/>
              </w:rPr>
            </w:pPr>
            <w:r>
              <w:rPr>
                <w:rFonts w:ascii="Arial" w:cs="Arial" w:eastAsia="Arial" w:hAnsi="Arial"/>
                <w:sz w:val="20"/>
                <w:szCs w:val="20"/>
                <w:color w:val="auto"/>
                <w:w w:val="92"/>
              </w:rPr>
              <w:t xml:space="preserve">Less: Cumulative dividends attributable to Series A Preferred Stock </w:t>
            </w:r>
            <w:r>
              <w:rPr>
                <w:rFonts w:ascii="Arial" w:cs="Arial" w:eastAsia="Arial" w:hAnsi="Arial"/>
                <w:sz w:val="20"/>
                <w:szCs w:val="20"/>
                <w:color w:val="B4B4B4"/>
                <w:w w:val="92"/>
              </w:rPr>
              <w:t>. . . . . . . . . . . . .</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7"/>
        </w:trPr>
        <w:tc>
          <w:tcPr>
            <w:tcW w:w="696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Net Income/(Loss) Available for Common Stockholders </w:t>
            </w:r>
            <w:r>
              <w:rPr>
                <w:rFonts w:ascii="Arial" w:cs="Arial" w:eastAsia="Arial" w:hAnsi="Arial"/>
                <w:sz w:val="20"/>
                <w:szCs w:val="20"/>
                <w:b w:val="1"/>
                <w:bCs w:val="1"/>
                <w:color w:val="B4B4B4"/>
                <w:w w:val="89"/>
              </w:rPr>
              <w:t>. . . . . . . . . . . . . . . . . . . . . .</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1,058</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(256)</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1,221</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20"/>
                <w:szCs w:val="20"/>
                <w:b w:val="1"/>
                <w:bCs w:val="1"/>
                <w:color w:val="auto"/>
              </w:rPr>
              <w:t>Income/(Loss)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9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960" w:type="dxa"/>
            <w:vAlign w:val="bottom"/>
          </w:tcPr>
          <w:p>
            <w:pPr>
              <w:jc w:val="right"/>
              <w:spacing w:after="0"/>
              <w:rPr>
                <w:sz w:val="20"/>
                <w:szCs w:val="20"/>
                <w:color w:val="auto"/>
              </w:rPr>
            </w:pPr>
            <w:r>
              <w:rPr>
                <w:rFonts w:ascii="Arial" w:cs="Arial" w:eastAsia="Arial" w:hAnsi="Arial"/>
                <w:sz w:val="20"/>
                <w:szCs w:val="20"/>
                <w:color w:val="auto"/>
                <w:w w:val="90"/>
              </w:rPr>
              <w:t xml:space="preserve">Weighted average number of common shares outstanding — basic </w:t>
            </w:r>
            <w:r>
              <w:rPr>
                <w:rFonts w:ascii="Arial" w:cs="Arial" w:eastAsia="Arial" w:hAnsi="Arial"/>
                <w:sz w:val="20"/>
                <w:szCs w:val="20"/>
                <w:color w:val="B4B4B4"/>
                <w:w w:val="90"/>
              </w:rPr>
              <w:t>. . . . . . . . . . . . . . .</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206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228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236</w:t>
            </w:r>
          </w:p>
        </w:tc>
        <w:tc>
          <w:tcPr>
            <w:tcW w:w="0" w:type="dxa"/>
            <w:vAlign w:val="bottom"/>
          </w:tcPr>
          <w:p>
            <w:pPr>
              <w:spacing w:after="0"/>
              <w:rPr>
                <w:sz w:val="1"/>
                <w:szCs w:val="1"/>
                <w:color w:val="auto"/>
              </w:rPr>
            </w:pPr>
          </w:p>
        </w:tc>
      </w:tr>
      <w:tr>
        <w:trPr>
          <w:trHeight w:val="279"/>
        </w:trPr>
        <w:tc>
          <w:tcPr>
            <w:tcW w:w="696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Income/(Loss) per Weighted Average Common Share — Basic </w:t>
            </w:r>
            <w:r>
              <w:rPr>
                <w:rFonts w:ascii="Arial" w:cs="Arial" w:eastAsia="Arial" w:hAnsi="Arial"/>
                <w:sz w:val="20"/>
                <w:szCs w:val="20"/>
                <w:b w:val="1"/>
                <w:bCs w:val="1"/>
                <w:color w:val="B4B4B4"/>
                <w:w w:val="89"/>
              </w:rPr>
              <w:t>. . . . . . . . . . . . . . . .</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5.14</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(1.12)</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5.17</w:t>
            </w:r>
          </w:p>
        </w:tc>
        <w:tc>
          <w:tcPr>
            <w:tcW w:w="0" w:type="dxa"/>
            <w:vAlign w:val="bottom"/>
          </w:tcPr>
          <w:p>
            <w:pPr>
              <w:spacing w:after="0"/>
              <w:rPr>
                <w:sz w:val="1"/>
                <w:szCs w:val="1"/>
                <w:color w:val="auto"/>
              </w:rPr>
            </w:pPr>
          </w:p>
        </w:tc>
      </w:tr>
      <w:tr>
        <w:trPr>
          <w:trHeight w:val="20"/>
        </w:trPr>
        <w:tc>
          <w:tcPr>
            <w:tcW w:w="6960" w:type="dxa"/>
            <w:vAlign w:val="bottom"/>
            <w:vMerge w:val="restart"/>
          </w:tcPr>
          <w:p>
            <w:pPr>
              <w:jc w:val="right"/>
              <w:ind w:right="1322"/>
              <w:spacing w:after="0"/>
              <w:rPr>
                <w:sz w:val="20"/>
                <w:szCs w:val="20"/>
                <w:color w:val="auto"/>
              </w:rPr>
            </w:pPr>
            <w:r>
              <w:rPr>
                <w:rFonts w:ascii="Arial" w:cs="Arial" w:eastAsia="Arial" w:hAnsi="Arial"/>
                <w:sz w:val="20"/>
                <w:szCs w:val="20"/>
                <w:color w:val="auto"/>
                <w:w w:val="91"/>
              </w:rPr>
              <w:t>Weighted average number of common shares outstanding —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960" w:type="dxa"/>
            <w:vAlign w:val="bottom"/>
            <w:vMerge w:val="continue"/>
          </w:tcPr>
          <w:p>
            <w:pPr>
              <w:jc w:val="right"/>
              <w:spacing w:after="0" w:line="195" w:lineRule="exact"/>
              <w:rPr>
                <w:sz w:val="20"/>
                <w:szCs w:val="20"/>
                <w:color w:val="auto"/>
              </w:rPr>
            </w:pPr>
            <w:r>
              <w:rPr>
                <w:rFonts w:ascii="Arial" w:cs="Arial" w:eastAsia="Arial" w:hAnsi="Arial"/>
                <w:sz w:val="20"/>
                <w:szCs w:val="20"/>
                <w:color w:val="B4B4B4"/>
              </w:rPr>
              <w:t>. . . . . . . . . . . . .</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212</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228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236</w:t>
            </w:r>
          </w:p>
        </w:tc>
        <w:tc>
          <w:tcPr>
            <w:tcW w:w="0" w:type="dxa"/>
            <w:vAlign w:val="bottom"/>
          </w:tcPr>
          <w:p>
            <w:pPr>
              <w:spacing w:after="0"/>
              <w:rPr>
                <w:sz w:val="1"/>
                <w:szCs w:val="1"/>
                <w:color w:val="auto"/>
              </w:rPr>
            </w:pPr>
          </w:p>
        </w:tc>
      </w:tr>
      <w:tr>
        <w:trPr>
          <w:trHeight w:val="276"/>
        </w:trPr>
        <w:tc>
          <w:tcPr>
            <w:tcW w:w="6960" w:type="dxa"/>
            <w:vAlign w:val="bottom"/>
          </w:tcPr>
          <w:p>
            <w:pPr>
              <w:jc w:val="right"/>
              <w:spacing w:after="0"/>
              <w:rPr>
                <w:sz w:val="20"/>
                <w:szCs w:val="20"/>
                <w:color w:val="auto"/>
              </w:rPr>
            </w:pPr>
            <w:r>
              <w:rPr>
                <w:rFonts w:ascii="Arial" w:cs="Arial" w:eastAsia="Arial" w:hAnsi="Arial"/>
                <w:sz w:val="20"/>
                <w:szCs w:val="20"/>
                <w:b w:val="1"/>
                <w:bCs w:val="1"/>
                <w:color w:val="auto"/>
                <w:w w:val="90"/>
              </w:rPr>
              <w:t xml:space="preserve">Income/(Loss) per Weighted Average Common Share — Diluted </w:t>
            </w:r>
            <w:r>
              <w:rPr>
                <w:rFonts w:ascii="Arial" w:cs="Arial" w:eastAsia="Arial" w:hAnsi="Arial"/>
                <w:sz w:val="20"/>
                <w:szCs w:val="20"/>
                <w:b w:val="1"/>
                <w:bCs w:val="1"/>
                <w:color w:val="B4B4B4"/>
                <w:w w:val="90"/>
              </w:rPr>
              <w:t>. . . . . . . . . . . . . .</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4.99</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(1.12)</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5.17</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-5716905</wp:posOffset>
            </wp:positionV>
            <wp:extent cx="6466205" cy="5723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0">
                      <a:extLst>
                        <a:ext uri="{28A0092B-C50C-407E-A947-70E740481C1C}"/>
                      </a:extLst>
                    </a:blip>
                    <a:srcRect/>
                    <a:stretch>
                      <a:fillRect/>
                    </a:stretch>
                  </pic:blipFill>
                  <pic:spPr bwMode="auto">
                    <a:xfrm>
                      <a:off x="0" y="0"/>
                      <a:ext cx="6466205" cy="5723890"/>
                    </a:xfrm>
                    <a:prstGeom prst="rect">
                      <a:avLst/>
                    </a:prstGeom>
                    <a:noFill/>
                  </pic:spPr>
                </pic:pic>
              </a:graphicData>
            </a:graphic>
          </wp:anchor>
        </w:drawing>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See notes to Consolidated Financial Statements</w:t>
      </w:r>
    </w:p>
    <w:p>
      <w:pPr>
        <w:sectPr>
          <w:pgSz w:w="11880" w:h="15480" w:orient="portrait"/>
          <w:cols w:equalWidth="0" w:num="1">
            <w:col w:w="10100"/>
          </w:cols>
          <w:pgMar w:left="92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88</w:t>
      </w:r>
    </w:p>
    <w:p>
      <w:pPr>
        <w:sectPr>
          <w:pgSz w:w="11880" w:h="15480" w:orient="portrait"/>
          <w:cols w:equalWidth="0" w:num="1">
            <w:col w:w="10100"/>
          </w:cols>
          <w:pgMar w:left="920" w:top="505" w:right="860" w:bottom="0" w:gutter="0" w:footer="0" w:header="0"/>
          <w:type w:val="continuous"/>
        </w:sectPr>
      </w:pPr>
    </w:p>
    <w:bookmarkStart w:id="90" w:name="page91"/>
    <w:bookmarkEnd w:id="90"/>
    <w:p>
      <w:pPr>
        <w:jc w:val="center"/>
        <w:ind w:right="60"/>
        <w:spacing w:after="0"/>
        <w:rPr>
          <w:sz w:val="20"/>
          <w:szCs w:val="20"/>
          <w:color w:val="auto"/>
        </w:rPr>
      </w:pPr>
      <w:r>
        <w:rPr>
          <w:rFonts w:ascii="Arial" w:cs="Arial" w:eastAsia="Arial" w:hAnsi="Arial"/>
          <w:sz w:val="20"/>
          <w:szCs w:val="20"/>
          <w:b w:val="1"/>
          <w:bCs w:val="1"/>
          <w:color w:val="auto"/>
        </w:rPr>
        <w:t>NRG ENERGY, INC. AND SUBSIDIARIES</w:t>
      </w:r>
    </w:p>
    <w:p>
      <w:pPr>
        <w:spacing w:after="0" w:line="126"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COMPREHENSIVE INCOME/(LOSS)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7"/>
          </w:tcPr>
          <w:p>
            <w:pPr>
              <w:jc w:val="right"/>
              <w:ind w:right="324"/>
              <w:spacing w:after="0"/>
              <w:rPr>
                <w:sz w:val="20"/>
                <w:szCs w:val="20"/>
                <w:color w:val="auto"/>
              </w:rPr>
            </w:pPr>
            <w:r>
              <w:rPr>
                <w:rFonts w:ascii="Arial" w:cs="Arial" w:eastAsia="Arial" w:hAnsi="Arial"/>
                <w:sz w:val="16"/>
                <w:szCs w:val="16"/>
                <w:b w:val="1"/>
                <w:bCs w:val="1"/>
                <w:color w:val="auto"/>
                <w:w w:val="96"/>
              </w:rPr>
              <w:t>For the Year Ended December 31,</w:t>
            </w:r>
          </w:p>
        </w:tc>
      </w:tr>
      <w:tr>
        <w:trPr>
          <w:trHeight w:val="232"/>
        </w:trPr>
        <w:tc>
          <w:tcPr>
            <w:tcW w:w="696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47"/>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rPr>
              <w:t>2022</w:t>
            </w:r>
          </w:p>
        </w:tc>
      </w:tr>
      <w:tr>
        <w:trPr>
          <w:trHeight w:val="290"/>
        </w:trPr>
        <w:tc>
          <w:tcPr>
            <w:tcW w:w="6960" w:type="dxa"/>
            <w:vAlign w:val="bottom"/>
          </w:tcPr>
          <w:p>
            <w:pPr>
              <w:jc w:val="right"/>
              <w:spacing w:after="0"/>
              <w:rPr>
                <w:sz w:val="20"/>
                <w:szCs w:val="20"/>
                <w:color w:val="auto"/>
              </w:rPr>
            </w:pPr>
            <w:r>
              <w:rPr>
                <w:rFonts w:ascii="Arial" w:cs="Arial" w:eastAsia="Arial" w:hAnsi="Arial"/>
                <w:sz w:val="20"/>
                <w:szCs w:val="20"/>
                <w:b w:val="1"/>
                <w:bCs w:val="1"/>
                <w:color w:val="auto"/>
                <w:w w:val="88"/>
              </w:rPr>
              <w:t xml:space="preserve">Net Income/(Loss) </w:t>
            </w:r>
            <w:r>
              <w:rPr>
                <w:rFonts w:ascii="Arial" w:cs="Arial" w:eastAsia="Arial" w:hAnsi="Arial"/>
                <w:sz w:val="20"/>
                <w:szCs w:val="20"/>
                <w:b w:val="1"/>
                <w:bCs w:val="1"/>
                <w:color w:val="B4B4B4"/>
                <w:w w:val="88"/>
              </w:rPr>
              <w:t>. . . . . . . . . . . . . . . . . . . . . . . . . . . . . . . . . . . . . . . . . . . . . . . . . . . . . .</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1,125</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(202)</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1,221</w:t>
            </w:r>
          </w:p>
        </w:tc>
      </w:tr>
      <w:tr>
        <w:trPr>
          <w:trHeight w:val="312"/>
        </w:trPr>
        <w:tc>
          <w:tcPr>
            <w:tcW w:w="6960" w:type="dxa"/>
            <w:vAlign w:val="bottom"/>
          </w:tcPr>
          <w:p>
            <w:pPr>
              <w:spacing w:after="0"/>
              <w:rPr>
                <w:sz w:val="20"/>
                <w:szCs w:val="20"/>
                <w:color w:val="auto"/>
              </w:rPr>
            </w:pPr>
            <w:r>
              <w:rPr>
                <w:rFonts w:ascii="Arial" w:cs="Arial" w:eastAsia="Arial" w:hAnsi="Arial"/>
                <w:sz w:val="20"/>
                <w:szCs w:val="20"/>
                <w:b w:val="1"/>
                <w:bCs w:val="1"/>
                <w:color w:val="auto"/>
              </w:rPr>
              <w:t>Other Comprehensive (Loss)/Income, net of tax</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7"/>
        </w:trPr>
        <w:tc>
          <w:tcPr>
            <w:tcW w:w="6960" w:type="dxa"/>
            <w:vAlign w:val="bottom"/>
          </w:tcPr>
          <w:p>
            <w:pPr>
              <w:jc w:val="right"/>
              <w:spacing w:after="0"/>
              <w:rPr>
                <w:sz w:val="20"/>
                <w:szCs w:val="20"/>
                <w:color w:val="auto"/>
              </w:rPr>
            </w:pPr>
            <w:r>
              <w:rPr>
                <w:rFonts w:ascii="Arial" w:cs="Arial" w:eastAsia="Arial" w:hAnsi="Arial"/>
                <w:sz w:val="20"/>
                <w:szCs w:val="20"/>
                <w:color w:val="auto"/>
                <w:w w:val="94"/>
              </w:rPr>
              <w:t xml:space="preserve">Foreign currency translation adjustments </w:t>
            </w:r>
            <w:r>
              <w:rPr>
                <w:rFonts w:ascii="Arial" w:cs="Arial" w:eastAsia="Arial" w:hAnsi="Arial"/>
                <w:sz w:val="20"/>
                <w:szCs w:val="20"/>
                <w:color w:val="B4B4B4"/>
                <w:w w:val="94"/>
              </w:rPr>
              <w:t>. . . . . . . . . . . . . . . . . . . . . . . . . . . . . . . . .</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99"/>
        </w:trPr>
        <w:tc>
          <w:tcPr>
            <w:tcW w:w="6960" w:type="dxa"/>
            <w:vAlign w:val="bottom"/>
          </w:tcPr>
          <w:p>
            <w:pPr>
              <w:jc w:val="right"/>
              <w:spacing w:after="0"/>
              <w:rPr>
                <w:sz w:val="20"/>
                <w:szCs w:val="20"/>
                <w:color w:val="auto"/>
              </w:rPr>
            </w:pPr>
            <w:r>
              <w:rPr>
                <w:rFonts w:ascii="Arial" w:cs="Arial" w:eastAsia="Arial" w:hAnsi="Arial"/>
                <w:sz w:val="20"/>
                <w:szCs w:val="20"/>
                <w:color w:val="auto"/>
                <w:w w:val="94"/>
              </w:rPr>
              <w:t xml:space="preserve">Defined benefit plans  </w:t>
            </w:r>
            <w:r>
              <w:rPr>
                <w:rFonts w:ascii="Arial" w:cs="Arial" w:eastAsia="Arial" w:hAnsi="Arial"/>
                <w:sz w:val="20"/>
                <w:szCs w:val="20"/>
                <w:color w:val="B4B4B4"/>
                <w:w w:val="94"/>
              </w:rPr>
              <w:t>. . . . . . . . . . . . . . . . . . . . . . . . . . . . . . . . . . . . . . . . . . . . . . . .</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w:t>
            </w:r>
          </w:p>
        </w:tc>
      </w:tr>
      <w:tr>
        <w:trPr>
          <w:trHeight w:val="277"/>
        </w:trPr>
        <w:tc>
          <w:tcPr>
            <w:tcW w:w="6960" w:type="dxa"/>
            <w:vAlign w:val="bottom"/>
          </w:tcPr>
          <w:p>
            <w:pPr>
              <w:jc w:val="right"/>
              <w:spacing w:after="0"/>
              <w:rPr>
                <w:sz w:val="20"/>
                <w:szCs w:val="20"/>
                <w:color w:val="auto"/>
              </w:rPr>
            </w:pPr>
            <w:r>
              <w:rPr>
                <w:rFonts w:ascii="Arial" w:cs="Arial" w:eastAsia="Arial" w:hAnsi="Arial"/>
                <w:sz w:val="20"/>
                <w:szCs w:val="20"/>
                <w:color w:val="auto"/>
                <w:w w:val="97"/>
              </w:rPr>
              <w:t xml:space="preserve">Other comprehensive (loss)/income </w:t>
            </w:r>
            <w:r>
              <w:rPr>
                <w:rFonts w:ascii="Arial" w:cs="Arial" w:eastAsia="Arial" w:hAnsi="Arial"/>
                <w:sz w:val="20"/>
                <w:szCs w:val="20"/>
                <w:color w:val="B4B4B4"/>
                <w:w w:val="97"/>
              </w:rPr>
              <w:t>. . . . . . . . . . . . . . . . . . . . . . . . . . . . . . . . . . .</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w:t>
            </w:r>
          </w:p>
        </w:tc>
      </w:tr>
      <w:tr>
        <w:trPr>
          <w:trHeight w:val="257"/>
        </w:trPr>
        <w:tc>
          <w:tcPr>
            <w:tcW w:w="696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Comprehensive Income/(Loss) </w:t>
            </w:r>
            <w:r>
              <w:rPr>
                <w:rFonts w:ascii="Arial" w:cs="Arial" w:eastAsia="Arial" w:hAnsi="Arial"/>
                <w:sz w:val="20"/>
                <w:szCs w:val="20"/>
                <w:b w:val="1"/>
                <w:bCs w:val="1"/>
                <w:color w:val="B4B4B4"/>
                <w:w w:val="89"/>
              </w:rPr>
              <w:t>. . . . . . . . . . . . . . . . . . . . . . . . . . . . . . . . . . . . . . . . . . .</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1,099</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(163)</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1,170</w:t>
            </w:r>
          </w:p>
        </w:tc>
      </w:tr>
      <w:tr>
        <w:trPr>
          <w:trHeight w:val="20"/>
        </w:trPr>
        <w:tc>
          <w:tcPr>
            <w:tcW w:w="6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-1181735</wp:posOffset>
            </wp:positionV>
            <wp:extent cx="6466205" cy="11887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1">
                      <a:extLst>
                        <a:ext uri="{28A0092B-C50C-407E-A947-70E740481C1C}"/>
                      </a:extLst>
                    </a:blip>
                    <a:srcRect/>
                    <a:stretch>
                      <a:fillRect/>
                    </a:stretch>
                  </pic:blipFill>
                  <pic:spPr bwMode="auto">
                    <a:xfrm>
                      <a:off x="0" y="0"/>
                      <a:ext cx="6466205" cy="1188720"/>
                    </a:xfrm>
                    <a:prstGeom prst="rect">
                      <a:avLst/>
                    </a:prstGeom>
                    <a:noFill/>
                  </pic:spPr>
                </pic:pic>
              </a:graphicData>
            </a:graphic>
          </wp:anchor>
        </w:drawing>
      </w:r>
    </w:p>
    <w:p>
      <w:pPr>
        <w:spacing w:after="0" w:line="10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notes to Consolidated Financial Statements</w:t>
      </w:r>
    </w:p>
    <w:p>
      <w:pPr>
        <w:sectPr>
          <w:pgSz w:w="11880" w:h="15480" w:orient="portrait"/>
          <w:cols w:equalWidth="0" w:num="1">
            <w:col w:w="10100"/>
          </w:cols>
          <w:pgMar w:left="92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89</w:t>
      </w:r>
    </w:p>
    <w:p>
      <w:pPr>
        <w:sectPr>
          <w:pgSz w:w="11880" w:h="15480" w:orient="portrait"/>
          <w:cols w:equalWidth="0" w:num="1">
            <w:col w:w="10100"/>
          </w:cols>
          <w:pgMar w:left="920" w:top="505" w:right="860" w:bottom="0" w:gutter="0" w:footer="0" w:header="0"/>
          <w:type w:val="continuous"/>
        </w:sectPr>
      </w:pPr>
    </w:p>
    <w:bookmarkStart w:id="91" w:name="page92"/>
    <w:bookmarkEnd w:id="91"/>
    <w:p>
      <w:pPr>
        <w:jc w:val="center"/>
        <w:ind w:right="40"/>
        <w:spacing w:after="0"/>
        <w:rPr>
          <w:sz w:val="20"/>
          <w:szCs w:val="20"/>
          <w:color w:val="auto"/>
        </w:rPr>
      </w:pPr>
      <w:r>
        <w:rPr>
          <w:rFonts w:ascii="Arial" w:cs="Arial" w:eastAsia="Arial" w:hAnsi="Arial"/>
          <w:sz w:val="20"/>
          <w:szCs w:val="20"/>
          <w:b w:val="1"/>
          <w:bCs w:val="1"/>
          <w:color w:val="auto"/>
        </w:rPr>
        <w:t>NRG ENERGY, INC. AND SUBSIDIARIES</w:t>
      </w:r>
    </w:p>
    <w:p>
      <w:pPr>
        <w:spacing w:after="0" w:line="12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CONSOLIDATED BALANCE SHEETS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6"/>
                <w:szCs w:val="16"/>
                <w:b w:val="1"/>
                <w:bCs w:val="1"/>
                <w:color w:val="auto"/>
              </w:rPr>
              <w:t>As of December 31,</w:t>
            </w:r>
          </w:p>
        </w:tc>
      </w:tr>
      <w:tr>
        <w:trPr>
          <w:trHeight w:val="232"/>
        </w:trPr>
        <w:tc>
          <w:tcPr>
            <w:tcW w:w="724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2023</w:t>
            </w:r>
          </w:p>
        </w:tc>
      </w:tr>
      <w:tr>
        <w:trPr>
          <w:trHeight w:val="260"/>
        </w:trPr>
        <w:tc>
          <w:tcPr>
            <w:tcW w:w="7240" w:type="dxa"/>
            <w:vAlign w:val="bottom"/>
          </w:tcPr>
          <w:p>
            <w:pPr>
              <w:jc w:val="right"/>
              <w:ind w:right="3162"/>
              <w:spacing w:after="0"/>
              <w:rPr>
                <w:sz w:val="20"/>
                <w:szCs w:val="20"/>
                <w:color w:val="auto"/>
              </w:rPr>
            </w:pPr>
            <w:r>
              <w:rPr>
                <w:rFonts w:ascii="Arial" w:cs="Arial" w:eastAsia="Arial" w:hAnsi="Arial"/>
                <w:sz w:val="20"/>
                <w:szCs w:val="20"/>
                <w:b w:val="1"/>
                <w:bCs w:val="1"/>
                <w:color w:val="auto"/>
              </w:rPr>
              <w:t>ASSETS</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2"/>
        </w:trPr>
        <w:tc>
          <w:tcPr>
            <w:tcW w:w="7240" w:type="dxa"/>
            <w:vAlign w:val="bottom"/>
          </w:tcPr>
          <w:p>
            <w:pPr>
              <w:spacing w:after="0"/>
              <w:rPr>
                <w:sz w:val="20"/>
                <w:szCs w:val="20"/>
                <w:color w:val="auto"/>
              </w:rPr>
            </w:pPr>
            <w:r>
              <w:rPr>
                <w:rFonts w:ascii="Arial" w:cs="Arial" w:eastAsia="Arial" w:hAnsi="Arial"/>
                <w:sz w:val="20"/>
                <w:szCs w:val="20"/>
                <w:b w:val="1"/>
                <w:bCs w:val="1"/>
                <w:color w:val="auto"/>
              </w:rPr>
              <w:t>Current Assets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2"/>
        </w:trPr>
        <w:tc>
          <w:tcPr>
            <w:tcW w:w="7240" w:type="dxa"/>
            <w:vAlign w:val="bottom"/>
          </w:tcPr>
          <w:p>
            <w:pPr>
              <w:jc w:val="right"/>
              <w:spacing w:after="0"/>
              <w:rPr>
                <w:sz w:val="20"/>
                <w:szCs w:val="20"/>
                <w:color w:val="auto"/>
              </w:rPr>
            </w:pPr>
            <w:r>
              <w:rPr>
                <w:rFonts w:ascii="Arial" w:cs="Arial" w:eastAsia="Arial" w:hAnsi="Arial"/>
                <w:sz w:val="20"/>
                <w:szCs w:val="20"/>
                <w:color w:val="auto"/>
                <w:w w:val="90"/>
              </w:rPr>
              <w:t xml:space="preserve">Cash and cash equivalents </w:t>
            </w:r>
            <w:r>
              <w:rPr>
                <w:rFonts w:ascii="Arial" w:cs="Arial" w:eastAsia="Arial" w:hAnsi="Arial"/>
                <w:sz w:val="20"/>
                <w:szCs w:val="20"/>
                <w:color w:val="B4B4B4"/>
                <w:w w:val="90"/>
              </w:rPr>
              <w:t>. . . . . . . . . . . . . . . . . . . . . . . . . . . . . . . . . . . . . . . . . . . . . . . . . .</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966</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541</w:t>
            </w:r>
          </w:p>
        </w:tc>
      </w:tr>
      <w:tr>
        <w:trPr>
          <w:trHeight w:val="282"/>
        </w:trPr>
        <w:tc>
          <w:tcPr>
            <w:tcW w:w="7240" w:type="dxa"/>
            <w:vAlign w:val="bottom"/>
          </w:tcPr>
          <w:p>
            <w:pPr>
              <w:jc w:val="right"/>
              <w:spacing w:after="0"/>
              <w:rPr>
                <w:sz w:val="20"/>
                <w:szCs w:val="20"/>
                <w:color w:val="auto"/>
              </w:rPr>
            </w:pPr>
            <w:r>
              <w:rPr>
                <w:rFonts w:ascii="Arial" w:cs="Arial" w:eastAsia="Arial" w:hAnsi="Arial"/>
                <w:sz w:val="20"/>
                <w:szCs w:val="20"/>
                <w:color w:val="auto"/>
                <w:w w:val="90"/>
              </w:rPr>
              <w:t xml:space="preserve">Funds deposited by counterparties  </w:t>
            </w:r>
            <w:r>
              <w:rPr>
                <w:rFonts w:ascii="Arial" w:cs="Arial" w:eastAsia="Arial" w:hAnsi="Arial"/>
                <w:sz w:val="20"/>
                <w:szCs w:val="20"/>
                <w:color w:val="B4B4B4"/>
                <w:w w:val="90"/>
              </w:rPr>
              <w:t>.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199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82"/>
        </w:trPr>
        <w:tc>
          <w:tcPr>
            <w:tcW w:w="7240" w:type="dxa"/>
            <w:vAlign w:val="bottom"/>
          </w:tcPr>
          <w:p>
            <w:pPr>
              <w:jc w:val="right"/>
              <w:spacing w:after="0"/>
              <w:rPr>
                <w:sz w:val="20"/>
                <w:szCs w:val="20"/>
                <w:color w:val="auto"/>
              </w:rPr>
            </w:pPr>
            <w:r>
              <w:rPr>
                <w:rFonts w:ascii="Arial" w:cs="Arial" w:eastAsia="Arial" w:hAnsi="Arial"/>
                <w:sz w:val="20"/>
                <w:szCs w:val="20"/>
                <w:color w:val="auto"/>
                <w:w w:val="90"/>
              </w:rPr>
              <w:t xml:space="preserve">Restricted cash </w:t>
            </w:r>
            <w:r>
              <w:rPr>
                <w:rFonts w:ascii="Arial" w:cs="Arial" w:eastAsia="Arial" w:hAnsi="Arial"/>
                <w:sz w:val="20"/>
                <w:szCs w:val="20"/>
                <w:color w:val="B4B4B4"/>
                <w:w w:val="90"/>
              </w:rPr>
              <w:t>. . . . . . . . . . .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2"/>
        </w:trPr>
        <w:tc>
          <w:tcPr>
            <w:tcW w:w="7240" w:type="dxa"/>
            <w:vAlign w:val="bottom"/>
          </w:tcPr>
          <w:p>
            <w:pPr>
              <w:jc w:val="right"/>
              <w:spacing w:after="0"/>
              <w:rPr>
                <w:sz w:val="20"/>
                <w:szCs w:val="20"/>
                <w:color w:val="auto"/>
              </w:rPr>
            </w:pPr>
            <w:r>
              <w:rPr>
                <w:rFonts w:ascii="Arial" w:cs="Arial" w:eastAsia="Arial" w:hAnsi="Arial"/>
                <w:sz w:val="20"/>
                <w:szCs w:val="20"/>
                <w:color w:val="auto"/>
                <w:w w:val="91"/>
              </w:rPr>
              <w:t xml:space="preserve">Accounts receivable, net </w:t>
            </w:r>
            <w:r>
              <w:rPr>
                <w:rFonts w:ascii="Arial" w:cs="Arial" w:eastAsia="Arial" w:hAnsi="Arial"/>
                <w:sz w:val="20"/>
                <w:szCs w:val="20"/>
                <w:color w:val="B4B4B4"/>
                <w:w w:val="91"/>
              </w:rPr>
              <w:t>. . .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3,488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3,542</w:t>
            </w:r>
          </w:p>
        </w:tc>
      </w:tr>
      <w:tr>
        <w:trPr>
          <w:trHeight w:val="282"/>
        </w:trPr>
        <w:tc>
          <w:tcPr>
            <w:tcW w:w="7240" w:type="dxa"/>
            <w:vAlign w:val="bottom"/>
          </w:tcPr>
          <w:p>
            <w:pPr>
              <w:jc w:val="right"/>
              <w:spacing w:after="0"/>
              <w:rPr>
                <w:sz w:val="20"/>
                <w:szCs w:val="20"/>
                <w:color w:val="auto"/>
              </w:rPr>
            </w:pPr>
            <w:r>
              <w:rPr>
                <w:rFonts w:ascii="Arial" w:cs="Arial" w:eastAsia="Arial" w:hAnsi="Arial"/>
                <w:sz w:val="20"/>
                <w:szCs w:val="20"/>
                <w:color w:val="auto"/>
                <w:w w:val="91"/>
              </w:rPr>
              <w:t xml:space="preserve">Inventory </w:t>
            </w:r>
            <w:r>
              <w:rPr>
                <w:rFonts w:ascii="Arial" w:cs="Arial" w:eastAsia="Arial" w:hAnsi="Arial"/>
                <w:sz w:val="20"/>
                <w:szCs w:val="20"/>
                <w:color w:val="B4B4B4"/>
                <w:w w:val="91"/>
              </w:rPr>
              <w:t>. . . . . . . . . . . . . . .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478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607</w:t>
            </w:r>
          </w:p>
        </w:tc>
      </w:tr>
      <w:tr>
        <w:trPr>
          <w:trHeight w:val="297"/>
        </w:trPr>
        <w:tc>
          <w:tcPr>
            <w:tcW w:w="7240" w:type="dxa"/>
            <w:vAlign w:val="bottom"/>
          </w:tcPr>
          <w:p>
            <w:pPr>
              <w:jc w:val="right"/>
              <w:spacing w:after="0"/>
              <w:rPr>
                <w:sz w:val="20"/>
                <w:szCs w:val="20"/>
                <w:color w:val="auto"/>
              </w:rPr>
            </w:pPr>
            <w:r>
              <w:rPr>
                <w:rFonts w:ascii="Arial" w:cs="Arial" w:eastAsia="Arial" w:hAnsi="Arial"/>
                <w:sz w:val="20"/>
                <w:szCs w:val="20"/>
                <w:color w:val="auto"/>
                <w:w w:val="91"/>
              </w:rPr>
              <w:t xml:space="preserve">Derivative instruments  </w:t>
            </w:r>
            <w:r>
              <w:rPr>
                <w:rFonts w:ascii="Arial" w:cs="Arial" w:eastAsia="Arial" w:hAnsi="Arial"/>
                <w:sz w:val="20"/>
                <w:szCs w:val="20"/>
                <w:color w:val="B4B4B4"/>
                <w:w w:val="91"/>
              </w:rPr>
              <w:t>. . . .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2,686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3,862</w:t>
            </w:r>
          </w:p>
        </w:tc>
      </w:tr>
      <w:tr>
        <w:trPr>
          <w:trHeight w:val="297"/>
        </w:trPr>
        <w:tc>
          <w:tcPr>
            <w:tcW w:w="7240" w:type="dxa"/>
            <w:vAlign w:val="bottom"/>
          </w:tcPr>
          <w:p>
            <w:pPr>
              <w:jc w:val="right"/>
              <w:spacing w:after="0"/>
              <w:rPr>
                <w:sz w:val="20"/>
                <w:szCs w:val="20"/>
                <w:color w:val="auto"/>
              </w:rPr>
            </w:pPr>
            <w:r>
              <w:rPr>
                <w:rFonts w:ascii="Arial" w:cs="Arial" w:eastAsia="Arial" w:hAnsi="Arial"/>
                <w:sz w:val="20"/>
                <w:szCs w:val="20"/>
                <w:color w:val="auto"/>
                <w:w w:val="92"/>
              </w:rPr>
              <w:t xml:space="preserve">Cash collateral paid in support of energy risk management activities </w:t>
            </w:r>
            <w:r>
              <w:rPr>
                <w:rFonts w:ascii="Arial" w:cs="Arial" w:eastAsia="Arial" w:hAnsi="Arial"/>
                <w:sz w:val="20"/>
                <w:szCs w:val="20"/>
                <w:color w:val="B4B4B4"/>
                <w:w w:val="92"/>
              </w:rPr>
              <w:t>.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309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441</w:t>
            </w:r>
          </w:p>
        </w:tc>
      </w:tr>
      <w:tr>
        <w:trPr>
          <w:trHeight w:val="284"/>
        </w:trPr>
        <w:tc>
          <w:tcPr>
            <w:tcW w:w="7240" w:type="dxa"/>
            <w:vAlign w:val="bottom"/>
          </w:tcPr>
          <w:p>
            <w:pPr>
              <w:jc w:val="right"/>
              <w:spacing w:after="0"/>
              <w:rPr>
                <w:sz w:val="20"/>
                <w:szCs w:val="20"/>
                <w:color w:val="auto"/>
              </w:rPr>
            </w:pPr>
            <w:r>
              <w:rPr>
                <w:rFonts w:ascii="Arial" w:cs="Arial" w:eastAsia="Arial" w:hAnsi="Arial"/>
                <w:sz w:val="20"/>
                <w:szCs w:val="20"/>
                <w:color w:val="auto"/>
                <w:w w:val="90"/>
              </w:rPr>
              <w:t xml:space="preserve">Prepayments and other current assets </w:t>
            </w:r>
            <w:r>
              <w:rPr>
                <w:rFonts w:ascii="Arial" w:cs="Arial" w:eastAsia="Arial" w:hAnsi="Arial"/>
                <w:sz w:val="20"/>
                <w:szCs w:val="20"/>
                <w:color w:val="B4B4B4"/>
                <w:w w:val="90"/>
              </w:rPr>
              <w:t>. . . . . . . . . . . . . . . . . . . . . . . . . . . . . . . . . . . . . . . . .</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830</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626</w:t>
            </w:r>
          </w:p>
        </w:tc>
      </w:tr>
      <w:tr>
        <w:trPr>
          <w:trHeight w:val="262"/>
        </w:trPr>
        <w:tc>
          <w:tcPr>
            <w:tcW w:w="7240" w:type="dxa"/>
            <w:vAlign w:val="bottom"/>
          </w:tcPr>
          <w:p>
            <w:pPr>
              <w:jc w:val="right"/>
              <w:spacing w:after="0"/>
              <w:rPr>
                <w:sz w:val="20"/>
                <w:szCs w:val="20"/>
                <w:color w:val="auto"/>
              </w:rPr>
            </w:pPr>
            <w:r>
              <w:rPr>
                <w:rFonts w:ascii="Arial" w:cs="Arial" w:eastAsia="Arial" w:hAnsi="Arial"/>
                <w:sz w:val="20"/>
                <w:szCs w:val="20"/>
                <w:color w:val="auto"/>
                <w:w w:val="93"/>
              </w:rPr>
              <w:t xml:space="preserve">Total current assets </w:t>
            </w:r>
            <w:r>
              <w:rPr>
                <w:rFonts w:ascii="Arial" w:cs="Arial" w:eastAsia="Arial" w:hAnsi="Arial"/>
                <w:sz w:val="20"/>
                <w:szCs w:val="20"/>
                <w:color w:val="B4B4B4"/>
                <w:w w:val="93"/>
              </w:rPr>
              <w:t>. . . . . . . . . . . . . . . . . . . . . . . . . . . . . . . . . . . . . . . . . . . . . . . . . . . . .</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8,964</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9,727</w:t>
            </w:r>
          </w:p>
        </w:tc>
      </w:tr>
      <w:tr>
        <w:trPr>
          <w:trHeight w:val="277"/>
        </w:trPr>
        <w:tc>
          <w:tcPr>
            <w:tcW w:w="7240" w:type="dxa"/>
            <w:vAlign w:val="bottom"/>
          </w:tcPr>
          <w:p>
            <w:pPr>
              <w:jc w:val="right"/>
              <w:spacing w:after="0"/>
              <w:rPr>
                <w:sz w:val="20"/>
                <w:szCs w:val="20"/>
                <w:color w:val="auto"/>
              </w:rPr>
            </w:pPr>
            <w:r>
              <w:rPr>
                <w:rFonts w:ascii="Arial" w:cs="Arial" w:eastAsia="Arial" w:hAnsi="Arial"/>
                <w:sz w:val="20"/>
                <w:szCs w:val="20"/>
                <w:b w:val="1"/>
                <w:bCs w:val="1"/>
                <w:color w:val="auto"/>
                <w:w w:val="90"/>
              </w:rPr>
              <w:t xml:space="preserve">Property, plant and equipment, net </w:t>
            </w:r>
            <w:r>
              <w:rPr>
                <w:rFonts w:ascii="Arial" w:cs="Arial" w:eastAsia="Arial" w:hAnsi="Arial"/>
                <w:sz w:val="20"/>
                <w:szCs w:val="20"/>
                <w:b w:val="1"/>
                <w:bCs w:val="1"/>
                <w:color w:val="B4B4B4"/>
                <w:w w:val="90"/>
              </w:rPr>
              <w:t>. . . . . . . . . . . . . . . . . . . . . . . . . . . . . . . . . . . . . . . . . .</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1,763</w:t>
            </w:r>
          </w:p>
        </w:tc>
      </w:tr>
      <w:tr>
        <w:trPr>
          <w:trHeight w:val="260"/>
        </w:trPr>
        <w:tc>
          <w:tcPr>
            <w:tcW w:w="7240" w:type="dxa"/>
            <w:vAlign w:val="bottom"/>
          </w:tcPr>
          <w:p>
            <w:pPr>
              <w:spacing w:after="0"/>
              <w:rPr>
                <w:sz w:val="20"/>
                <w:szCs w:val="20"/>
                <w:color w:val="auto"/>
              </w:rPr>
            </w:pPr>
            <w:r>
              <w:rPr>
                <w:rFonts w:ascii="Arial" w:cs="Arial" w:eastAsia="Arial" w:hAnsi="Arial"/>
                <w:sz w:val="20"/>
                <w:szCs w:val="20"/>
                <w:b w:val="1"/>
                <w:bCs w:val="1"/>
                <w:color w:val="auto"/>
              </w:rPr>
              <w:t>Other Assets</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2"/>
        </w:trPr>
        <w:tc>
          <w:tcPr>
            <w:tcW w:w="7240" w:type="dxa"/>
            <w:vAlign w:val="bottom"/>
          </w:tcPr>
          <w:p>
            <w:pPr>
              <w:jc w:val="right"/>
              <w:spacing w:after="0"/>
              <w:rPr>
                <w:sz w:val="20"/>
                <w:szCs w:val="20"/>
                <w:color w:val="auto"/>
              </w:rPr>
            </w:pPr>
            <w:r>
              <w:rPr>
                <w:rFonts w:ascii="Arial" w:cs="Arial" w:eastAsia="Arial" w:hAnsi="Arial"/>
                <w:sz w:val="20"/>
                <w:szCs w:val="20"/>
                <w:color w:val="auto"/>
                <w:w w:val="92"/>
              </w:rPr>
              <w:t xml:space="preserve">Equity investments in affiliates </w:t>
            </w:r>
            <w:r>
              <w:rPr>
                <w:rFonts w:ascii="Arial" w:cs="Arial" w:eastAsia="Arial" w:hAnsi="Arial"/>
                <w:sz w:val="20"/>
                <w:szCs w:val="20"/>
                <w:color w:val="B4B4B4"/>
                <w:w w:val="92"/>
              </w:rPr>
              <w:t>.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82"/>
        </w:trPr>
        <w:tc>
          <w:tcPr>
            <w:tcW w:w="7240" w:type="dxa"/>
            <w:vAlign w:val="bottom"/>
          </w:tcPr>
          <w:p>
            <w:pPr>
              <w:jc w:val="right"/>
              <w:spacing w:after="0"/>
              <w:rPr>
                <w:sz w:val="20"/>
                <w:szCs w:val="20"/>
                <w:color w:val="auto"/>
              </w:rPr>
            </w:pPr>
            <w:r>
              <w:rPr>
                <w:rFonts w:ascii="Arial" w:cs="Arial" w:eastAsia="Arial" w:hAnsi="Arial"/>
                <w:sz w:val="20"/>
                <w:szCs w:val="20"/>
                <w:color w:val="auto"/>
                <w:w w:val="90"/>
              </w:rPr>
              <w:t xml:space="preserve">Operating lease right-of-use assets, net </w:t>
            </w:r>
            <w:r>
              <w:rPr>
                <w:rFonts w:ascii="Arial" w:cs="Arial" w:eastAsia="Arial" w:hAnsi="Arial"/>
                <w:sz w:val="20"/>
                <w:szCs w:val="20"/>
                <w:color w:val="B4B4B4"/>
                <w:w w:val="90"/>
              </w:rPr>
              <w:t>.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179</w:t>
            </w:r>
          </w:p>
        </w:tc>
      </w:tr>
      <w:tr>
        <w:trPr>
          <w:trHeight w:val="282"/>
        </w:trPr>
        <w:tc>
          <w:tcPr>
            <w:tcW w:w="7240" w:type="dxa"/>
            <w:vAlign w:val="bottom"/>
          </w:tcPr>
          <w:p>
            <w:pPr>
              <w:jc w:val="right"/>
              <w:spacing w:after="0"/>
              <w:rPr>
                <w:sz w:val="20"/>
                <w:szCs w:val="20"/>
                <w:color w:val="auto"/>
              </w:rPr>
            </w:pPr>
            <w:r>
              <w:rPr>
                <w:rFonts w:ascii="Arial" w:cs="Arial" w:eastAsia="Arial" w:hAnsi="Arial"/>
                <w:sz w:val="20"/>
                <w:szCs w:val="20"/>
                <w:color w:val="auto"/>
                <w:w w:val="92"/>
              </w:rPr>
              <w:t xml:space="preserve">Goodwill </w:t>
            </w:r>
            <w:r>
              <w:rPr>
                <w:rFonts w:ascii="Arial" w:cs="Arial" w:eastAsia="Arial" w:hAnsi="Arial"/>
                <w:sz w:val="20"/>
                <w:szCs w:val="20"/>
                <w:color w:val="B4B4B4"/>
                <w:w w:val="92"/>
              </w:rPr>
              <w:t>. . . . . . . . . . . . . . .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5,011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5,079</w:t>
            </w:r>
          </w:p>
        </w:tc>
      </w:tr>
      <w:tr>
        <w:trPr>
          <w:trHeight w:val="282"/>
        </w:trPr>
        <w:tc>
          <w:tcPr>
            <w:tcW w:w="7240" w:type="dxa"/>
            <w:vAlign w:val="bottom"/>
          </w:tcPr>
          <w:p>
            <w:pPr>
              <w:jc w:val="right"/>
              <w:spacing w:after="0"/>
              <w:rPr>
                <w:sz w:val="20"/>
                <w:szCs w:val="20"/>
                <w:color w:val="auto"/>
              </w:rPr>
            </w:pPr>
            <w:r>
              <w:rPr>
                <w:rFonts w:ascii="Arial" w:cs="Arial" w:eastAsia="Arial" w:hAnsi="Arial"/>
                <w:sz w:val="20"/>
                <w:szCs w:val="20"/>
                <w:color w:val="auto"/>
                <w:w w:val="91"/>
              </w:rPr>
              <w:t xml:space="preserve">Customer relationships, net </w:t>
            </w:r>
            <w:r>
              <w:rPr>
                <w:rFonts w:ascii="Arial" w:cs="Arial" w:eastAsia="Arial" w:hAnsi="Arial"/>
                <w:sz w:val="20"/>
                <w:szCs w:val="20"/>
                <w:color w:val="B4B4B4"/>
                <w:w w:val="91"/>
              </w:rPr>
              <w:t>.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1,538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2,164</w:t>
            </w:r>
          </w:p>
        </w:tc>
      </w:tr>
      <w:tr>
        <w:trPr>
          <w:trHeight w:val="282"/>
        </w:trPr>
        <w:tc>
          <w:tcPr>
            <w:tcW w:w="7240" w:type="dxa"/>
            <w:vAlign w:val="bottom"/>
          </w:tcPr>
          <w:p>
            <w:pPr>
              <w:jc w:val="right"/>
              <w:spacing w:after="0"/>
              <w:rPr>
                <w:sz w:val="20"/>
                <w:szCs w:val="20"/>
                <w:color w:val="auto"/>
              </w:rPr>
            </w:pPr>
            <w:r>
              <w:rPr>
                <w:rFonts w:ascii="Arial" w:cs="Arial" w:eastAsia="Arial" w:hAnsi="Arial"/>
                <w:sz w:val="20"/>
                <w:szCs w:val="20"/>
                <w:color w:val="auto"/>
                <w:w w:val="91"/>
              </w:rPr>
              <w:t xml:space="preserve">Other intangible assets, net </w:t>
            </w:r>
            <w:r>
              <w:rPr>
                <w:rFonts w:ascii="Arial" w:cs="Arial" w:eastAsia="Arial" w:hAnsi="Arial"/>
                <w:sz w:val="20"/>
                <w:szCs w:val="20"/>
                <w:color w:val="B4B4B4"/>
                <w:w w:val="91"/>
              </w:rPr>
              <w:t>.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1,370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1,763</w:t>
            </w:r>
          </w:p>
        </w:tc>
      </w:tr>
      <w:tr>
        <w:trPr>
          <w:trHeight w:val="282"/>
        </w:trPr>
        <w:tc>
          <w:tcPr>
            <w:tcW w:w="7240" w:type="dxa"/>
            <w:vAlign w:val="bottom"/>
          </w:tcPr>
          <w:p>
            <w:pPr>
              <w:jc w:val="right"/>
              <w:spacing w:after="0"/>
              <w:rPr>
                <w:sz w:val="20"/>
                <w:szCs w:val="20"/>
                <w:color w:val="auto"/>
              </w:rPr>
            </w:pPr>
            <w:r>
              <w:rPr>
                <w:rFonts w:ascii="Arial" w:cs="Arial" w:eastAsia="Arial" w:hAnsi="Arial"/>
                <w:sz w:val="20"/>
                <w:szCs w:val="20"/>
                <w:color w:val="auto"/>
                <w:w w:val="91"/>
              </w:rPr>
              <w:t xml:space="preserve">Derivative instruments  </w:t>
            </w:r>
            <w:r>
              <w:rPr>
                <w:rFonts w:ascii="Arial" w:cs="Arial" w:eastAsia="Arial" w:hAnsi="Arial"/>
                <w:sz w:val="20"/>
                <w:szCs w:val="20"/>
                <w:color w:val="B4B4B4"/>
                <w:w w:val="91"/>
              </w:rPr>
              <w:t>. . . .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1,710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2,293</w:t>
            </w:r>
          </w:p>
        </w:tc>
      </w:tr>
      <w:tr>
        <w:trPr>
          <w:trHeight w:val="282"/>
        </w:trPr>
        <w:tc>
          <w:tcPr>
            <w:tcW w:w="7240" w:type="dxa"/>
            <w:vAlign w:val="bottom"/>
          </w:tcPr>
          <w:p>
            <w:pPr>
              <w:jc w:val="right"/>
              <w:spacing w:after="0"/>
              <w:rPr>
                <w:sz w:val="20"/>
                <w:szCs w:val="20"/>
                <w:color w:val="auto"/>
              </w:rPr>
            </w:pPr>
            <w:r>
              <w:rPr>
                <w:rFonts w:ascii="Arial" w:cs="Arial" w:eastAsia="Arial" w:hAnsi="Arial"/>
                <w:sz w:val="20"/>
                <w:szCs w:val="20"/>
                <w:color w:val="auto"/>
                <w:w w:val="90"/>
              </w:rPr>
              <w:t xml:space="preserve">Deferred income taxes </w:t>
            </w:r>
            <w:r>
              <w:rPr>
                <w:rFonts w:ascii="Arial" w:cs="Arial" w:eastAsia="Arial" w:hAnsi="Arial"/>
                <w:sz w:val="20"/>
                <w:szCs w:val="20"/>
                <w:color w:val="B4B4B4"/>
                <w:w w:val="90"/>
              </w:rPr>
              <w:t>. . . . .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2,067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2,251</w:t>
            </w:r>
          </w:p>
        </w:tc>
      </w:tr>
      <w:tr>
        <w:trPr>
          <w:trHeight w:val="299"/>
        </w:trPr>
        <w:tc>
          <w:tcPr>
            <w:tcW w:w="7240" w:type="dxa"/>
            <w:vAlign w:val="bottom"/>
          </w:tcPr>
          <w:p>
            <w:pPr>
              <w:jc w:val="right"/>
              <w:spacing w:after="0"/>
              <w:rPr>
                <w:sz w:val="20"/>
                <w:szCs w:val="20"/>
                <w:color w:val="auto"/>
              </w:rPr>
            </w:pPr>
            <w:r>
              <w:rPr>
                <w:rFonts w:ascii="Arial" w:cs="Arial" w:eastAsia="Arial" w:hAnsi="Arial"/>
                <w:sz w:val="20"/>
                <w:szCs w:val="20"/>
                <w:color w:val="auto"/>
                <w:w w:val="90"/>
              </w:rPr>
              <w:t xml:space="preserve">Other non-current assets </w:t>
            </w:r>
            <w:r>
              <w:rPr>
                <w:rFonts w:ascii="Arial" w:cs="Arial" w:eastAsia="Arial" w:hAnsi="Arial"/>
                <w:sz w:val="20"/>
                <w:szCs w:val="20"/>
                <w:color w:val="B4B4B4"/>
                <w:w w:val="90"/>
              </w:rPr>
              <w:t>. . . . . . . . . . . . . . . . . . . . . . . . . . . . . . . . . . . . . . . . . . . . . . . . . . .</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1,145</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777</w:t>
            </w:r>
          </w:p>
        </w:tc>
      </w:tr>
      <w:tr>
        <w:trPr>
          <w:trHeight w:val="262"/>
        </w:trPr>
        <w:tc>
          <w:tcPr>
            <w:tcW w:w="7240" w:type="dxa"/>
            <w:vAlign w:val="bottom"/>
          </w:tcPr>
          <w:p>
            <w:pPr>
              <w:jc w:val="right"/>
              <w:spacing w:after="0"/>
              <w:rPr>
                <w:sz w:val="20"/>
                <w:szCs w:val="20"/>
                <w:color w:val="auto"/>
              </w:rPr>
            </w:pPr>
            <w:r>
              <w:rPr>
                <w:rFonts w:ascii="Arial" w:cs="Arial" w:eastAsia="Arial" w:hAnsi="Arial"/>
                <w:sz w:val="20"/>
                <w:szCs w:val="20"/>
                <w:color w:val="auto"/>
                <w:w w:val="94"/>
              </w:rPr>
              <w:t xml:space="preserve">Total other assets </w:t>
            </w:r>
            <w:r>
              <w:rPr>
                <w:rFonts w:ascii="Arial" w:cs="Arial" w:eastAsia="Arial" w:hAnsi="Arial"/>
                <w:sz w:val="20"/>
                <w:szCs w:val="20"/>
                <w:color w:val="B4B4B4"/>
                <w:w w:val="94"/>
              </w:rPr>
              <w:t>. . . . . . . . . . . . . . . . . . . . . . . . . . . . . . . . . . . . . . . . . . . . . . . . . . . . . .</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13,037</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14,548</w:t>
            </w:r>
          </w:p>
        </w:tc>
      </w:tr>
      <w:tr>
        <w:trPr>
          <w:trHeight w:val="242"/>
        </w:trPr>
        <w:tc>
          <w:tcPr>
            <w:tcW w:w="7240" w:type="dxa"/>
            <w:vAlign w:val="bottom"/>
          </w:tcPr>
          <w:p>
            <w:pPr>
              <w:jc w:val="right"/>
              <w:spacing w:after="0"/>
              <w:rPr>
                <w:sz w:val="20"/>
                <w:szCs w:val="20"/>
                <w:color w:val="auto"/>
              </w:rPr>
            </w:pPr>
            <w:r>
              <w:rPr>
                <w:rFonts w:ascii="Arial" w:cs="Arial" w:eastAsia="Arial" w:hAnsi="Arial"/>
                <w:sz w:val="20"/>
                <w:szCs w:val="20"/>
                <w:b w:val="1"/>
                <w:bCs w:val="1"/>
                <w:color w:val="B4B4B4"/>
                <w:w w:val="90"/>
              </w:rPr>
              <w:t>. . . . . . . . . . . . . . . . . . . . . . . . . . . . . . . . . . . . . . . . . . . . . . . . . . . . . . . . . . . . . .</w:t>
            </w:r>
            <w:r>
              <w:rPr>
                <w:rFonts w:ascii="Arial" w:cs="Arial" w:eastAsia="Arial" w:hAnsi="Arial"/>
                <w:sz w:val="20"/>
                <w:szCs w:val="20"/>
                <w:b w:val="1"/>
                <w:bCs w:val="1"/>
                <w:color w:val="000000"/>
                <w:w w:val="90"/>
              </w:rPr>
              <w:t>TotalAssets</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24,022</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26,038</w:t>
            </w:r>
          </w:p>
        </w:tc>
      </w:tr>
      <w:tr>
        <w:trPr>
          <w:trHeight w:val="20"/>
        </w:trPr>
        <w:tc>
          <w:tcPr>
            <w:tcW w:w="7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-4189730</wp:posOffset>
            </wp:positionV>
            <wp:extent cx="6456680" cy="4196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2">
                      <a:extLst>
                        <a:ext uri="{28A0092B-C50C-407E-A947-70E740481C1C}"/>
                      </a:extLst>
                    </a:blip>
                    <a:srcRect/>
                    <a:stretch>
                      <a:fillRect/>
                    </a:stretch>
                  </pic:blipFill>
                  <pic:spPr bwMode="auto">
                    <a:xfrm>
                      <a:off x="0" y="0"/>
                      <a:ext cx="6456680" cy="4196715"/>
                    </a:xfrm>
                    <a:prstGeom prst="rect">
                      <a:avLst/>
                    </a:prstGeom>
                    <a:noFill/>
                  </pic:spPr>
                </pic:pic>
              </a:graphicData>
            </a:graphic>
          </wp:anchor>
        </w:drawing>
      </w:r>
    </w:p>
    <w:p>
      <w:pPr>
        <w:sectPr>
          <w:pgSz w:w="11880" w:h="15480" w:orient="portrait"/>
          <w:cols w:equalWidth="0" w:num="1">
            <w:col w:w="10080"/>
          </w:cols>
          <w:pgMar w:left="920" w:top="50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90</w:t>
      </w:r>
    </w:p>
    <w:p>
      <w:pPr>
        <w:sectPr>
          <w:pgSz w:w="11880" w:h="15480" w:orient="portrait"/>
          <w:cols w:equalWidth="0" w:num="1">
            <w:col w:w="10080"/>
          </w:cols>
          <w:pgMar w:left="920" w:top="505" w:right="880" w:bottom="0" w:gutter="0" w:footer="0" w:header="0"/>
          <w:type w:val="continuous"/>
        </w:sectPr>
      </w:pPr>
    </w:p>
    <w:bookmarkStart w:id="92" w:name="page93"/>
    <w:bookmarkEnd w:id="92"/>
    <w:p>
      <w:pPr>
        <w:jc w:val="center"/>
        <w:ind w:right="40"/>
        <w:spacing w:after="0"/>
        <w:rPr>
          <w:sz w:val="20"/>
          <w:szCs w:val="20"/>
          <w:color w:val="auto"/>
        </w:rPr>
      </w:pPr>
      <w:r>
        <w:rPr>
          <w:rFonts w:ascii="Arial" w:cs="Arial" w:eastAsia="Arial" w:hAnsi="Arial"/>
          <w:sz w:val="20"/>
          <w:szCs w:val="20"/>
          <w:b w:val="1"/>
          <w:bCs w:val="1"/>
          <w:color w:val="auto"/>
        </w:rPr>
        <w:t>NRG ENERGY, INC. AND SUBSIDIARIES</w:t>
      </w:r>
    </w:p>
    <w:p>
      <w:pPr>
        <w:spacing w:after="0" w:line="12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CONSOLIDATED BALANCE SHEETS (Continued)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62"/>
        </w:trPr>
        <w:tc>
          <w:tcPr>
            <w:tcW w:w="7240" w:type="dxa"/>
            <w:vAlign w:val="bottom"/>
          </w:tcPr>
          <w:p>
            <w:pPr>
              <w:spacing w:after="0"/>
              <w:rPr>
                <w:sz w:val="20"/>
                <w:szCs w:val="20"/>
                <w:color w:val="auto"/>
              </w:rPr>
            </w:pPr>
            <w:r>
              <w:rPr>
                <w:rFonts w:ascii="Arial" w:cs="Arial" w:eastAsia="Arial" w:hAnsi="Arial"/>
                <w:sz w:val="16"/>
                <w:szCs w:val="16"/>
                <w:b w:val="1"/>
                <w:bCs w:val="1"/>
                <w:color w:val="auto"/>
              </w:rPr>
              <w:t>(In millions, except share data)</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60"/>
        </w:trPr>
        <w:tc>
          <w:tcPr>
            <w:tcW w:w="7240" w:type="dxa"/>
            <w:vAlign w:val="bottom"/>
          </w:tcPr>
          <w:p>
            <w:pPr>
              <w:ind w:left="1460"/>
              <w:spacing w:after="0"/>
              <w:rPr>
                <w:sz w:val="20"/>
                <w:szCs w:val="20"/>
                <w:color w:val="auto"/>
              </w:rPr>
            </w:pPr>
            <w:r>
              <w:rPr>
                <w:rFonts w:ascii="Arial" w:cs="Arial" w:eastAsia="Arial" w:hAnsi="Arial"/>
                <w:sz w:val="20"/>
                <w:szCs w:val="20"/>
                <w:b w:val="1"/>
                <w:bCs w:val="1"/>
                <w:color w:val="auto"/>
              </w:rPr>
              <w:t>LIABILITIES AND STOCKHOLDERS' EQUITY</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7240" w:type="dxa"/>
            <w:vAlign w:val="bottom"/>
          </w:tcPr>
          <w:p>
            <w:pPr>
              <w:spacing w:after="0"/>
              <w:rPr>
                <w:sz w:val="20"/>
                <w:szCs w:val="20"/>
                <w:color w:val="auto"/>
              </w:rPr>
            </w:pPr>
            <w:r>
              <w:rPr>
                <w:rFonts w:ascii="Arial" w:cs="Arial" w:eastAsia="Arial" w:hAnsi="Arial"/>
                <w:sz w:val="20"/>
                <w:szCs w:val="20"/>
                <w:b w:val="1"/>
                <w:bCs w:val="1"/>
                <w:color w:val="auto"/>
              </w:rPr>
              <w:t>Current Liabilities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240" w:type="dxa"/>
            <w:vAlign w:val="bottom"/>
          </w:tcPr>
          <w:p>
            <w:pPr>
              <w:ind w:left="140"/>
              <w:spacing w:after="0"/>
              <w:rPr>
                <w:sz w:val="20"/>
                <w:szCs w:val="20"/>
                <w:color w:val="auto"/>
              </w:rPr>
            </w:pPr>
            <w:r>
              <w:rPr>
                <w:rFonts w:ascii="Arial" w:cs="Arial" w:eastAsia="Arial" w:hAnsi="Arial"/>
                <w:sz w:val="20"/>
                <w:szCs w:val="20"/>
                <w:color w:val="auto"/>
                <w:w w:val="90"/>
              </w:rPr>
              <w:t xml:space="preserve">Current portion of long-term debt and finance leases </w:t>
            </w:r>
            <w:r>
              <w:rPr>
                <w:rFonts w:ascii="Arial" w:cs="Arial" w:eastAsia="Arial" w:hAnsi="Arial"/>
                <w:sz w:val="20"/>
                <w:szCs w:val="20"/>
                <w:color w:val="B4B4B4"/>
                <w:w w:val="90"/>
              </w:rPr>
              <w:t>. . . . . . . . . . . . . . . . . . . . . . . . . . . . .</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996</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620</w:t>
            </w:r>
          </w:p>
        </w:tc>
        <w:tc>
          <w:tcPr>
            <w:tcW w:w="0" w:type="dxa"/>
            <w:vAlign w:val="bottom"/>
          </w:tcPr>
          <w:p>
            <w:pPr>
              <w:spacing w:after="0"/>
              <w:rPr>
                <w:sz w:val="1"/>
                <w:szCs w:val="1"/>
                <w:color w:val="auto"/>
              </w:rPr>
            </w:pPr>
          </w:p>
        </w:tc>
      </w:tr>
      <w:tr>
        <w:trPr>
          <w:trHeight w:val="282"/>
        </w:trPr>
        <w:tc>
          <w:tcPr>
            <w:tcW w:w="7240" w:type="dxa"/>
            <w:vAlign w:val="bottom"/>
          </w:tcPr>
          <w:p>
            <w:pPr>
              <w:ind w:left="140"/>
              <w:spacing w:after="0"/>
              <w:rPr>
                <w:sz w:val="20"/>
                <w:szCs w:val="20"/>
                <w:color w:val="auto"/>
              </w:rPr>
            </w:pPr>
            <w:r>
              <w:rPr>
                <w:rFonts w:ascii="Arial" w:cs="Arial" w:eastAsia="Arial" w:hAnsi="Arial"/>
                <w:sz w:val="20"/>
                <w:szCs w:val="20"/>
                <w:color w:val="auto"/>
                <w:w w:val="90"/>
              </w:rPr>
              <w:t xml:space="preserve">Current portion of operating lease liabilities </w:t>
            </w:r>
            <w:r>
              <w:rPr>
                <w:rFonts w:ascii="Arial" w:cs="Arial" w:eastAsia="Arial" w:hAnsi="Arial"/>
                <w:sz w:val="20"/>
                <w:szCs w:val="20"/>
                <w:color w:val="B4B4B4"/>
                <w:w w:val="90"/>
              </w:rPr>
              <w:t>.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82"/>
        </w:trPr>
        <w:tc>
          <w:tcPr>
            <w:tcW w:w="7240" w:type="dxa"/>
            <w:vAlign w:val="bottom"/>
          </w:tcPr>
          <w:p>
            <w:pPr>
              <w:ind w:left="140"/>
              <w:spacing w:after="0"/>
              <w:rPr>
                <w:sz w:val="20"/>
                <w:szCs w:val="20"/>
                <w:color w:val="auto"/>
              </w:rPr>
            </w:pPr>
            <w:r>
              <w:rPr>
                <w:rFonts w:ascii="Arial" w:cs="Arial" w:eastAsia="Arial" w:hAnsi="Arial"/>
                <w:sz w:val="20"/>
                <w:szCs w:val="20"/>
                <w:color w:val="auto"/>
                <w:w w:val="90"/>
              </w:rPr>
              <w:t xml:space="preserve">Accounts payable  </w:t>
            </w:r>
            <w:r>
              <w:rPr>
                <w:rFonts w:ascii="Arial" w:cs="Arial" w:eastAsia="Arial" w:hAnsi="Arial"/>
                <w:sz w:val="20"/>
                <w:szCs w:val="20"/>
                <w:color w:val="B4B4B4"/>
                <w:w w:val="90"/>
              </w:rPr>
              <w:t>. . . . . . . .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2,513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2,325</w:t>
            </w:r>
          </w:p>
        </w:tc>
        <w:tc>
          <w:tcPr>
            <w:tcW w:w="0" w:type="dxa"/>
            <w:vAlign w:val="bottom"/>
          </w:tcPr>
          <w:p>
            <w:pPr>
              <w:spacing w:after="0"/>
              <w:rPr>
                <w:sz w:val="1"/>
                <w:szCs w:val="1"/>
                <w:color w:val="auto"/>
              </w:rPr>
            </w:pPr>
          </w:p>
        </w:tc>
      </w:tr>
      <w:tr>
        <w:trPr>
          <w:trHeight w:val="282"/>
        </w:trPr>
        <w:tc>
          <w:tcPr>
            <w:tcW w:w="7240" w:type="dxa"/>
            <w:vAlign w:val="bottom"/>
          </w:tcPr>
          <w:p>
            <w:pPr>
              <w:ind w:left="140"/>
              <w:spacing w:after="0"/>
              <w:rPr>
                <w:sz w:val="20"/>
                <w:szCs w:val="20"/>
                <w:color w:val="auto"/>
              </w:rPr>
            </w:pPr>
            <w:r>
              <w:rPr>
                <w:rFonts w:ascii="Arial" w:cs="Arial" w:eastAsia="Arial" w:hAnsi="Arial"/>
                <w:sz w:val="20"/>
                <w:szCs w:val="20"/>
                <w:color w:val="auto"/>
                <w:w w:val="90"/>
              </w:rPr>
              <w:t xml:space="preserve">Derivative instruments  </w:t>
            </w:r>
            <w:r>
              <w:rPr>
                <w:rFonts w:ascii="Arial" w:cs="Arial" w:eastAsia="Arial" w:hAnsi="Arial"/>
                <w:sz w:val="20"/>
                <w:szCs w:val="20"/>
                <w:color w:val="B4B4B4"/>
                <w:w w:val="90"/>
              </w:rPr>
              <w:t>. . . .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2,297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4,019</w:t>
            </w:r>
          </w:p>
        </w:tc>
        <w:tc>
          <w:tcPr>
            <w:tcW w:w="0" w:type="dxa"/>
            <w:vAlign w:val="bottom"/>
          </w:tcPr>
          <w:p>
            <w:pPr>
              <w:spacing w:after="0"/>
              <w:rPr>
                <w:sz w:val="1"/>
                <w:szCs w:val="1"/>
                <w:color w:val="auto"/>
              </w:rPr>
            </w:pPr>
          </w:p>
        </w:tc>
      </w:tr>
      <w:tr>
        <w:trPr>
          <w:trHeight w:val="282"/>
        </w:trPr>
        <w:tc>
          <w:tcPr>
            <w:tcW w:w="7240" w:type="dxa"/>
            <w:vAlign w:val="bottom"/>
          </w:tcPr>
          <w:p>
            <w:pPr>
              <w:ind w:left="140"/>
              <w:spacing w:after="0"/>
              <w:rPr>
                <w:sz w:val="20"/>
                <w:szCs w:val="20"/>
                <w:color w:val="auto"/>
              </w:rPr>
            </w:pPr>
            <w:r>
              <w:rPr>
                <w:rFonts w:ascii="Arial" w:cs="Arial" w:eastAsia="Arial" w:hAnsi="Arial"/>
                <w:sz w:val="20"/>
                <w:szCs w:val="20"/>
                <w:color w:val="auto"/>
                <w:w w:val="90"/>
              </w:rPr>
              <w:t xml:space="preserve">Cash collateral received in support of energy risk management activities </w:t>
            </w:r>
            <w:r>
              <w:rPr>
                <w:rFonts w:ascii="Arial" w:cs="Arial" w:eastAsia="Arial" w:hAnsi="Arial"/>
                <w:sz w:val="20"/>
                <w:szCs w:val="20"/>
                <w:color w:val="B4B4B4"/>
                <w:w w:val="90"/>
              </w:rPr>
              <w:t>.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199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282"/>
        </w:trPr>
        <w:tc>
          <w:tcPr>
            <w:tcW w:w="7240" w:type="dxa"/>
            <w:vAlign w:val="bottom"/>
          </w:tcPr>
          <w:p>
            <w:pPr>
              <w:ind w:left="140"/>
              <w:spacing w:after="0"/>
              <w:rPr>
                <w:sz w:val="20"/>
                <w:szCs w:val="20"/>
                <w:color w:val="auto"/>
              </w:rPr>
            </w:pPr>
            <w:r>
              <w:rPr>
                <w:rFonts w:ascii="Arial" w:cs="Arial" w:eastAsia="Arial" w:hAnsi="Arial"/>
                <w:sz w:val="20"/>
                <w:szCs w:val="20"/>
                <w:color w:val="auto"/>
                <w:w w:val="89"/>
              </w:rPr>
              <w:t xml:space="preserve">Deferred revenue current </w:t>
            </w:r>
            <w:r>
              <w:rPr>
                <w:rFonts w:ascii="Arial" w:cs="Arial" w:eastAsia="Arial" w:hAnsi="Arial"/>
                <w:sz w:val="20"/>
                <w:szCs w:val="20"/>
                <w:color w:val="B4B4B4"/>
                <w:w w:val="89"/>
              </w:rPr>
              <w:t>. . .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711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720</w:t>
            </w:r>
          </w:p>
        </w:tc>
        <w:tc>
          <w:tcPr>
            <w:tcW w:w="0" w:type="dxa"/>
            <w:vAlign w:val="bottom"/>
          </w:tcPr>
          <w:p>
            <w:pPr>
              <w:spacing w:after="0"/>
              <w:rPr>
                <w:sz w:val="1"/>
                <w:szCs w:val="1"/>
                <w:color w:val="auto"/>
              </w:rPr>
            </w:pPr>
          </w:p>
        </w:tc>
      </w:tr>
      <w:tr>
        <w:trPr>
          <w:trHeight w:val="284"/>
        </w:trPr>
        <w:tc>
          <w:tcPr>
            <w:tcW w:w="7240" w:type="dxa"/>
            <w:vAlign w:val="bottom"/>
          </w:tcPr>
          <w:p>
            <w:pPr>
              <w:ind w:left="140"/>
              <w:spacing w:after="0"/>
              <w:rPr>
                <w:sz w:val="20"/>
                <w:szCs w:val="20"/>
                <w:color w:val="auto"/>
              </w:rPr>
            </w:pPr>
            <w:r>
              <w:rPr>
                <w:rFonts w:ascii="Arial" w:cs="Arial" w:eastAsia="Arial" w:hAnsi="Arial"/>
                <w:sz w:val="20"/>
                <w:szCs w:val="20"/>
                <w:color w:val="auto"/>
                <w:w w:val="90"/>
              </w:rPr>
              <w:t xml:space="preserve">Accrued expenses and other current liabilities </w:t>
            </w:r>
            <w:r>
              <w:rPr>
                <w:rFonts w:ascii="Arial" w:cs="Arial" w:eastAsia="Arial" w:hAnsi="Arial"/>
                <w:sz w:val="20"/>
                <w:szCs w:val="20"/>
                <w:color w:val="B4B4B4"/>
                <w:w w:val="90"/>
              </w:rPr>
              <w:t>. . . . . . . . . . . . . . . . . . . . . . . . . . . . . . . . . .</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2,031</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1,642</w:t>
            </w:r>
          </w:p>
        </w:tc>
        <w:tc>
          <w:tcPr>
            <w:tcW w:w="0" w:type="dxa"/>
            <w:vAlign w:val="bottom"/>
          </w:tcPr>
          <w:p>
            <w:pPr>
              <w:spacing w:after="0"/>
              <w:rPr>
                <w:sz w:val="1"/>
                <w:szCs w:val="1"/>
                <w:color w:val="auto"/>
              </w:rPr>
            </w:pPr>
          </w:p>
        </w:tc>
      </w:tr>
      <w:tr>
        <w:trPr>
          <w:trHeight w:val="262"/>
        </w:trPr>
        <w:tc>
          <w:tcPr>
            <w:tcW w:w="7240" w:type="dxa"/>
            <w:vAlign w:val="bottom"/>
          </w:tcPr>
          <w:p>
            <w:pPr>
              <w:jc w:val="right"/>
              <w:spacing w:after="0"/>
              <w:rPr>
                <w:sz w:val="20"/>
                <w:szCs w:val="20"/>
                <w:color w:val="auto"/>
              </w:rPr>
            </w:pPr>
            <w:r>
              <w:rPr>
                <w:rFonts w:ascii="Arial" w:cs="Arial" w:eastAsia="Arial" w:hAnsi="Arial"/>
                <w:sz w:val="20"/>
                <w:szCs w:val="20"/>
                <w:color w:val="auto"/>
                <w:w w:val="95"/>
              </w:rPr>
              <w:t xml:space="preserve">Total current liabilities </w:t>
            </w:r>
            <w:r>
              <w:rPr>
                <w:rFonts w:ascii="Arial" w:cs="Arial" w:eastAsia="Arial" w:hAnsi="Arial"/>
                <w:sz w:val="20"/>
                <w:szCs w:val="20"/>
                <w:color w:val="B4B4B4"/>
                <w:w w:val="95"/>
              </w:rPr>
              <w:t>. . . . . . . . . . . . . . . . . . . . . . . . . . . . . . . . . . . . . . . . . . . . . . . . . .</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8,813</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9,500</w:t>
            </w:r>
          </w:p>
        </w:tc>
        <w:tc>
          <w:tcPr>
            <w:tcW w:w="0" w:type="dxa"/>
            <w:vAlign w:val="bottom"/>
          </w:tcPr>
          <w:p>
            <w:pPr>
              <w:spacing w:after="0"/>
              <w:rPr>
                <w:sz w:val="1"/>
                <w:szCs w:val="1"/>
                <w:color w:val="auto"/>
              </w:rPr>
            </w:pPr>
          </w:p>
        </w:tc>
      </w:tr>
      <w:tr>
        <w:trPr>
          <w:trHeight w:val="260"/>
        </w:trPr>
        <w:tc>
          <w:tcPr>
            <w:tcW w:w="7240" w:type="dxa"/>
            <w:vAlign w:val="bottom"/>
          </w:tcPr>
          <w:p>
            <w:pPr>
              <w:spacing w:after="0"/>
              <w:rPr>
                <w:sz w:val="20"/>
                <w:szCs w:val="20"/>
                <w:color w:val="auto"/>
              </w:rPr>
            </w:pPr>
            <w:r>
              <w:rPr>
                <w:rFonts w:ascii="Arial" w:cs="Arial" w:eastAsia="Arial" w:hAnsi="Arial"/>
                <w:sz w:val="20"/>
                <w:szCs w:val="20"/>
                <w:b w:val="1"/>
                <w:bCs w:val="1"/>
                <w:color w:val="auto"/>
              </w:rPr>
              <w:t>Other Liabilities</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7240" w:type="dxa"/>
            <w:vAlign w:val="bottom"/>
          </w:tcPr>
          <w:p>
            <w:pPr>
              <w:ind w:left="140"/>
              <w:spacing w:after="0"/>
              <w:rPr>
                <w:sz w:val="20"/>
                <w:szCs w:val="20"/>
                <w:color w:val="auto"/>
              </w:rPr>
            </w:pPr>
            <w:r>
              <w:rPr>
                <w:rFonts w:ascii="Arial" w:cs="Arial" w:eastAsia="Arial" w:hAnsi="Arial"/>
                <w:sz w:val="20"/>
                <w:szCs w:val="20"/>
                <w:color w:val="auto"/>
                <w:w w:val="90"/>
              </w:rPr>
              <w:t xml:space="preserve">Long-term debt and finance leases </w:t>
            </w:r>
            <w:r>
              <w:rPr>
                <w:rFonts w:ascii="Arial" w:cs="Arial" w:eastAsia="Arial" w:hAnsi="Arial"/>
                <w:sz w:val="20"/>
                <w:szCs w:val="20"/>
                <w:color w:val="B4B4B4"/>
                <w:w w:val="90"/>
              </w:rPr>
              <w:t>.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9,812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10,133</w:t>
            </w:r>
          </w:p>
        </w:tc>
        <w:tc>
          <w:tcPr>
            <w:tcW w:w="0" w:type="dxa"/>
            <w:vAlign w:val="bottom"/>
          </w:tcPr>
          <w:p>
            <w:pPr>
              <w:spacing w:after="0"/>
              <w:rPr>
                <w:sz w:val="1"/>
                <w:szCs w:val="1"/>
                <w:color w:val="auto"/>
              </w:rPr>
            </w:pPr>
          </w:p>
        </w:tc>
      </w:tr>
      <w:tr>
        <w:trPr>
          <w:trHeight w:val="282"/>
        </w:trPr>
        <w:tc>
          <w:tcPr>
            <w:tcW w:w="7240" w:type="dxa"/>
            <w:vAlign w:val="bottom"/>
          </w:tcPr>
          <w:p>
            <w:pPr>
              <w:ind w:left="140"/>
              <w:spacing w:after="0"/>
              <w:rPr>
                <w:sz w:val="20"/>
                <w:szCs w:val="20"/>
                <w:color w:val="auto"/>
              </w:rPr>
            </w:pPr>
            <w:r>
              <w:rPr>
                <w:rFonts w:ascii="Arial" w:cs="Arial" w:eastAsia="Arial" w:hAnsi="Arial"/>
                <w:sz w:val="20"/>
                <w:szCs w:val="20"/>
                <w:color w:val="auto"/>
                <w:w w:val="90"/>
              </w:rPr>
              <w:t xml:space="preserve">Non-current operating lease liabilities </w:t>
            </w:r>
            <w:r>
              <w:rPr>
                <w:rFonts w:ascii="Arial" w:cs="Arial" w:eastAsia="Arial" w:hAnsi="Arial"/>
                <w:sz w:val="20"/>
                <w:szCs w:val="20"/>
                <w:color w:val="B4B4B4"/>
                <w:w w:val="90"/>
              </w:rPr>
              <w:t>.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128</w:t>
            </w:r>
          </w:p>
        </w:tc>
        <w:tc>
          <w:tcPr>
            <w:tcW w:w="0" w:type="dxa"/>
            <w:vAlign w:val="bottom"/>
          </w:tcPr>
          <w:p>
            <w:pPr>
              <w:spacing w:after="0"/>
              <w:rPr>
                <w:sz w:val="1"/>
                <w:szCs w:val="1"/>
                <w:color w:val="auto"/>
              </w:rPr>
            </w:pPr>
          </w:p>
        </w:tc>
      </w:tr>
      <w:tr>
        <w:trPr>
          <w:trHeight w:val="282"/>
        </w:trPr>
        <w:tc>
          <w:tcPr>
            <w:tcW w:w="7240" w:type="dxa"/>
            <w:vAlign w:val="bottom"/>
          </w:tcPr>
          <w:p>
            <w:pPr>
              <w:ind w:left="140"/>
              <w:spacing w:after="0"/>
              <w:rPr>
                <w:sz w:val="20"/>
                <w:szCs w:val="20"/>
                <w:color w:val="auto"/>
              </w:rPr>
            </w:pPr>
            <w:r>
              <w:rPr>
                <w:rFonts w:ascii="Arial" w:cs="Arial" w:eastAsia="Arial" w:hAnsi="Arial"/>
                <w:sz w:val="20"/>
                <w:szCs w:val="20"/>
                <w:color w:val="auto"/>
                <w:w w:val="90"/>
              </w:rPr>
              <w:t xml:space="preserve">Derivative instruments  </w:t>
            </w:r>
            <w:r>
              <w:rPr>
                <w:rFonts w:ascii="Arial" w:cs="Arial" w:eastAsia="Arial" w:hAnsi="Arial"/>
                <w:sz w:val="20"/>
                <w:szCs w:val="20"/>
                <w:color w:val="B4B4B4"/>
                <w:w w:val="90"/>
              </w:rPr>
              <w:t>. . . .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1,107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1,488</w:t>
            </w:r>
          </w:p>
        </w:tc>
        <w:tc>
          <w:tcPr>
            <w:tcW w:w="0" w:type="dxa"/>
            <w:vAlign w:val="bottom"/>
          </w:tcPr>
          <w:p>
            <w:pPr>
              <w:spacing w:after="0"/>
              <w:rPr>
                <w:sz w:val="1"/>
                <w:szCs w:val="1"/>
                <w:color w:val="auto"/>
              </w:rPr>
            </w:pPr>
          </w:p>
        </w:tc>
      </w:tr>
      <w:tr>
        <w:trPr>
          <w:trHeight w:val="282"/>
        </w:trPr>
        <w:tc>
          <w:tcPr>
            <w:tcW w:w="7240" w:type="dxa"/>
            <w:vAlign w:val="bottom"/>
          </w:tcPr>
          <w:p>
            <w:pPr>
              <w:ind w:left="140"/>
              <w:spacing w:after="0"/>
              <w:rPr>
                <w:sz w:val="20"/>
                <w:szCs w:val="20"/>
                <w:color w:val="auto"/>
              </w:rPr>
            </w:pPr>
            <w:r>
              <w:rPr>
                <w:rFonts w:ascii="Arial" w:cs="Arial" w:eastAsia="Arial" w:hAnsi="Arial"/>
                <w:sz w:val="20"/>
                <w:szCs w:val="20"/>
                <w:color w:val="auto"/>
                <w:w w:val="89"/>
              </w:rPr>
              <w:t xml:space="preserve">Deferred income taxes </w:t>
            </w:r>
            <w:r>
              <w:rPr>
                <w:rFonts w:ascii="Arial" w:cs="Arial" w:eastAsia="Arial" w:hAnsi="Arial"/>
                <w:sz w:val="20"/>
                <w:szCs w:val="20"/>
                <w:color w:val="B4B4B4"/>
                <w:w w:val="89"/>
              </w:rPr>
              <w:t>. . . . .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97"/>
        </w:trPr>
        <w:tc>
          <w:tcPr>
            <w:tcW w:w="7240" w:type="dxa"/>
            <w:vAlign w:val="bottom"/>
          </w:tcPr>
          <w:p>
            <w:pPr>
              <w:ind w:left="140"/>
              <w:spacing w:after="0"/>
              <w:rPr>
                <w:sz w:val="20"/>
                <w:szCs w:val="20"/>
                <w:color w:val="auto"/>
              </w:rPr>
            </w:pPr>
            <w:r>
              <w:rPr>
                <w:rFonts w:ascii="Arial" w:cs="Arial" w:eastAsia="Arial" w:hAnsi="Arial"/>
                <w:sz w:val="20"/>
                <w:szCs w:val="20"/>
                <w:color w:val="auto"/>
                <w:w w:val="90"/>
              </w:rPr>
              <w:t xml:space="preserve">Deferred revenue non-current </w:t>
            </w:r>
            <w:r>
              <w:rPr>
                <w:rFonts w:ascii="Arial" w:cs="Arial" w:eastAsia="Arial" w:hAnsi="Arial"/>
                <w:sz w:val="20"/>
                <w:szCs w:val="20"/>
                <w:color w:val="B4B4B4"/>
                <w:w w:val="90"/>
              </w:rPr>
              <w:t>.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862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914</w:t>
            </w:r>
          </w:p>
        </w:tc>
        <w:tc>
          <w:tcPr>
            <w:tcW w:w="0" w:type="dxa"/>
            <w:vAlign w:val="bottom"/>
          </w:tcPr>
          <w:p>
            <w:pPr>
              <w:spacing w:after="0"/>
              <w:rPr>
                <w:sz w:val="1"/>
                <w:szCs w:val="1"/>
                <w:color w:val="auto"/>
              </w:rPr>
            </w:pPr>
          </w:p>
        </w:tc>
      </w:tr>
      <w:tr>
        <w:trPr>
          <w:trHeight w:val="284"/>
        </w:trPr>
        <w:tc>
          <w:tcPr>
            <w:tcW w:w="7240" w:type="dxa"/>
            <w:vAlign w:val="bottom"/>
          </w:tcPr>
          <w:p>
            <w:pPr>
              <w:ind w:left="140"/>
              <w:spacing w:after="0"/>
              <w:rPr>
                <w:sz w:val="20"/>
                <w:szCs w:val="20"/>
                <w:color w:val="auto"/>
              </w:rPr>
            </w:pPr>
            <w:r>
              <w:rPr>
                <w:rFonts w:ascii="Arial" w:cs="Arial" w:eastAsia="Arial" w:hAnsi="Arial"/>
                <w:sz w:val="20"/>
                <w:szCs w:val="20"/>
                <w:color w:val="auto"/>
                <w:w w:val="90"/>
              </w:rPr>
              <w:t xml:space="preserve">Other non-current liabilities  </w:t>
            </w:r>
            <w:r>
              <w:rPr>
                <w:rFonts w:ascii="Arial" w:cs="Arial" w:eastAsia="Arial" w:hAnsi="Arial"/>
                <w:sz w:val="20"/>
                <w:szCs w:val="20"/>
                <w:color w:val="B4B4B4"/>
                <w:w w:val="90"/>
              </w:rPr>
              <w:t>. . . . . . . . . . . . . . . . . . . . . . . . . . . . . . . . . . . . . . . . . . . . . . . .</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821</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947</w:t>
            </w:r>
          </w:p>
        </w:tc>
        <w:tc>
          <w:tcPr>
            <w:tcW w:w="0" w:type="dxa"/>
            <w:vAlign w:val="bottom"/>
          </w:tcPr>
          <w:p>
            <w:pPr>
              <w:spacing w:after="0"/>
              <w:rPr>
                <w:sz w:val="1"/>
                <w:szCs w:val="1"/>
                <w:color w:val="auto"/>
              </w:rPr>
            </w:pPr>
          </w:p>
        </w:tc>
      </w:tr>
      <w:tr>
        <w:trPr>
          <w:trHeight w:val="262"/>
        </w:trPr>
        <w:tc>
          <w:tcPr>
            <w:tcW w:w="7240" w:type="dxa"/>
            <w:vAlign w:val="bottom"/>
          </w:tcPr>
          <w:p>
            <w:pPr>
              <w:jc w:val="right"/>
              <w:spacing w:after="0"/>
              <w:rPr>
                <w:sz w:val="20"/>
                <w:szCs w:val="20"/>
                <w:color w:val="auto"/>
              </w:rPr>
            </w:pPr>
            <w:r>
              <w:rPr>
                <w:rFonts w:ascii="Arial" w:cs="Arial" w:eastAsia="Arial" w:hAnsi="Arial"/>
                <w:sz w:val="20"/>
                <w:szCs w:val="20"/>
                <w:color w:val="auto"/>
                <w:w w:val="96"/>
              </w:rPr>
              <w:t xml:space="preserve">Total other liabilities </w:t>
            </w:r>
            <w:r>
              <w:rPr>
                <w:rFonts w:ascii="Arial" w:cs="Arial" w:eastAsia="Arial" w:hAnsi="Arial"/>
                <w:sz w:val="20"/>
                <w:szCs w:val="20"/>
                <w:color w:val="B4B4B4"/>
                <w:w w:val="96"/>
              </w:rPr>
              <w:t>. . . . . . . . . . . . . . . . . . . . . . . . . . . . . . . . . . . . . . . . . . . . . . . . . . .</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12,731</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13,632</w:t>
            </w:r>
          </w:p>
        </w:tc>
        <w:tc>
          <w:tcPr>
            <w:tcW w:w="0" w:type="dxa"/>
            <w:vAlign w:val="bottom"/>
          </w:tcPr>
          <w:p>
            <w:pPr>
              <w:spacing w:after="0"/>
              <w:rPr>
                <w:sz w:val="1"/>
                <w:szCs w:val="1"/>
                <w:color w:val="auto"/>
              </w:rPr>
            </w:pPr>
          </w:p>
        </w:tc>
      </w:tr>
      <w:tr>
        <w:trPr>
          <w:trHeight w:val="262"/>
        </w:trPr>
        <w:tc>
          <w:tcPr>
            <w:tcW w:w="7240" w:type="dxa"/>
            <w:vAlign w:val="bottom"/>
          </w:tcPr>
          <w:p>
            <w:pPr>
              <w:jc w:val="right"/>
              <w:spacing w:after="0"/>
              <w:rPr>
                <w:sz w:val="20"/>
                <w:szCs w:val="20"/>
                <w:color w:val="auto"/>
              </w:rPr>
            </w:pPr>
            <w:r>
              <w:rPr>
                <w:rFonts w:ascii="Arial" w:cs="Arial" w:eastAsia="Arial" w:hAnsi="Arial"/>
                <w:sz w:val="20"/>
                <w:szCs w:val="20"/>
                <w:b w:val="1"/>
                <w:bCs w:val="1"/>
                <w:color w:val="B4B4B4"/>
                <w:w w:val="90"/>
              </w:rPr>
              <w:t>. . . . . . . . . . . . . . . . . . . . . . . . . . . . . . . . . . . . . . . . . . . . . . . . . . . . . . . . . . .</w:t>
            </w:r>
            <w:r>
              <w:rPr>
                <w:rFonts w:ascii="Arial" w:cs="Arial" w:eastAsia="Arial" w:hAnsi="Arial"/>
                <w:sz w:val="20"/>
                <w:szCs w:val="20"/>
                <w:b w:val="1"/>
                <w:bCs w:val="1"/>
                <w:color w:val="000000"/>
                <w:w w:val="90"/>
              </w:rPr>
              <w:t>TotalLiabilities</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21,544</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23,132</w:t>
            </w:r>
          </w:p>
        </w:tc>
        <w:tc>
          <w:tcPr>
            <w:tcW w:w="0" w:type="dxa"/>
            <w:vAlign w:val="bottom"/>
          </w:tcPr>
          <w:p>
            <w:pPr>
              <w:spacing w:after="0"/>
              <w:rPr>
                <w:sz w:val="1"/>
                <w:szCs w:val="1"/>
                <w:color w:val="auto"/>
              </w:rPr>
            </w:pPr>
          </w:p>
        </w:tc>
      </w:tr>
      <w:tr>
        <w:trPr>
          <w:trHeight w:val="260"/>
        </w:trPr>
        <w:tc>
          <w:tcPr>
            <w:tcW w:w="7240" w:type="dxa"/>
            <w:vAlign w:val="bottom"/>
          </w:tcPr>
          <w:p>
            <w:pPr>
              <w:spacing w:after="0"/>
              <w:rPr>
                <w:sz w:val="20"/>
                <w:szCs w:val="20"/>
                <w:color w:val="auto"/>
              </w:rPr>
            </w:pPr>
            <w:r>
              <w:rPr>
                <w:rFonts w:ascii="Arial" w:cs="Arial" w:eastAsia="Arial" w:hAnsi="Arial"/>
                <w:sz w:val="20"/>
                <w:szCs w:val="20"/>
                <w:b w:val="1"/>
                <w:bCs w:val="1"/>
                <w:color w:val="auto"/>
              </w:rPr>
              <w:t>Commitments and Contingencies</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7240" w:type="dxa"/>
            <w:vAlign w:val="bottom"/>
          </w:tcPr>
          <w:p>
            <w:pPr>
              <w:spacing w:after="0"/>
              <w:rPr>
                <w:sz w:val="20"/>
                <w:szCs w:val="20"/>
                <w:color w:val="auto"/>
              </w:rPr>
            </w:pPr>
            <w:r>
              <w:rPr>
                <w:rFonts w:ascii="Arial" w:cs="Arial" w:eastAsia="Arial" w:hAnsi="Arial"/>
                <w:sz w:val="20"/>
                <w:szCs w:val="20"/>
                <w:b w:val="1"/>
                <w:bCs w:val="1"/>
                <w:color w:val="auto"/>
              </w:rPr>
              <w:t>Stockholders' Equity</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240" w:type="dxa"/>
            <w:vAlign w:val="bottom"/>
          </w:tcPr>
          <w:p>
            <w:pPr>
              <w:ind w:left="140"/>
              <w:spacing w:after="0"/>
              <w:rPr>
                <w:sz w:val="20"/>
                <w:szCs w:val="20"/>
                <w:color w:val="auto"/>
              </w:rPr>
            </w:pPr>
            <w:r>
              <w:rPr>
                <w:rFonts w:ascii="Arial" w:cs="Arial" w:eastAsia="Arial" w:hAnsi="Arial"/>
                <w:sz w:val="20"/>
                <w:szCs w:val="20"/>
                <w:color w:val="auto"/>
                <w:w w:val="95"/>
              </w:rPr>
              <w:t>Preferred stock; 10,000,000 shares authorized; 650,000 Series A shares issued and</w:t>
            </w:r>
          </w:p>
        </w:tc>
        <w:tc>
          <w:tcPr>
            <w:tcW w:w="34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650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650</w:t>
            </w:r>
          </w:p>
        </w:tc>
        <w:tc>
          <w:tcPr>
            <w:tcW w:w="0" w:type="dxa"/>
            <w:vAlign w:val="bottom"/>
          </w:tcPr>
          <w:p>
            <w:pPr>
              <w:spacing w:after="0"/>
              <w:rPr>
                <w:sz w:val="1"/>
                <w:szCs w:val="1"/>
                <w:color w:val="auto"/>
              </w:rPr>
            </w:pPr>
          </w:p>
        </w:tc>
      </w:tr>
      <w:tr>
        <w:trPr>
          <w:trHeight w:val="258"/>
        </w:trPr>
        <w:tc>
          <w:tcPr>
            <w:tcW w:w="7240" w:type="dxa"/>
            <w:vAlign w:val="bottom"/>
          </w:tcPr>
          <w:p>
            <w:pPr>
              <w:jc w:val="right"/>
              <w:spacing w:after="0"/>
              <w:rPr>
                <w:sz w:val="20"/>
                <w:szCs w:val="20"/>
                <w:color w:val="auto"/>
              </w:rPr>
            </w:pPr>
            <w:r>
              <w:rPr>
                <w:rFonts w:ascii="Arial" w:cs="Arial" w:eastAsia="Arial" w:hAnsi="Arial"/>
                <w:sz w:val="20"/>
                <w:szCs w:val="20"/>
                <w:color w:val="auto"/>
                <w:w w:val="92"/>
              </w:rPr>
              <w:t xml:space="preserve">outstanding at December 31, 2024 and 2023 (aggregate liquidation preference $650) </w:t>
            </w:r>
            <w:r>
              <w:rPr>
                <w:rFonts w:ascii="Arial" w:cs="Arial" w:eastAsia="Arial" w:hAnsi="Arial"/>
                <w:sz w:val="20"/>
                <w:szCs w:val="20"/>
                <w:color w:val="B4B4B4"/>
                <w:w w:val="92"/>
              </w:rPr>
              <w:t>. .</w:t>
            </w:r>
          </w:p>
        </w:tc>
        <w:tc>
          <w:tcPr>
            <w:tcW w:w="34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7240" w:type="dxa"/>
            <w:vAlign w:val="bottom"/>
          </w:tcPr>
          <w:p>
            <w:pPr>
              <w:ind w:left="140"/>
              <w:spacing w:after="0"/>
              <w:rPr>
                <w:sz w:val="20"/>
                <w:szCs w:val="20"/>
                <w:color w:val="auto"/>
              </w:rPr>
            </w:pPr>
            <w:r>
              <w:rPr>
                <w:rFonts w:ascii="Arial" w:cs="Arial" w:eastAsia="Arial" w:hAnsi="Arial"/>
                <w:sz w:val="20"/>
                <w:szCs w:val="20"/>
                <w:color w:val="auto"/>
                <w:w w:val="96"/>
              </w:rPr>
              <w:t>Common stock; $0.01 par value; 500,000,000 shares authorized; 205,064,058 and</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7240" w:type="dxa"/>
            <w:vAlign w:val="bottom"/>
          </w:tcPr>
          <w:p>
            <w:pPr>
              <w:ind w:left="240"/>
              <w:spacing w:after="0" w:line="198" w:lineRule="exact"/>
              <w:rPr>
                <w:sz w:val="20"/>
                <w:szCs w:val="20"/>
                <w:color w:val="auto"/>
              </w:rPr>
            </w:pPr>
            <w:r>
              <w:rPr>
                <w:rFonts w:ascii="Arial" w:cs="Arial" w:eastAsia="Arial" w:hAnsi="Arial"/>
                <w:sz w:val="20"/>
                <w:szCs w:val="20"/>
                <w:color w:val="auto"/>
                <w:w w:val="92"/>
              </w:rPr>
              <w:t>267,330,470 shares issued; and 198,604,003 and 208,130,950 shares outstanding at</w:t>
            </w:r>
          </w:p>
        </w:tc>
        <w:tc>
          <w:tcPr>
            <w:tcW w:w="3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58"/>
        </w:trPr>
        <w:tc>
          <w:tcPr>
            <w:tcW w:w="7240" w:type="dxa"/>
            <w:vAlign w:val="bottom"/>
          </w:tcPr>
          <w:p>
            <w:pPr>
              <w:jc w:val="right"/>
              <w:spacing w:after="0"/>
              <w:rPr>
                <w:sz w:val="20"/>
                <w:szCs w:val="20"/>
                <w:color w:val="auto"/>
              </w:rPr>
            </w:pPr>
            <w:r>
              <w:rPr>
                <w:rFonts w:ascii="Arial" w:cs="Arial" w:eastAsia="Arial" w:hAnsi="Arial"/>
                <w:sz w:val="20"/>
                <w:szCs w:val="20"/>
                <w:color w:val="auto"/>
                <w:w w:val="91"/>
              </w:rPr>
              <w:t xml:space="preserve">December 31, 2024 and 2023, respectively </w:t>
            </w:r>
            <w:r>
              <w:rPr>
                <w:rFonts w:ascii="Arial" w:cs="Arial" w:eastAsia="Arial" w:hAnsi="Arial"/>
                <w:sz w:val="20"/>
                <w:szCs w:val="20"/>
                <w:color w:val="B4B4B4"/>
                <w:w w:val="91"/>
              </w:rPr>
              <w:t>. . . . . . . . . . . . . . . . . . . . . . . . . . . . . . . . . . . .</w:t>
            </w:r>
          </w:p>
        </w:tc>
        <w:tc>
          <w:tcPr>
            <w:tcW w:w="34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7240" w:type="dxa"/>
            <w:vAlign w:val="bottom"/>
          </w:tcPr>
          <w:p>
            <w:pPr>
              <w:ind w:left="140"/>
              <w:spacing w:after="0"/>
              <w:rPr>
                <w:sz w:val="20"/>
                <w:szCs w:val="20"/>
                <w:color w:val="auto"/>
              </w:rPr>
            </w:pPr>
            <w:r>
              <w:rPr>
                <w:rFonts w:ascii="Arial" w:cs="Arial" w:eastAsia="Arial" w:hAnsi="Arial"/>
                <w:sz w:val="20"/>
                <w:szCs w:val="20"/>
                <w:color w:val="auto"/>
                <w:w w:val="91"/>
              </w:rPr>
              <w:t xml:space="preserve">Additional paid-in capital </w:t>
            </w:r>
            <w:r>
              <w:rPr>
                <w:rFonts w:ascii="Arial" w:cs="Arial" w:eastAsia="Arial" w:hAnsi="Arial"/>
                <w:sz w:val="20"/>
                <w:szCs w:val="20"/>
                <w:color w:val="B4B4B4"/>
                <w:w w:val="91"/>
              </w:rPr>
              <w:t>. .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705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3,416</w:t>
            </w:r>
          </w:p>
        </w:tc>
        <w:tc>
          <w:tcPr>
            <w:tcW w:w="0" w:type="dxa"/>
            <w:vAlign w:val="bottom"/>
          </w:tcPr>
          <w:p>
            <w:pPr>
              <w:spacing w:after="0"/>
              <w:rPr>
                <w:sz w:val="1"/>
                <w:szCs w:val="1"/>
                <w:color w:val="auto"/>
              </w:rPr>
            </w:pPr>
          </w:p>
        </w:tc>
      </w:tr>
      <w:tr>
        <w:trPr>
          <w:trHeight w:val="282"/>
        </w:trPr>
        <w:tc>
          <w:tcPr>
            <w:tcW w:w="7240" w:type="dxa"/>
            <w:vAlign w:val="bottom"/>
          </w:tcPr>
          <w:p>
            <w:pPr>
              <w:ind w:left="140"/>
              <w:spacing w:after="0"/>
              <w:rPr>
                <w:sz w:val="20"/>
                <w:szCs w:val="20"/>
                <w:color w:val="auto"/>
              </w:rPr>
            </w:pPr>
            <w:r>
              <w:rPr>
                <w:rFonts w:ascii="Arial" w:cs="Arial" w:eastAsia="Arial" w:hAnsi="Arial"/>
                <w:sz w:val="20"/>
                <w:szCs w:val="20"/>
                <w:color w:val="auto"/>
                <w:w w:val="89"/>
              </w:rPr>
              <w:t xml:space="preserve">Retained earnings  </w:t>
            </w:r>
            <w:r>
              <w:rPr>
                <w:rFonts w:ascii="Arial" w:cs="Arial" w:eastAsia="Arial" w:hAnsi="Arial"/>
                <w:sz w:val="20"/>
                <w:szCs w:val="20"/>
                <w:color w:val="B4B4B4"/>
                <w:w w:val="89"/>
              </w:rPr>
              <w:t>. . . . . . . .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1,535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820</w:t>
            </w:r>
          </w:p>
        </w:tc>
        <w:tc>
          <w:tcPr>
            <w:tcW w:w="0" w:type="dxa"/>
            <w:vAlign w:val="bottom"/>
          </w:tcPr>
          <w:p>
            <w:pPr>
              <w:spacing w:after="0"/>
              <w:rPr>
                <w:sz w:val="1"/>
                <w:szCs w:val="1"/>
                <w:color w:val="auto"/>
              </w:rPr>
            </w:pPr>
          </w:p>
        </w:tc>
      </w:tr>
      <w:tr>
        <w:trPr>
          <w:trHeight w:val="232"/>
        </w:trPr>
        <w:tc>
          <w:tcPr>
            <w:tcW w:w="7240" w:type="dxa"/>
            <w:vAlign w:val="bottom"/>
          </w:tcPr>
          <w:p>
            <w:pPr>
              <w:ind w:left="140"/>
              <w:spacing w:after="0"/>
              <w:rPr>
                <w:sz w:val="20"/>
                <w:szCs w:val="20"/>
                <w:color w:val="auto"/>
              </w:rPr>
            </w:pPr>
            <w:r>
              <w:rPr>
                <w:rFonts w:ascii="Arial" w:cs="Arial" w:eastAsia="Arial" w:hAnsi="Arial"/>
                <w:sz w:val="20"/>
                <w:szCs w:val="20"/>
                <w:color w:val="auto"/>
                <w:w w:val="93"/>
              </w:rPr>
              <w:t>Treasury stock, at cost; 6,460,055 and 59,199,520 shares at December 31, 2024 and</w:t>
            </w:r>
          </w:p>
        </w:tc>
        <w:tc>
          <w:tcPr>
            <w:tcW w:w="34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(297)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(1,892)</w:t>
            </w:r>
          </w:p>
        </w:tc>
        <w:tc>
          <w:tcPr>
            <w:tcW w:w="0" w:type="dxa"/>
            <w:vAlign w:val="bottom"/>
          </w:tcPr>
          <w:p>
            <w:pPr>
              <w:spacing w:after="0"/>
              <w:rPr>
                <w:sz w:val="1"/>
                <w:szCs w:val="1"/>
                <w:color w:val="auto"/>
              </w:rPr>
            </w:pPr>
          </w:p>
        </w:tc>
      </w:tr>
      <w:tr>
        <w:trPr>
          <w:trHeight w:val="258"/>
        </w:trPr>
        <w:tc>
          <w:tcPr>
            <w:tcW w:w="7240" w:type="dxa"/>
            <w:vAlign w:val="bottom"/>
          </w:tcPr>
          <w:p>
            <w:pPr>
              <w:jc w:val="right"/>
              <w:spacing w:after="0"/>
              <w:rPr>
                <w:sz w:val="20"/>
                <w:szCs w:val="20"/>
                <w:color w:val="auto"/>
              </w:rPr>
            </w:pPr>
            <w:r>
              <w:rPr>
                <w:rFonts w:ascii="Arial" w:cs="Arial" w:eastAsia="Arial" w:hAnsi="Arial"/>
                <w:sz w:val="20"/>
                <w:szCs w:val="20"/>
                <w:color w:val="auto"/>
                <w:w w:val="92"/>
              </w:rPr>
              <w:t xml:space="preserve">2023, respectively </w:t>
            </w:r>
            <w:r>
              <w:rPr>
                <w:rFonts w:ascii="Arial" w:cs="Arial" w:eastAsia="Arial" w:hAnsi="Arial"/>
                <w:sz w:val="20"/>
                <w:szCs w:val="20"/>
                <w:color w:val="B4B4B4"/>
                <w:w w:val="92"/>
              </w:rPr>
              <w:t>. . . . . . . . . . . . . . . . . . . . . . . . . . . . . . . . . . . . . . . . . . . . . . . . . . . . . . .</w:t>
            </w:r>
          </w:p>
        </w:tc>
        <w:tc>
          <w:tcPr>
            <w:tcW w:w="34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7240" w:type="dxa"/>
            <w:vAlign w:val="bottom"/>
          </w:tcPr>
          <w:p>
            <w:pPr>
              <w:ind w:left="140"/>
              <w:spacing w:after="0"/>
              <w:rPr>
                <w:sz w:val="20"/>
                <w:szCs w:val="20"/>
                <w:color w:val="auto"/>
              </w:rPr>
            </w:pPr>
            <w:r>
              <w:rPr>
                <w:rFonts w:ascii="Arial" w:cs="Arial" w:eastAsia="Arial" w:hAnsi="Arial"/>
                <w:sz w:val="20"/>
                <w:szCs w:val="20"/>
                <w:color w:val="auto"/>
                <w:w w:val="90"/>
              </w:rPr>
              <w:t xml:space="preserve">Accumulated other comprehensive loss </w:t>
            </w:r>
            <w:r>
              <w:rPr>
                <w:rFonts w:ascii="Arial" w:cs="Arial" w:eastAsia="Arial" w:hAnsi="Arial"/>
                <w:sz w:val="20"/>
                <w:szCs w:val="20"/>
                <w:color w:val="B4B4B4"/>
                <w:w w:val="90"/>
              </w:rPr>
              <w:t>. . . . . . . . . . . . . . . . . . . . . . . . . . . . . . . . . . . . . . .</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62"/>
        </w:trPr>
        <w:tc>
          <w:tcPr>
            <w:tcW w:w="7240" w:type="dxa"/>
            <w:vAlign w:val="bottom"/>
          </w:tcPr>
          <w:p>
            <w:pPr>
              <w:jc w:val="right"/>
              <w:spacing w:after="0"/>
              <w:rPr>
                <w:sz w:val="20"/>
                <w:szCs w:val="20"/>
                <w:color w:val="auto"/>
              </w:rPr>
            </w:pPr>
            <w:r>
              <w:rPr>
                <w:rFonts w:ascii="Arial" w:cs="Arial" w:eastAsia="Arial" w:hAnsi="Arial"/>
                <w:sz w:val="20"/>
                <w:szCs w:val="20"/>
                <w:b w:val="1"/>
                <w:bCs w:val="1"/>
                <w:color w:val="B4B4B4"/>
                <w:w w:val="96"/>
              </w:rPr>
              <w:t>. . . . . . . . . . . . . . . . . . . . . . . . . . . . . . . . . . . . . . . . . . . . . .</w:t>
            </w:r>
            <w:r>
              <w:rPr>
                <w:rFonts w:ascii="Arial" w:cs="Arial" w:eastAsia="Arial" w:hAnsi="Arial"/>
                <w:sz w:val="20"/>
                <w:szCs w:val="20"/>
                <w:b w:val="1"/>
                <w:bCs w:val="1"/>
                <w:color w:val="000000"/>
                <w:w w:val="96"/>
              </w:rPr>
              <w:t>TotalStockholders'Equity</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2,478</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2,906</w:t>
            </w:r>
          </w:p>
        </w:tc>
        <w:tc>
          <w:tcPr>
            <w:tcW w:w="0" w:type="dxa"/>
            <w:vAlign w:val="bottom"/>
          </w:tcPr>
          <w:p>
            <w:pPr>
              <w:spacing w:after="0"/>
              <w:rPr>
                <w:sz w:val="1"/>
                <w:szCs w:val="1"/>
                <w:color w:val="auto"/>
              </w:rPr>
            </w:pPr>
          </w:p>
        </w:tc>
      </w:tr>
      <w:tr>
        <w:trPr>
          <w:trHeight w:val="242"/>
        </w:trPr>
        <w:tc>
          <w:tcPr>
            <w:tcW w:w="7240" w:type="dxa"/>
            <w:vAlign w:val="bottom"/>
          </w:tcPr>
          <w:p>
            <w:pPr>
              <w:jc w:val="right"/>
              <w:spacing w:after="0"/>
              <w:rPr>
                <w:sz w:val="20"/>
                <w:szCs w:val="20"/>
                <w:color w:val="auto"/>
              </w:rPr>
            </w:pPr>
            <w:r>
              <w:rPr>
                <w:rFonts w:ascii="Arial" w:cs="Arial" w:eastAsia="Arial" w:hAnsi="Arial"/>
                <w:sz w:val="20"/>
                <w:szCs w:val="20"/>
                <w:b w:val="1"/>
                <w:bCs w:val="1"/>
                <w:color w:val="B4B4B4"/>
                <w:w w:val="93"/>
              </w:rPr>
              <w:t>. . . . . . . . . . . . . . . . . . . . . . . . . . . . . . . . . . . .</w:t>
            </w:r>
            <w:r>
              <w:rPr>
                <w:rFonts w:ascii="Arial" w:cs="Arial" w:eastAsia="Arial" w:hAnsi="Arial"/>
                <w:sz w:val="20"/>
                <w:szCs w:val="20"/>
                <w:b w:val="1"/>
                <w:bCs w:val="1"/>
                <w:color w:val="000000"/>
                <w:w w:val="93"/>
              </w:rPr>
              <w:t>TotalLiabilitiesandStockholders'Equity</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24,022</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26,038</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3140"/>
              <w:spacing w:after="0"/>
              <w:rPr>
                <w:sz w:val="20"/>
                <w:szCs w:val="20"/>
                <w:color w:val="auto"/>
              </w:rPr>
            </w:pPr>
            <w:r>
              <w:rPr>
                <w:rFonts w:ascii="Arial" w:cs="Arial" w:eastAsia="Arial" w:hAnsi="Arial"/>
                <w:sz w:val="20"/>
                <w:szCs w:val="20"/>
                <w:color w:val="auto"/>
                <w:w w:val="95"/>
              </w:rPr>
              <w:t>See notes to Consolidated Financial Statements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724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-5933440</wp:posOffset>
            </wp:positionV>
            <wp:extent cx="6456680" cy="5771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3">
                      <a:extLst>
                        <a:ext uri="{28A0092B-C50C-407E-A947-70E740481C1C}"/>
                      </a:extLst>
                    </a:blip>
                    <a:srcRect/>
                    <a:stretch>
                      <a:fillRect/>
                    </a:stretch>
                  </pic:blipFill>
                  <pic:spPr bwMode="auto">
                    <a:xfrm>
                      <a:off x="0" y="0"/>
                      <a:ext cx="6456680" cy="5771515"/>
                    </a:xfrm>
                    <a:prstGeom prst="rect">
                      <a:avLst/>
                    </a:prstGeom>
                    <a:noFill/>
                  </pic:spPr>
                </pic:pic>
              </a:graphicData>
            </a:graphic>
          </wp:anchor>
        </w:drawing>
      </w:r>
    </w:p>
    <w:p>
      <w:pPr>
        <w:sectPr>
          <w:pgSz w:w="11880" w:h="15480" w:orient="portrait"/>
          <w:cols w:equalWidth="0" w:num="1">
            <w:col w:w="10080"/>
          </w:cols>
          <w:pgMar w:left="920" w:top="50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91</w:t>
      </w:r>
    </w:p>
    <w:p>
      <w:pPr>
        <w:sectPr>
          <w:pgSz w:w="11880" w:h="15480" w:orient="portrait"/>
          <w:cols w:equalWidth="0" w:num="1">
            <w:col w:w="10080"/>
          </w:cols>
          <w:pgMar w:left="920" w:top="505" w:right="880" w:bottom="0" w:gutter="0" w:footer="0" w:header="0"/>
          <w:type w:val="continuous"/>
        </w:sectPr>
      </w:pPr>
    </w:p>
    <w:bookmarkStart w:id="93" w:name="page94"/>
    <w:bookmarkEnd w:id="93"/>
    <w:p>
      <w:pPr>
        <w:jc w:val="center"/>
        <w:ind w:right="60"/>
        <w:spacing w:after="0"/>
        <w:rPr>
          <w:sz w:val="20"/>
          <w:szCs w:val="20"/>
          <w:color w:val="auto"/>
        </w:rPr>
      </w:pPr>
      <w:r>
        <w:rPr>
          <w:rFonts w:ascii="Arial" w:cs="Arial" w:eastAsia="Arial" w:hAnsi="Arial"/>
          <w:sz w:val="18"/>
          <w:szCs w:val="18"/>
          <w:b w:val="1"/>
          <w:bCs w:val="1"/>
          <w:color w:val="auto"/>
        </w:rPr>
        <w:t>NRG ENERGY, INC. AND SUBSIDIARIES</w:t>
      </w:r>
    </w:p>
    <w:p>
      <w:pPr>
        <w:spacing w:after="0" w:line="12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2600" w:type="dxa"/>
            <w:vAlign w:val="bottom"/>
            <w:tcBorders>
              <w:bottom w:val="single" w:sz="8" w:color="auto"/>
            </w:tcBorders>
            <w:gridSpan w:val="8"/>
          </w:tcPr>
          <w:p>
            <w:pPr>
              <w:jc w:val="right"/>
              <w:ind w:right="62"/>
              <w:spacing w:after="0"/>
              <w:rPr>
                <w:sz w:val="20"/>
                <w:szCs w:val="20"/>
                <w:color w:val="auto"/>
              </w:rPr>
            </w:pPr>
            <w:r>
              <w:rPr>
                <w:rFonts w:ascii="Arial" w:cs="Arial" w:eastAsia="Arial" w:hAnsi="Arial"/>
                <w:sz w:val="16"/>
                <w:szCs w:val="16"/>
                <w:b w:val="1"/>
                <w:bCs w:val="1"/>
                <w:color w:val="auto"/>
                <w:w w:val="94"/>
              </w:rPr>
              <w:t>For the Year Ended December 31,</w:t>
            </w:r>
          </w:p>
        </w:tc>
        <w:tc>
          <w:tcPr>
            <w:tcW w:w="0" w:type="dxa"/>
            <w:vAlign w:val="bottom"/>
          </w:tcPr>
          <w:p>
            <w:pPr>
              <w:spacing w:after="0"/>
              <w:rPr>
                <w:sz w:val="1"/>
                <w:szCs w:val="1"/>
                <w:color w:val="auto"/>
              </w:rPr>
            </w:pPr>
          </w:p>
        </w:tc>
      </w:tr>
      <w:tr>
        <w:trPr>
          <w:trHeight w:val="232"/>
        </w:trPr>
        <w:tc>
          <w:tcPr>
            <w:tcW w:w="750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5"/>
              </w:rPr>
              <w:t>2024</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60"/>
        </w:trPr>
        <w:tc>
          <w:tcPr>
            <w:tcW w:w="7500" w:type="dxa"/>
            <w:vAlign w:val="bottom"/>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7500" w:type="dxa"/>
            <w:vAlign w:val="bottom"/>
          </w:tcPr>
          <w:p>
            <w:pPr>
              <w:spacing w:after="0"/>
              <w:rPr>
                <w:sz w:val="20"/>
                <w:szCs w:val="20"/>
                <w:color w:val="auto"/>
              </w:rPr>
            </w:pPr>
            <w:r>
              <w:rPr>
                <w:rFonts w:ascii="Arial" w:cs="Arial" w:eastAsia="Arial" w:hAnsi="Arial"/>
                <w:sz w:val="20"/>
                <w:szCs w:val="20"/>
                <w:color w:val="auto"/>
                <w:w w:val="90"/>
              </w:rPr>
              <w:t xml:space="preserve">Net Income/(Loss) </w:t>
            </w:r>
            <w:r>
              <w:rPr>
                <w:rFonts w:ascii="Arial" w:cs="Arial" w:eastAsia="Arial" w:hAnsi="Arial"/>
                <w:sz w:val="20"/>
                <w:szCs w:val="20"/>
                <w:color w:val="B4B4B4"/>
                <w:w w:val="90"/>
              </w:rPr>
              <w:t>. . . . . . . . . . . . . . . . . . . . . . . . . . .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9"/>
              </w:rPr>
              <w:t>1,125</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(202)</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1,221</w:t>
            </w:r>
          </w:p>
        </w:tc>
        <w:tc>
          <w:tcPr>
            <w:tcW w:w="0" w:type="dxa"/>
            <w:vAlign w:val="bottom"/>
          </w:tcPr>
          <w:p>
            <w:pPr>
              <w:spacing w:after="0"/>
              <w:rPr>
                <w:sz w:val="1"/>
                <w:szCs w:val="1"/>
                <w:color w:val="auto"/>
              </w:rPr>
            </w:pPr>
          </w:p>
        </w:tc>
      </w:tr>
      <w:tr>
        <w:trPr>
          <w:trHeight w:val="297"/>
        </w:trPr>
        <w:tc>
          <w:tcPr>
            <w:tcW w:w="7500" w:type="dxa"/>
            <w:vAlign w:val="bottom"/>
          </w:tcPr>
          <w:p>
            <w:pPr>
              <w:spacing w:after="0"/>
              <w:rPr>
                <w:sz w:val="20"/>
                <w:szCs w:val="20"/>
                <w:color w:val="auto"/>
              </w:rPr>
            </w:pPr>
            <w:r>
              <w:rPr>
                <w:rFonts w:ascii="Arial" w:cs="Arial" w:eastAsia="Arial" w:hAnsi="Arial"/>
                <w:sz w:val="20"/>
                <w:szCs w:val="20"/>
                <w:color w:val="auto"/>
              </w:rPr>
              <w:t>Adjustments to reconcile net income to net cash provided by operating activities: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5"/>
              </w:rPr>
              <w:t xml:space="preserve">Equity in earnings of unconsolidated affiliates, net of distributions </w:t>
            </w:r>
            <w:r>
              <w:rPr>
                <w:rFonts w:ascii="Arial" w:cs="Arial" w:eastAsia="Arial" w:hAnsi="Arial"/>
                <w:sz w:val="20"/>
                <w:szCs w:val="20"/>
                <w:color w:val="B4B4B4"/>
                <w:w w:val="95"/>
              </w:rPr>
              <w:t>.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(13)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32"/>
        </w:trPr>
        <w:tc>
          <w:tcPr>
            <w:tcW w:w="7500" w:type="dxa"/>
            <w:vAlign w:val="bottom"/>
          </w:tcPr>
          <w:p>
            <w:pPr>
              <w:jc w:val="right"/>
              <w:ind w:right="1002"/>
              <w:spacing w:after="0"/>
              <w:rPr>
                <w:sz w:val="20"/>
                <w:szCs w:val="20"/>
                <w:color w:val="auto"/>
              </w:rPr>
            </w:pPr>
            <w:r>
              <w:rPr>
                <w:rFonts w:ascii="Arial" w:cs="Arial" w:eastAsia="Arial" w:hAnsi="Arial"/>
                <w:sz w:val="20"/>
                <w:szCs w:val="20"/>
                <w:color w:val="auto"/>
                <w:w w:val="95"/>
              </w:rPr>
              <w:t>Depreciation of property, plant and equipment and amortization of customer</w:t>
            </w:r>
          </w:p>
        </w:tc>
        <w:tc>
          <w:tcPr>
            <w:tcW w:w="20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w w:val="99"/>
              </w:rPr>
              <w:t>1,071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1,127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634</w:t>
            </w:r>
          </w:p>
        </w:tc>
        <w:tc>
          <w:tcPr>
            <w:tcW w:w="0" w:type="dxa"/>
            <w:vAlign w:val="bottom"/>
          </w:tcPr>
          <w:p>
            <w:pPr>
              <w:spacing w:after="0"/>
              <w:rPr>
                <w:sz w:val="1"/>
                <w:szCs w:val="1"/>
                <w:color w:val="auto"/>
              </w:rPr>
            </w:pPr>
          </w:p>
        </w:tc>
      </w:tr>
      <w:tr>
        <w:trPr>
          <w:trHeight w:val="258"/>
        </w:trPr>
        <w:tc>
          <w:tcPr>
            <w:tcW w:w="7500" w:type="dxa"/>
            <w:vAlign w:val="bottom"/>
          </w:tcPr>
          <w:p>
            <w:pPr>
              <w:jc w:val="right"/>
              <w:spacing w:after="0"/>
              <w:rPr>
                <w:sz w:val="20"/>
                <w:szCs w:val="20"/>
                <w:color w:val="auto"/>
              </w:rPr>
            </w:pPr>
            <w:r>
              <w:rPr>
                <w:rFonts w:ascii="Arial" w:cs="Arial" w:eastAsia="Arial" w:hAnsi="Arial"/>
                <w:sz w:val="20"/>
                <w:szCs w:val="20"/>
                <w:color w:val="auto"/>
                <w:w w:val="93"/>
              </w:rPr>
              <w:t xml:space="preserve">relationships and other intangible assets </w:t>
            </w:r>
            <w:r>
              <w:rPr>
                <w:rFonts w:ascii="Arial" w:cs="Arial" w:eastAsia="Arial" w:hAnsi="Arial"/>
                <w:sz w:val="20"/>
                <w:szCs w:val="20"/>
                <w:color w:val="B4B4B4"/>
                <w:w w:val="93"/>
              </w:rPr>
              <w:t>. . . . . . . . . . . . . . . . . . . . . . . . . . . . . . . . . . . . . . .</w:t>
            </w:r>
          </w:p>
        </w:tc>
        <w:tc>
          <w:tcPr>
            <w:tcW w:w="20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4"/>
              </w:rPr>
              <w:t xml:space="preserve">Amortization of capitalized contract costs </w:t>
            </w:r>
            <w:r>
              <w:rPr>
                <w:rFonts w:ascii="Arial" w:cs="Arial" w:eastAsia="Arial" w:hAnsi="Arial"/>
                <w:sz w:val="20"/>
                <w:szCs w:val="20"/>
                <w:color w:val="B4B4B4"/>
                <w:w w:val="94"/>
              </w:rPr>
              <w:t>. . . . . . . . . . . . . . . . . . . . .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332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168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3"/>
              </w:rPr>
              <w:t xml:space="preserve">Accretion of asset retirement obligations </w:t>
            </w:r>
            <w:r>
              <w:rPr>
                <w:rFonts w:ascii="Arial" w:cs="Arial" w:eastAsia="Arial" w:hAnsi="Arial"/>
                <w:sz w:val="20"/>
                <w:szCs w:val="20"/>
                <w:color w:val="B4B4B4"/>
                <w:w w:val="93"/>
              </w:rPr>
              <w:t>. . . . . . . . . . . . . . . . . . . . . .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34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4"/>
              </w:rPr>
              <w:t xml:space="preserve">Provision for credit losses </w:t>
            </w:r>
            <w:r>
              <w:rPr>
                <w:rFonts w:ascii="Arial" w:cs="Arial" w:eastAsia="Arial" w:hAnsi="Arial"/>
                <w:sz w:val="20"/>
                <w:szCs w:val="20"/>
                <w:color w:val="B4B4B4"/>
                <w:w w:val="94"/>
              </w:rPr>
              <w:t>. . . . . . . . . . . . . . . . . . . . . . . . . . . . . . . . .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314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251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5"/>
              </w:rPr>
              <w:t xml:space="preserve">Amortization of nuclear fuel </w:t>
            </w:r>
            <w:r>
              <w:rPr>
                <w:rFonts w:ascii="Arial" w:cs="Arial" w:eastAsia="Arial" w:hAnsi="Arial"/>
                <w:sz w:val="20"/>
                <w:szCs w:val="20"/>
                <w:color w:val="B4B4B4"/>
                <w:w w:val="95"/>
              </w:rPr>
              <w:t>. . . . . . . . . . . . . . . . . . . . . . . . . . . . . . .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47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5"/>
              </w:rPr>
              <w:t xml:space="preserve">Amortization of financing costs and debt discounts </w:t>
            </w:r>
            <w:r>
              <w:rPr>
                <w:rFonts w:ascii="Arial" w:cs="Arial" w:eastAsia="Arial" w:hAnsi="Arial"/>
                <w:sz w:val="20"/>
                <w:szCs w:val="20"/>
                <w:color w:val="B4B4B4"/>
                <w:w w:val="95"/>
              </w:rPr>
              <w:t>. . . . . . . . . . . . .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39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52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4"/>
              </w:rPr>
              <w:t xml:space="preserve">Loss/(Gain) on debt extinguishment </w:t>
            </w:r>
            <w:r>
              <w:rPr>
                <w:rFonts w:ascii="Arial" w:cs="Arial" w:eastAsia="Arial" w:hAnsi="Arial"/>
                <w:sz w:val="20"/>
                <w:szCs w:val="20"/>
                <w:color w:val="B4B4B4"/>
                <w:w w:val="94"/>
              </w:rPr>
              <w:t>. . . . . . . . . . . . . . . . . . . . . . . . .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382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(109)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5"/>
              </w:rPr>
              <w:t xml:space="preserve">Amortization of in-the-money contracts and emissions allowances </w:t>
            </w:r>
            <w:r>
              <w:rPr>
                <w:rFonts w:ascii="Arial" w:cs="Arial" w:eastAsia="Arial" w:hAnsi="Arial"/>
                <w:sz w:val="20"/>
                <w:szCs w:val="20"/>
                <w:color w:val="B4B4B4"/>
                <w:w w:val="95"/>
              </w:rPr>
              <w:t>.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105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137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158</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5"/>
              </w:rPr>
              <w:t xml:space="preserve">Amortization of unearned equity compensation </w:t>
            </w:r>
            <w:r>
              <w:rPr>
                <w:rFonts w:ascii="Arial" w:cs="Arial" w:eastAsia="Arial" w:hAnsi="Arial"/>
                <w:sz w:val="20"/>
                <w:szCs w:val="20"/>
                <w:color w:val="B4B4B4"/>
                <w:w w:val="95"/>
              </w:rPr>
              <w:t>. . . . . . . . . . . . . . . .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102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101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2"/>
              </w:rPr>
              <w:t xml:space="preserve">Net gain on sale of assets and disposal of assets </w:t>
            </w:r>
            <w:r>
              <w:rPr>
                <w:rFonts w:ascii="Arial" w:cs="Arial" w:eastAsia="Arial" w:hAnsi="Arial"/>
                <w:sz w:val="20"/>
                <w:szCs w:val="20"/>
                <w:color w:val="B4B4B4"/>
                <w:w w:val="92"/>
              </w:rPr>
              <w:t>. . . . . . . . . . . . . . . .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(192)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w w:val="91"/>
              </w:rPr>
              <w:t>(1,559)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3"/>
              </w:rPr>
              <w:t xml:space="preserve">Impairment losses  </w:t>
            </w:r>
            <w:r>
              <w:rPr>
                <w:rFonts w:ascii="Arial" w:cs="Arial" w:eastAsia="Arial" w:hAnsi="Arial"/>
                <w:sz w:val="20"/>
                <w:szCs w:val="20"/>
                <w:color w:val="B4B4B4"/>
                <w:w w:val="93"/>
              </w:rPr>
              <w:t>. . . . . . . . . . . . . . . . . . . . . . . . . . . . . . . . . . . . . . .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43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128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206</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3"/>
              </w:rPr>
              <w:t xml:space="preserve">Changes in derivative instruments </w:t>
            </w:r>
            <w:r>
              <w:rPr>
                <w:rFonts w:ascii="Arial" w:cs="Arial" w:eastAsia="Arial" w:hAnsi="Arial"/>
                <w:sz w:val="20"/>
                <w:szCs w:val="20"/>
                <w:color w:val="B4B4B4"/>
                <w:w w:val="93"/>
              </w:rPr>
              <w:t>. . . . . . . . . . . . . . . . . . . . . . . . . . .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(337)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2,455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w w:val="94"/>
              </w:rPr>
              <w:t>(3,221)</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4"/>
              </w:rPr>
              <w:t xml:space="preserve">Changes in current and deferred income taxes and liability for uncertain tax benefits </w:t>
            </w:r>
            <w:r>
              <w:rPr>
                <w:rFonts w:ascii="Arial" w:cs="Arial" w:eastAsia="Arial" w:hAnsi="Arial"/>
                <w:sz w:val="20"/>
                <w:szCs w:val="20"/>
                <w:color w:val="B4B4B4"/>
                <w:w w:val="94"/>
              </w:rPr>
              <w:t>.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165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(92)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382</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3"/>
              </w:rPr>
              <w:t xml:space="preserve">Changes in collateral deposits in support of risk management activities </w:t>
            </w:r>
            <w:r>
              <w:rPr>
                <w:rFonts w:ascii="Arial" w:cs="Arial" w:eastAsia="Arial" w:hAnsi="Arial"/>
                <w:sz w:val="20"/>
                <w:szCs w:val="20"/>
                <w:color w:val="B4B4B4"/>
                <w:w w:val="93"/>
              </w:rPr>
              <w:t>.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245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w w:val="91"/>
              </w:rPr>
              <w:t>(1,806)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896</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4"/>
              </w:rPr>
              <w:t xml:space="preserve">Changes in nuclear decommissioning trust liability  </w:t>
            </w:r>
            <w:r>
              <w:rPr>
                <w:rFonts w:ascii="Arial" w:cs="Arial" w:eastAsia="Arial" w:hAnsi="Arial"/>
                <w:sz w:val="20"/>
                <w:szCs w:val="20"/>
                <w:color w:val="B4B4B4"/>
                <w:w w:val="94"/>
              </w:rPr>
              <w:t>. . . . . . . . . . . . .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5"/>
              </w:rPr>
              <w:t xml:space="preserve">Uplift securitization proceeds received from ERCOT </w:t>
            </w:r>
            <w:r>
              <w:rPr>
                <w:rFonts w:ascii="Arial" w:cs="Arial" w:eastAsia="Arial" w:hAnsi="Arial"/>
                <w:sz w:val="20"/>
                <w:szCs w:val="20"/>
                <w:color w:val="B4B4B4"/>
                <w:w w:val="95"/>
              </w:rPr>
              <w:t>. . . . . . . . . . . .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689</w:t>
            </w:r>
          </w:p>
        </w:tc>
        <w:tc>
          <w:tcPr>
            <w:tcW w:w="0" w:type="dxa"/>
            <w:vAlign w:val="bottom"/>
          </w:tcPr>
          <w:p>
            <w:pPr>
              <w:spacing w:after="0"/>
              <w:rPr>
                <w:sz w:val="1"/>
                <w:szCs w:val="1"/>
                <w:color w:val="auto"/>
              </w:rPr>
            </w:pPr>
          </w:p>
        </w:tc>
      </w:tr>
      <w:tr>
        <w:trPr>
          <w:trHeight w:val="297"/>
        </w:trPr>
        <w:tc>
          <w:tcPr>
            <w:tcW w:w="7500" w:type="dxa"/>
            <w:vAlign w:val="bottom"/>
          </w:tcPr>
          <w:p>
            <w:pPr>
              <w:spacing w:after="0"/>
              <w:rPr>
                <w:sz w:val="20"/>
                <w:szCs w:val="20"/>
                <w:color w:val="auto"/>
              </w:rPr>
            </w:pPr>
            <w:r>
              <w:rPr>
                <w:rFonts w:ascii="Arial" w:cs="Arial" w:eastAsia="Arial" w:hAnsi="Arial"/>
                <w:sz w:val="20"/>
                <w:szCs w:val="20"/>
                <w:color w:val="auto"/>
              </w:rPr>
              <w:t>Cash (used)/provided by changes in other working capital:</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4"/>
              </w:rPr>
              <w:t xml:space="preserve">Accounts receivable - trade </w:t>
            </w:r>
            <w:r>
              <w:rPr>
                <w:rFonts w:ascii="Arial" w:cs="Arial" w:eastAsia="Arial" w:hAnsi="Arial"/>
                <w:sz w:val="20"/>
                <w:szCs w:val="20"/>
                <w:color w:val="B4B4B4"/>
                <w:w w:val="94"/>
              </w:rPr>
              <w:t>. . . . . . . . . . . . . . . . . . . . . . . . . . . . . . . .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(366)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840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w w:val="94"/>
              </w:rPr>
              <w:t>(1,560)</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4"/>
              </w:rPr>
              <w:t xml:space="preserve">Inventory </w:t>
            </w:r>
            <w:r>
              <w:rPr>
                <w:rFonts w:ascii="Arial" w:cs="Arial" w:eastAsia="Arial" w:hAnsi="Arial"/>
                <w:sz w:val="20"/>
                <w:szCs w:val="20"/>
                <w:color w:val="B4B4B4"/>
                <w:w w:val="94"/>
              </w:rPr>
              <w:t>. . . . . . . . . . . . . . . . . . . . . . . . . . . . . . . . . . . . . . . . . . . . . .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111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189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(252)</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2"/>
              </w:rPr>
              <w:t xml:space="preserve">Prepayments and other current assets  </w:t>
            </w:r>
            <w:r>
              <w:rPr>
                <w:rFonts w:ascii="Arial" w:cs="Arial" w:eastAsia="Arial" w:hAnsi="Arial"/>
                <w:sz w:val="20"/>
                <w:szCs w:val="20"/>
                <w:color w:val="B4B4B4"/>
                <w:w w:val="92"/>
              </w:rPr>
              <w:t>. . . . . . . . . . . . . . . . . . . . . . . .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(539)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(401)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(69)</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3"/>
              </w:rPr>
              <w:t xml:space="preserve">Accounts payable </w:t>
            </w:r>
            <w:r>
              <w:rPr>
                <w:rFonts w:ascii="Arial" w:cs="Arial" w:eastAsia="Arial" w:hAnsi="Arial"/>
                <w:sz w:val="20"/>
                <w:szCs w:val="20"/>
                <w:color w:val="B4B4B4"/>
                <w:w w:val="93"/>
              </w:rPr>
              <w:t>. . . . . . . . . . . . . . . . . . . . . . . . . . . . . . . . . . . . . . . .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170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w w:val="91"/>
              </w:rPr>
              <w:t>(1,455)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1,295</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4"/>
              </w:rPr>
              <w:t xml:space="preserve">Accrued expenses and other current liabilities  </w:t>
            </w:r>
            <w:r>
              <w:rPr>
                <w:rFonts w:ascii="Arial" w:cs="Arial" w:eastAsia="Arial" w:hAnsi="Arial"/>
                <w:sz w:val="20"/>
                <w:szCs w:val="20"/>
                <w:color w:val="B4B4B4"/>
                <w:w w:val="94"/>
              </w:rPr>
              <w:t>. . . . . . . . . . . . . . . . .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136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360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99"/>
        </w:trPr>
        <w:tc>
          <w:tcPr>
            <w:tcW w:w="7500" w:type="dxa"/>
            <w:vAlign w:val="bottom"/>
          </w:tcPr>
          <w:p>
            <w:pPr>
              <w:jc w:val="right"/>
              <w:spacing w:after="0"/>
              <w:rPr>
                <w:sz w:val="20"/>
                <w:szCs w:val="20"/>
                <w:color w:val="auto"/>
              </w:rPr>
            </w:pPr>
            <w:r>
              <w:rPr>
                <w:rFonts w:ascii="Arial" w:cs="Arial" w:eastAsia="Arial" w:hAnsi="Arial"/>
                <w:sz w:val="20"/>
                <w:szCs w:val="20"/>
                <w:color w:val="auto"/>
                <w:w w:val="93"/>
              </w:rPr>
              <w:t xml:space="preserve">Other assets and liabilities </w:t>
            </w:r>
            <w:r>
              <w:rPr>
                <w:rFonts w:ascii="Arial" w:cs="Arial" w:eastAsia="Arial" w:hAnsi="Arial"/>
                <w:sz w:val="20"/>
                <w:szCs w:val="20"/>
                <w:color w:val="B4B4B4"/>
                <w:w w:val="93"/>
              </w:rPr>
              <w:t>. . . . . . . . . . . . . . . . . . . . . . . . . . . . . . . . . . . . . . . . . . . . . . . . . .</w:t>
            </w: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(161)</w:t>
            </w:r>
          </w:p>
        </w:tc>
        <w:tc>
          <w:tcPr>
            <w:tcW w:w="0" w:type="dxa"/>
            <w:vAlign w:val="bottom"/>
          </w:tcPr>
          <w:p>
            <w:pPr>
              <w:spacing w:after="0"/>
              <w:rPr>
                <w:sz w:val="1"/>
                <w:szCs w:val="1"/>
                <w:color w:val="auto"/>
              </w:rPr>
            </w:pPr>
          </w:p>
        </w:tc>
      </w:tr>
      <w:tr>
        <w:trPr>
          <w:trHeight w:val="277"/>
        </w:trPr>
        <w:tc>
          <w:tcPr>
            <w:tcW w:w="750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Cash provided/(used) by operating activities </w:t>
            </w:r>
            <w:r>
              <w:rPr>
                <w:rFonts w:ascii="Arial" w:cs="Arial" w:eastAsia="Arial" w:hAnsi="Arial"/>
                <w:sz w:val="20"/>
                <w:szCs w:val="20"/>
                <w:b w:val="1"/>
                <w:bCs w:val="1"/>
                <w:color w:val="B4B4B4"/>
                <w:w w:val="89"/>
              </w:rPr>
              <w:t>. . . .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9"/>
              </w:rPr>
              <w:t>2,306</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(221)</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360</w:t>
            </w:r>
          </w:p>
        </w:tc>
        <w:tc>
          <w:tcPr>
            <w:tcW w:w="0" w:type="dxa"/>
            <w:vAlign w:val="bottom"/>
          </w:tcPr>
          <w:p>
            <w:pPr>
              <w:spacing w:after="0"/>
              <w:rPr>
                <w:sz w:val="1"/>
                <w:szCs w:val="1"/>
                <w:color w:val="auto"/>
              </w:rPr>
            </w:pPr>
          </w:p>
        </w:tc>
      </w:tr>
      <w:tr>
        <w:trPr>
          <w:trHeight w:val="260"/>
        </w:trPr>
        <w:tc>
          <w:tcPr>
            <w:tcW w:w="7500" w:type="dxa"/>
            <w:vAlign w:val="bottom"/>
          </w:tcPr>
          <w:p>
            <w:pPr>
              <w:spacing w:after="0"/>
              <w:rPr>
                <w:sz w:val="20"/>
                <w:szCs w:val="20"/>
                <w:color w:val="auto"/>
              </w:rPr>
            </w:pPr>
            <w:r>
              <w:rPr>
                <w:rFonts w:ascii="Arial" w:cs="Arial" w:eastAsia="Arial" w:hAnsi="Arial"/>
                <w:sz w:val="20"/>
                <w:szCs w:val="20"/>
                <w:b w:val="1"/>
                <w:bCs w:val="1"/>
                <w:color w:val="auto"/>
              </w:rPr>
              <w:t>Cash Flows from Investing Activities</w:t>
            </w: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2"/>
              </w:rPr>
              <w:t xml:space="preserve">Payments for acquisitions of businesses and assets, net of cash acquired </w:t>
            </w:r>
            <w:r>
              <w:rPr>
                <w:rFonts w:ascii="Arial" w:cs="Arial" w:eastAsia="Arial" w:hAnsi="Arial"/>
                <w:sz w:val="20"/>
                <w:szCs w:val="20"/>
                <w:color w:val="B4B4B4"/>
                <w:w w:val="92"/>
              </w:rPr>
              <w:t>. . . . . . . . . . . . .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(38)</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1"/>
              </w:rPr>
              <w:t>(2,523)</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(62)</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3"/>
              </w:rPr>
              <w:t xml:space="preserve">Capital expenditures </w:t>
            </w:r>
            <w:r>
              <w:rPr>
                <w:rFonts w:ascii="Arial" w:cs="Arial" w:eastAsia="Arial" w:hAnsi="Arial"/>
                <w:sz w:val="20"/>
                <w:szCs w:val="20"/>
                <w:color w:val="B4B4B4"/>
                <w:w w:val="93"/>
              </w:rPr>
              <w:t>. . . . . . . . . . . . . . . . . . . . . . . . . . . . . . . . . . . . . .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(472)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(598)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(367)</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3"/>
              </w:rPr>
              <w:t xml:space="preserve">Proceeds from sale of assets, net of cash disposed </w:t>
            </w:r>
            <w:r>
              <w:rPr>
                <w:rFonts w:ascii="Arial" w:cs="Arial" w:eastAsia="Arial" w:hAnsi="Arial"/>
                <w:sz w:val="20"/>
                <w:szCs w:val="20"/>
                <w:color w:val="B4B4B4"/>
                <w:w w:val="93"/>
              </w:rPr>
              <w:t>. . . . . . . . . . . . . .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501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2,007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109</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3"/>
              </w:rPr>
              <w:t xml:space="preserve">Net purchases of emissions allowances </w:t>
            </w:r>
            <w:r>
              <w:rPr>
                <w:rFonts w:ascii="Arial" w:cs="Arial" w:eastAsia="Arial" w:hAnsi="Arial"/>
                <w:sz w:val="20"/>
                <w:szCs w:val="20"/>
                <w:color w:val="B4B4B4"/>
                <w:w w:val="93"/>
              </w:rPr>
              <w:t>. . . . . . . . . . . . . . . . . . . . . . .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(18)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3"/>
              </w:rPr>
              <w:t xml:space="preserve">Proceeds from insurance recoveries for property, plant and equipment, net </w:t>
            </w:r>
            <w:r>
              <w:rPr>
                <w:rFonts w:ascii="Arial" w:cs="Arial" w:eastAsia="Arial" w:hAnsi="Arial"/>
                <w:sz w:val="20"/>
                <w:szCs w:val="20"/>
                <w:color w:val="B4B4B4"/>
                <w:w w:val="93"/>
              </w:rPr>
              <w:t>.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240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4"/>
              </w:rPr>
              <w:t xml:space="preserve">Investments in nuclear decommissioning trust fund securities </w:t>
            </w:r>
            <w:r>
              <w:rPr>
                <w:rFonts w:ascii="Arial" w:cs="Arial" w:eastAsia="Arial" w:hAnsi="Arial"/>
                <w:sz w:val="20"/>
                <w:szCs w:val="20"/>
                <w:color w:val="B4B4B4"/>
                <w:w w:val="94"/>
              </w:rPr>
              <w:t>. . . . . . . . . . . . . . . . . . . . . .</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(367)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(454)</w:t>
            </w:r>
          </w:p>
        </w:tc>
        <w:tc>
          <w:tcPr>
            <w:tcW w:w="0" w:type="dxa"/>
            <w:vAlign w:val="bottom"/>
          </w:tcPr>
          <w:p>
            <w:pPr>
              <w:spacing w:after="0"/>
              <w:rPr>
                <w:sz w:val="1"/>
                <w:szCs w:val="1"/>
                <w:color w:val="auto"/>
              </w:rPr>
            </w:pPr>
          </w:p>
        </w:tc>
      </w:tr>
      <w:tr>
        <w:trPr>
          <w:trHeight w:val="299"/>
        </w:trPr>
        <w:tc>
          <w:tcPr>
            <w:tcW w:w="7500" w:type="dxa"/>
            <w:vAlign w:val="bottom"/>
          </w:tcPr>
          <w:p>
            <w:pPr>
              <w:jc w:val="right"/>
              <w:spacing w:after="0"/>
              <w:rPr>
                <w:sz w:val="20"/>
                <w:szCs w:val="20"/>
                <w:color w:val="auto"/>
              </w:rPr>
            </w:pPr>
            <w:r>
              <w:rPr>
                <w:rFonts w:ascii="Arial" w:cs="Arial" w:eastAsia="Arial" w:hAnsi="Arial"/>
                <w:sz w:val="20"/>
                <w:szCs w:val="20"/>
                <w:color w:val="auto"/>
                <w:w w:val="93"/>
              </w:rPr>
              <w:t xml:space="preserve">Proceeds from sales of nuclear decommissioning trust fund securities </w:t>
            </w:r>
            <w:r>
              <w:rPr>
                <w:rFonts w:ascii="Arial" w:cs="Arial" w:eastAsia="Arial" w:hAnsi="Arial"/>
                <w:sz w:val="20"/>
                <w:szCs w:val="20"/>
                <w:color w:val="B4B4B4"/>
                <w:w w:val="93"/>
              </w:rPr>
              <w:t>. . . . . . . . . . . . . . . .</w:t>
            </w: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355</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448</w:t>
            </w:r>
          </w:p>
        </w:tc>
        <w:tc>
          <w:tcPr>
            <w:tcW w:w="0" w:type="dxa"/>
            <w:vAlign w:val="bottom"/>
          </w:tcPr>
          <w:p>
            <w:pPr>
              <w:spacing w:after="0"/>
              <w:rPr>
                <w:sz w:val="1"/>
                <w:szCs w:val="1"/>
                <w:color w:val="auto"/>
              </w:rPr>
            </w:pPr>
          </w:p>
        </w:tc>
      </w:tr>
      <w:tr>
        <w:trPr>
          <w:trHeight w:val="277"/>
        </w:trPr>
        <w:tc>
          <w:tcPr>
            <w:tcW w:w="7500" w:type="dxa"/>
            <w:vAlign w:val="bottom"/>
          </w:tcPr>
          <w:p>
            <w:pPr>
              <w:jc w:val="right"/>
              <w:spacing w:after="0"/>
              <w:rPr>
                <w:sz w:val="20"/>
                <w:szCs w:val="20"/>
                <w:color w:val="auto"/>
              </w:rPr>
            </w:pPr>
            <w:r>
              <w:rPr>
                <w:rFonts w:ascii="Arial" w:cs="Arial" w:eastAsia="Arial" w:hAnsi="Arial"/>
                <w:sz w:val="20"/>
                <w:szCs w:val="20"/>
                <w:b w:val="1"/>
                <w:bCs w:val="1"/>
                <w:color w:val="auto"/>
                <w:w w:val="88"/>
              </w:rPr>
              <w:t xml:space="preserve">Cash used by investing activities </w:t>
            </w:r>
            <w:r>
              <w:rPr>
                <w:rFonts w:ascii="Arial" w:cs="Arial" w:eastAsia="Arial" w:hAnsi="Arial"/>
                <w:sz w:val="20"/>
                <w:szCs w:val="20"/>
                <w:b w:val="1"/>
                <w:bCs w:val="1"/>
                <w:color w:val="B4B4B4"/>
                <w:w w:val="88"/>
              </w:rPr>
              <w:t>. . . . . . . . . . . . . . . . . . . . . . . . . . . . . . . . . . . . . . . . . . . . . .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(910)</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-7099935</wp:posOffset>
            </wp:positionV>
            <wp:extent cx="6466205" cy="71069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4">
                      <a:extLst>
                        <a:ext uri="{28A0092B-C50C-407E-A947-70E740481C1C}"/>
                      </a:extLst>
                    </a:blip>
                    <a:srcRect/>
                    <a:stretch>
                      <a:fillRect/>
                    </a:stretch>
                  </pic:blipFill>
                  <pic:spPr bwMode="auto">
                    <a:xfrm>
                      <a:off x="0" y="0"/>
                      <a:ext cx="6466205" cy="7106920"/>
                    </a:xfrm>
                    <a:prstGeom prst="rect">
                      <a:avLst/>
                    </a:prstGeom>
                    <a:noFill/>
                  </pic:spPr>
                </pic:pic>
              </a:graphicData>
            </a:graphic>
          </wp:anchor>
        </w:drawing>
      </w:r>
    </w:p>
    <w:p>
      <w:pPr>
        <w:sectPr>
          <w:pgSz w:w="11880" w:h="15480" w:orient="portrait"/>
          <w:cols w:equalWidth="0" w:num="1">
            <w:col w:w="10100"/>
          </w:cols>
          <w:pgMar w:left="920" w:top="51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92</w:t>
      </w:r>
    </w:p>
    <w:p>
      <w:pPr>
        <w:sectPr>
          <w:pgSz w:w="11880" w:h="15480" w:orient="portrait"/>
          <w:cols w:equalWidth="0" w:num="1">
            <w:col w:w="10100"/>
          </w:cols>
          <w:pgMar w:left="920" w:top="511" w:right="860" w:bottom="0" w:gutter="0" w:footer="0" w:header="0"/>
          <w:type w:val="continuous"/>
        </w:sectPr>
      </w:pPr>
    </w:p>
    <w:bookmarkStart w:id="94" w:name="page95"/>
    <w:bookmarkEnd w:id="94"/>
    <w:tbl>
      <w:tblPr>
        <w:tblLayout w:type="fixed"/>
        <w:tblInd w:w="6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2600" w:type="dxa"/>
            <w:vAlign w:val="bottom"/>
            <w:tcBorders>
              <w:bottom w:val="single" w:sz="8" w:color="auto"/>
            </w:tcBorders>
            <w:gridSpan w:val="8"/>
          </w:tcPr>
          <w:p>
            <w:pPr>
              <w:jc w:val="right"/>
              <w:ind w:right="62"/>
              <w:spacing w:after="0"/>
              <w:rPr>
                <w:sz w:val="20"/>
                <w:szCs w:val="20"/>
                <w:color w:val="auto"/>
              </w:rPr>
            </w:pPr>
            <w:r>
              <w:rPr>
                <w:rFonts w:ascii="Arial" w:cs="Arial" w:eastAsia="Arial" w:hAnsi="Arial"/>
                <w:sz w:val="16"/>
                <w:szCs w:val="16"/>
                <w:b w:val="1"/>
                <w:bCs w:val="1"/>
                <w:color w:val="auto"/>
                <w:w w:val="94"/>
              </w:rPr>
              <w:t>For the Year Ended December 31,</w:t>
            </w:r>
          </w:p>
        </w:tc>
        <w:tc>
          <w:tcPr>
            <w:tcW w:w="0" w:type="dxa"/>
            <w:vAlign w:val="bottom"/>
          </w:tcPr>
          <w:p>
            <w:pPr>
              <w:spacing w:after="0"/>
              <w:rPr>
                <w:sz w:val="1"/>
                <w:szCs w:val="1"/>
                <w:color w:val="auto"/>
              </w:rPr>
            </w:pPr>
          </w:p>
        </w:tc>
      </w:tr>
      <w:tr>
        <w:trPr>
          <w:trHeight w:val="232"/>
        </w:trPr>
        <w:tc>
          <w:tcPr>
            <w:tcW w:w="750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5"/>
              </w:rPr>
              <w:t>2022</w:t>
            </w:r>
          </w:p>
        </w:tc>
        <w:tc>
          <w:tcPr>
            <w:tcW w:w="0" w:type="dxa"/>
            <w:vAlign w:val="bottom"/>
          </w:tcPr>
          <w:p>
            <w:pPr>
              <w:spacing w:after="0"/>
              <w:rPr>
                <w:sz w:val="1"/>
                <w:szCs w:val="1"/>
                <w:color w:val="auto"/>
              </w:rPr>
            </w:pPr>
          </w:p>
        </w:tc>
      </w:tr>
      <w:tr>
        <w:trPr>
          <w:trHeight w:val="260"/>
        </w:trPr>
        <w:tc>
          <w:tcPr>
            <w:tcW w:w="7500" w:type="dxa"/>
            <w:vAlign w:val="bottom"/>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3"/>
              </w:rPr>
              <w:t xml:space="preserve">Proceeds from issuance of preferred stock, net of fees </w:t>
            </w:r>
            <w:r>
              <w:rPr>
                <w:rFonts w:ascii="Arial" w:cs="Arial" w:eastAsia="Arial" w:hAnsi="Arial"/>
                <w:sz w:val="20"/>
                <w:szCs w:val="20"/>
                <w:color w:val="B4B4B4"/>
                <w:w w:val="93"/>
              </w:rPr>
              <w:t>. . . . . . . . . . . . . . . . . . .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635</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36"/>
        </w:trPr>
        <w:tc>
          <w:tcPr>
            <w:tcW w:w="7500" w:type="dxa"/>
            <w:vAlign w:val="bottom"/>
          </w:tcPr>
          <w:p>
            <w:pPr>
              <w:jc w:val="right"/>
              <w:spacing w:after="0"/>
              <w:rPr>
                <w:sz w:val="20"/>
                <w:szCs w:val="20"/>
                <w:color w:val="auto"/>
              </w:rPr>
            </w:pPr>
            <w:r>
              <w:rPr>
                <w:rFonts w:ascii="Arial" w:cs="Arial" w:eastAsia="Arial" w:hAnsi="Arial"/>
                <w:sz w:val="20"/>
                <w:szCs w:val="20"/>
                <w:color w:val="auto"/>
                <w:w w:val="92"/>
              </w:rPr>
              <w:t>Payments for share repurchase activity and excise tax</w:t>
            </w:r>
            <w:r>
              <w:rPr>
                <w:rFonts w:ascii="Arial" w:cs="Arial" w:eastAsia="Arial" w:hAnsi="Arial"/>
                <w:sz w:val="25"/>
                <w:szCs w:val="25"/>
                <w:color w:val="auto"/>
                <w:w w:val="92"/>
                <w:vertAlign w:val="superscript"/>
              </w:rPr>
              <w:t>(a)</w:t>
            </w:r>
            <w:r>
              <w:rPr>
                <w:rFonts w:ascii="Arial" w:cs="Arial" w:eastAsia="Arial" w:hAnsi="Arial"/>
                <w:sz w:val="20"/>
                <w:szCs w:val="20"/>
                <w:color w:val="auto"/>
                <w:w w:val="92"/>
              </w:rPr>
              <w:t xml:space="preserve"> </w:t>
            </w:r>
            <w:r>
              <w:rPr>
                <w:rFonts w:ascii="Arial" w:cs="Arial" w:eastAsia="Arial" w:hAnsi="Arial"/>
                <w:sz w:val="20"/>
                <w:szCs w:val="20"/>
                <w:color w:val="B4B4B4"/>
                <w:w w:val="92"/>
              </w:rPr>
              <w:t>. . . . . . . . . . . . . . . . . . . . . . . . . .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(935)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w w:val="91"/>
              </w:rPr>
              <w:t>(1,150)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(600)</w:t>
            </w:r>
          </w:p>
        </w:tc>
        <w:tc>
          <w:tcPr>
            <w:tcW w:w="0" w:type="dxa"/>
            <w:vAlign w:val="bottom"/>
          </w:tcPr>
          <w:p>
            <w:pPr>
              <w:spacing w:after="0"/>
              <w:rPr>
                <w:sz w:val="1"/>
                <w:szCs w:val="1"/>
                <w:color w:val="auto"/>
              </w:rPr>
            </w:pPr>
          </w:p>
        </w:tc>
      </w:tr>
      <w:tr>
        <w:trPr>
          <w:trHeight w:val="258"/>
        </w:trPr>
        <w:tc>
          <w:tcPr>
            <w:tcW w:w="7500" w:type="dxa"/>
            <w:vAlign w:val="bottom"/>
          </w:tcPr>
          <w:p>
            <w:pPr>
              <w:jc w:val="right"/>
              <w:spacing w:after="0"/>
              <w:rPr>
                <w:sz w:val="20"/>
                <w:szCs w:val="20"/>
                <w:color w:val="auto"/>
              </w:rPr>
            </w:pPr>
            <w:r>
              <w:rPr>
                <w:rFonts w:ascii="Arial" w:cs="Arial" w:eastAsia="Arial" w:hAnsi="Arial"/>
                <w:sz w:val="20"/>
                <w:szCs w:val="20"/>
                <w:color w:val="auto"/>
                <w:w w:val="94"/>
              </w:rPr>
              <w:t xml:space="preserve">Equivalent shares purchased in lieu of tax withholdings </w:t>
            </w:r>
            <w:r>
              <w:rPr>
                <w:rFonts w:ascii="Arial" w:cs="Arial" w:eastAsia="Arial" w:hAnsi="Arial"/>
                <w:sz w:val="20"/>
                <w:szCs w:val="20"/>
                <w:color w:val="B4B4B4"/>
                <w:w w:val="94"/>
              </w:rPr>
              <w:t>. . . . . . . . . . . . . . . . . . . . . . . . . . .</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(50)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4"/>
              </w:rPr>
              <w:t xml:space="preserve">Payments of dividends to preferred and common stockholders  </w:t>
            </w:r>
            <w:r>
              <w:rPr>
                <w:rFonts w:ascii="Arial" w:cs="Arial" w:eastAsia="Arial" w:hAnsi="Arial"/>
                <w:sz w:val="20"/>
                <w:szCs w:val="20"/>
                <w:color w:val="B4B4B4"/>
                <w:w w:val="94"/>
              </w:rPr>
              <w:t>. . . . . . . . . . . . . . . . . . . .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(405)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(381)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(332)</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3"/>
              </w:rPr>
              <w:t xml:space="preserve">Proceeds from issuance of long-term debt </w:t>
            </w:r>
            <w:r>
              <w:rPr>
                <w:rFonts w:ascii="Arial" w:cs="Arial" w:eastAsia="Arial" w:hAnsi="Arial"/>
                <w:sz w:val="20"/>
                <w:szCs w:val="20"/>
                <w:color w:val="B4B4B4"/>
                <w:w w:val="93"/>
              </w:rPr>
              <w:t>. . . . . . . . . . . . . . . . . . . . . . . . . . . . . . . . . . . . .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3,200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731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3"/>
              </w:rPr>
              <w:t xml:space="preserve">Payments for current and long-term debt </w:t>
            </w:r>
            <w:r>
              <w:rPr>
                <w:rFonts w:ascii="Arial" w:cs="Arial" w:eastAsia="Arial" w:hAnsi="Arial"/>
                <w:sz w:val="20"/>
                <w:szCs w:val="20"/>
                <w:color w:val="B4B4B4"/>
                <w:w w:val="93"/>
              </w:rPr>
              <w:t>. . . . . . . . . . . . . . . . . . . . . . . . . . . . . . . . . . . . . .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w w:val="94"/>
              </w:rPr>
              <w:t>(3,255)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(523)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4"/>
              </w:rPr>
              <w:t xml:space="preserve">Payments for debt extinguishment costs </w:t>
            </w:r>
            <w:r>
              <w:rPr>
                <w:rFonts w:ascii="Arial" w:cs="Arial" w:eastAsia="Arial" w:hAnsi="Arial"/>
                <w:sz w:val="20"/>
                <w:szCs w:val="20"/>
                <w:color w:val="B4B4B4"/>
                <w:w w:val="94"/>
              </w:rPr>
              <w:t>. . . . . . . . . . . . . . . . . . . . . . . . . . . . . . . . . . . . . .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(262)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2"/>
              </w:rPr>
              <w:t xml:space="preserve">Payments of debt issuance costs  </w:t>
            </w:r>
            <w:r>
              <w:rPr>
                <w:rFonts w:ascii="Arial" w:cs="Arial" w:eastAsia="Arial" w:hAnsi="Arial"/>
                <w:sz w:val="20"/>
                <w:szCs w:val="20"/>
                <w:color w:val="B4B4B4"/>
                <w:w w:val="92"/>
              </w:rPr>
              <w:t>. . . . . . . . . . . . . . . . . . . . . . . . . . . . . . . . . . . . . . . . . . . .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(45)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32"/>
        </w:trPr>
        <w:tc>
          <w:tcPr>
            <w:tcW w:w="7500" w:type="dxa"/>
            <w:vAlign w:val="bottom"/>
          </w:tcPr>
          <w:p>
            <w:pPr>
              <w:jc w:val="right"/>
              <w:ind w:right="222"/>
              <w:spacing w:after="0"/>
              <w:rPr>
                <w:sz w:val="20"/>
                <w:szCs w:val="20"/>
                <w:color w:val="auto"/>
              </w:rPr>
            </w:pPr>
            <w:r>
              <w:rPr>
                <w:rFonts w:ascii="Arial" w:cs="Arial" w:eastAsia="Arial" w:hAnsi="Arial"/>
                <w:sz w:val="20"/>
                <w:szCs w:val="20"/>
                <w:color w:val="auto"/>
                <w:w w:val="94"/>
              </w:rPr>
              <w:t>Net (payments)/receipts from settlement of acquired derivatives that include financing</w:t>
            </w:r>
          </w:p>
        </w:tc>
        <w:tc>
          <w:tcPr>
            <w:tcW w:w="18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342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1,995</w:t>
            </w:r>
          </w:p>
        </w:tc>
        <w:tc>
          <w:tcPr>
            <w:tcW w:w="0" w:type="dxa"/>
            <w:vAlign w:val="bottom"/>
          </w:tcPr>
          <w:p>
            <w:pPr>
              <w:spacing w:after="0"/>
              <w:rPr>
                <w:sz w:val="1"/>
                <w:szCs w:val="1"/>
                <w:color w:val="auto"/>
              </w:rPr>
            </w:pPr>
          </w:p>
        </w:tc>
      </w:tr>
      <w:tr>
        <w:trPr>
          <w:trHeight w:val="258"/>
        </w:trPr>
        <w:tc>
          <w:tcPr>
            <w:tcW w:w="7500" w:type="dxa"/>
            <w:vAlign w:val="bottom"/>
          </w:tcPr>
          <w:p>
            <w:pPr>
              <w:jc w:val="right"/>
              <w:spacing w:after="0"/>
              <w:rPr>
                <w:sz w:val="20"/>
                <w:szCs w:val="20"/>
                <w:color w:val="auto"/>
              </w:rPr>
            </w:pPr>
            <w:r>
              <w:rPr>
                <w:rFonts w:ascii="Arial" w:cs="Arial" w:eastAsia="Arial" w:hAnsi="Arial"/>
                <w:sz w:val="20"/>
                <w:szCs w:val="20"/>
                <w:color w:val="auto"/>
                <w:w w:val="93"/>
              </w:rPr>
              <w:t xml:space="preserve">elements </w:t>
            </w:r>
            <w:r>
              <w:rPr>
                <w:rFonts w:ascii="Arial" w:cs="Arial" w:eastAsia="Arial" w:hAnsi="Arial"/>
                <w:sz w:val="20"/>
                <w:szCs w:val="20"/>
                <w:color w:val="B4B4B4"/>
                <w:w w:val="93"/>
              </w:rPr>
              <w:t>. . . . . . . . . . . . . . . . . . . . . . . . . . . . . . . . . . . . . . . . . . . . . . . . . . . . . . . . . . . . . . . .</w:t>
            </w:r>
          </w:p>
        </w:tc>
        <w:tc>
          <w:tcPr>
            <w:tcW w:w="18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7500" w:type="dxa"/>
            <w:vAlign w:val="bottom"/>
          </w:tcPr>
          <w:p>
            <w:pPr>
              <w:jc w:val="right"/>
              <w:spacing w:after="0"/>
              <w:rPr>
                <w:sz w:val="20"/>
                <w:szCs w:val="20"/>
                <w:color w:val="auto"/>
              </w:rPr>
            </w:pPr>
            <w:r>
              <w:rPr>
                <w:rFonts w:ascii="Arial" w:cs="Arial" w:eastAsia="Arial" w:hAnsi="Arial"/>
                <w:sz w:val="20"/>
                <w:szCs w:val="20"/>
                <w:color w:val="auto"/>
                <w:w w:val="94"/>
              </w:rPr>
              <w:t xml:space="preserve">Proceeds from credit facilities </w:t>
            </w:r>
            <w:r>
              <w:rPr>
                <w:rFonts w:ascii="Arial" w:cs="Arial" w:eastAsia="Arial" w:hAnsi="Arial"/>
                <w:sz w:val="20"/>
                <w:szCs w:val="20"/>
                <w:color w:val="B4B4B4"/>
                <w:w w:val="94"/>
              </w:rPr>
              <w:t>. . . . . . . . . . . . . . . . . . . . . . . . . . . . . . . . . . . . . . . . . . . . . .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1,050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3,020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9"/>
        </w:trPr>
        <w:tc>
          <w:tcPr>
            <w:tcW w:w="7500" w:type="dxa"/>
            <w:vAlign w:val="bottom"/>
          </w:tcPr>
          <w:p>
            <w:pPr>
              <w:jc w:val="right"/>
              <w:spacing w:after="0"/>
              <w:rPr>
                <w:sz w:val="20"/>
                <w:szCs w:val="20"/>
                <w:color w:val="auto"/>
              </w:rPr>
            </w:pPr>
            <w:r>
              <w:rPr>
                <w:rFonts w:ascii="Arial" w:cs="Arial" w:eastAsia="Arial" w:hAnsi="Arial"/>
                <w:sz w:val="20"/>
                <w:szCs w:val="20"/>
                <w:color w:val="auto"/>
                <w:w w:val="94"/>
              </w:rPr>
              <w:t xml:space="preserve">Repayments to credit facilities </w:t>
            </w:r>
            <w:r>
              <w:rPr>
                <w:rFonts w:ascii="Arial" w:cs="Arial" w:eastAsia="Arial" w:hAnsi="Arial"/>
                <w:sz w:val="20"/>
                <w:szCs w:val="20"/>
                <w:color w:val="B4B4B4"/>
                <w:w w:val="94"/>
              </w:rPr>
              <w:t>. . . . . . . . . . . . . . . . . . . . . . . . . . . . . . . . . . . . . . . . . . . . . . .</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(1,050)</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1"/>
              </w:rPr>
              <w:t>(3,020)</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7"/>
        </w:trPr>
        <w:tc>
          <w:tcPr>
            <w:tcW w:w="750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Cash (used)/provided by financing activities </w:t>
            </w:r>
            <w:r>
              <w:rPr>
                <w:rFonts w:ascii="Arial" w:cs="Arial" w:eastAsia="Arial" w:hAnsi="Arial"/>
                <w:sz w:val="20"/>
                <w:szCs w:val="20"/>
                <w:b w:val="1"/>
                <w:bCs w:val="1"/>
                <w:color w:val="B4B4B4"/>
                <w:w w:val="89"/>
              </w:rPr>
              <w:t>. . . . . . . . . . . . . . . . . . . . . . . . . . . .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4"/>
              </w:rPr>
              <w:t>(1,755)</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(400)</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1,043</w:t>
            </w:r>
          </w:p>
        </w:tc>
        <w:tc>
          <w:tcPr>
            <w:tcW w:w="0" w:type="dxa"/>
            <w:vAlign w:val="bottom"/>
          </w:tcPr>
          <w:p>
            <w:pPr>
              <w:spacing w:after="0"/>
              <w:rPr>
                <w:sz w:val="1"/>
                <w:szCs w:val="1"/>
                <w:color w:val="auto"/>
              </w:rPr>
            </w:pPr>
          </w:p>
        </w:tc>
      </w:tr>
      <w:tr>
        <w:trPr>
          <w:trHeight w:val="277"/>
        </w:trPr>
        <w:tc>
          <w:tcPr>
            <w:tcW w:w="7500" w:type="dxa"/>
            <w:vAlign w:val="bottom"/>
          </w:tcPr>
          <w:p>
            <w:pPr>
              <w:jc w:val="right"/>
              <w:spacing w:after="0"/>
              <w:rPr>
                <w:sz w:val="20"/>
                <w:szCs w:val="20"/>
                <w:color w:val="auto"/>
              </w:rPr>
            </w:pPr>
            <w:r>
              <w:rPr>
                <w:rFonts w:ascii="Arial" w:cs="Arial" w:eastAsia="Arial" w:hAnsi="Arial"/>
                <w:sz w:val="20"/>
                <w:szCs w:val="20"/>
                <w:color w:val="auto"/>
                <w:w w:val="92"/>
              </w:rPr>
              <w:t xml:space="preserve">Effect of exchange rate changes on cash and cash equivalents </w:t>
            </w:r>
            <w:r>
              <w:rPr>
                <w:rFonts w:ascii="Arial" w:cs="Arial" w:eastAsia="Arial" w:hAnsi="Arial"/>
                <w:sz w:val="20"/>
                <w:szCs w:val="20"/>
                <w:color w:val="B4B4B4"/>
                <w:w w:val="92"/>
              </w:rPr>
              <w:t>. . . . . . . . . . . . . . . . . . . . . .</w:t>
            </w:r>
          </w:p>
        </w:tc>
        <w:tc>
          <w:tcPr>
            <w:tcW w:w="1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10"/>
        </w:trPr>
        <w:tc>
          <w:tcPr>
            <w:tcW w:w="7500" w:type="dxa"/>
            <w:vAlign w:val="bottom"/>
          </w:tcPr>
          <w:p>
            <w:pPr>
              <w:spacing w:after="0" w:line="209" w:lineRule="exact"/>
              <w:rPr>
                <w:sz w:val="20"/>
                <w:szCs w:val="20"/>
                <w:color w:val="auto"/>
              </w:rPr>
            </w:pPr>
            <w:r>
              <w:rPr>
                <w:rFonts w:ascii="Arial" w:cs="Arial" w:eastAsia="Arial" w:hAnsi="Arial"/>
                <w:sz w:val="20"/>
                <w:szCs w:val="20"/>
                <w:b w:val="1"/>
                <w:bCs w:val="1"/>
                <w:color w:val="auto"/>
              </w:rPr>
              <w:t>Net (Decrease)/Increase in Cash and Cash Equivalents, Funds Deposited by</w:t>
            </w:r>
          </w:p>
        </w:tc>
        <w:tc>
          <w:tcPr>
            <w:tcW w:w="18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524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w w:val="91"/>
              </w:rPr>
              <w:t>(1,529)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1,068</w:t>
            </w:r>
          </w:p>
        </w:tc>
        <w:tc>
          <w:tcPr>
            <w:tcW w:w="0" w:type="dxa"/>
            <w:vAlign w:val="bottom"/>
          </w:tcPr>
          <w:p>
            <w:pPr>
              <w:spacing w:after="0"/>
              <w:rPr>
                <w:sz w:val="1"/>
                <w:szCs w:val="1"/>
                <w:color w:val="auto"/>
              </w:rPr>
            </w:pPr>
          </w:p>
        </w:tc>
      </w:tr>
      <w:tr>
        <w:trPr>
          <w:trHeight w:val="262"/>
        </w:trPr>
        <w:tc>
          <w:tcPr>
            <w:tcW w:w="750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Counterparties and Restricted Cash </w:t>
            </w:r>
            <w:r>
              <w:rPr>
                <w:rFonts w:ascii="Arial" w:cs="Arial" w:eastAsia="Arial" w:hAnsi="Arial"/>
                <w:sz w:val="20"/>
                <w:szCs w:val="20"/>
                <w:b w:val="1"/>
                <w:bCs w:val="1"/>
                <w:color w:val="B4B4B4"/>
                <w:w w:val="89"/>
              </w:rPr>
              <w:t>. . . . . . . . . . . . . . . . . . . . . . . . . . . . . . . . . . . . . . . . . . . .</w:t>
            </w:r>
          </w:p>
        </w:tc>
        <w:tc>
          <w:tcPr>
            <w:tcW w:w="18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75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w w:val="88"/>
              </w:rPr>
              <w:t>Cash and Cash Equivalents, Funds Deposited by Counterparties and Restricted Cash at</w:t>
            </w:r>
          </w:p>
        </w:tc>
        <w:tc>
          <w:tcPr>
            <w:tcW w:w="18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649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2,178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1,110</w:t>
            </w:r>
          </w:p>
        </w:tc>
        <w:tc>
          <w:tcPr>
            <w:tcW w:w="0" w:type="dxa"/>
            <w:vAlign w:val="bottom"/>
          </w:tcPr>
          <w:p>
            <w:pPr>
              <w:spacing w:after="0"/>
              <w:rPr>
                <w:sz w:val="1"/>
                <w:szCs w:val="1"/>
                <w:color w:val="auto"/>
              </w:rPr>
            </w:pPr>
          </w:p>
        </w:tc>
      </w:tr>
      <w:tr>
        <w:trPr>
          <w:trHeight w:val="260"/>
        </w:trPr>
        <w:tc>
          <w:tcPr>
            <w:tcW w:w="7500" w:type="dxa"/>
            <w:vAlign w:val="bottom"/>
          </w:tcPr>
          <w:p>
            <w:pPr>
              <w:jc w:val="right"/>
              <w:spacing w:after="0"/>
              <w:rPr>
                <w:sz w:val="20"/>
                <w:szCs w:val="20"/>
                <w:color w:val="auto"/>
              </w:rPr>
            </w:pPr>
            <w:r>
              <w:rPr>
                <w:rFonts w:ascii="Arial" w:cs="Arial" w:eastAsia="Arial" w:hAnsi="Arial"/>
                <w:sz w:val="20"/>
                <w:szCs w:val="20"/>
                <w:b w:val="1"/>
                <w:bCs w:val="1"/>
                <w:color w:val="auto"/>
                <w:w w:val="88"/>
              </w:rPr>
              <w:t xml:space="preserve">Beginning of Period </w:t>
            </w:r>
            <w:r>
              <w:rPr>
                <w:rFonts w:ascii="Arial" w:cs="Arial" w:eastAsia="Arial" w:hAnsi="Arial"/>
                <w:sz w:val="20"/>
                <w:szCs w:val="20"/>
                <w:b w:val="1"/>
                <w:bCs w:val="1"/>
                <w:color w:val="B4B4B4"/>
                <w:w w:val="88"/>
              </w:rPr>
              <w:t>. . . . . . . . . . . . . . . . . . . . . . . . . . . . . . . . . . . . . . . . . . . . . . . . . . . . . . . . . .</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500" w:type="dxa"/>
            <w:vAlign w:val="bottom"/>
          </w:tcPr>
          <w:p>
            <w:pPr>
              <w:jc w:val="right"/>
              <w:spacing w:after="0" w:line="209" w:lineRule="exact"/>
              <w:rPr>
                <w:sz w:val="20"/>
                <w:szCs w:val="20"/>
                <w:color w:val="auto"/>
              </w:rPr>
            </w:pPr>
            <w:r>
              <w:rPr>
                <w:rFonts w:ascii="Arial" w:cs="Arial" w:eastAsia="Arial" w:hAnsi="Arial"/>
                <w:sz w:val="20"/>
                <w:szCs w:val="20"/>
                <w:b w:val="1"/>
                <w:bCs w:val="1"/>
                <w:color w:val="auto"/>
                <w:w w:val="88"/>
              </w:rPr>
              <w:t>Cash and Cash Equivalents, Funds Deposited by Counterparties and Restricted Cash at</w:t>
            </w: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1,173</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w:t>
            </w: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649</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20"/>
                <w:szCs w:val="20"/>
                <w:color w:val="auto"/>
              </w:rPr>
              <w:t>$</w:t>
            </w: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2,178</w:t>
            </w:r>
          </w:p>
        </w:tc>
        <w:tc>
          <w:tcPr>
            <w:tcW w:w="0" w:type="dxa"/>
            <w:vAlign w:val="bottom"/>
          </w:tcPr>
          <w:p>
            <w:pPr>
              <w:spacing w:after="0"/>
              <w:rPr>
                <w:sz w:val="1"/>
                <w:szCs w:val="1"/>
                <w:color w:val="auto"/>
              </w:rPr>
            </w:pPr>
          </w:p>
        </w:tc>
      </w:tr>
      <w:tr>
        <w:trPr>
          <w:trHeight w:val="240"/>
        </w:trPr>
        <w:tc>
          <w:tcPr>
            <w:tcW w:w="750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End of Period </w:t>
            </w:r>
            <w:r>
              <w:rPr>
                <w:rFonts w:ascii="Arial" w:cs="Arial" w:eastAsia="Arial" w:hAnsi="Arial"/>
                <w:sz w:val="20"/>
                <w:szCs w:val="20"/>
                <w:b w:val="1"/>
                <w:bCs w:val="1"/>
                <w:color w:val="B4B4B4"/>
                <w:w w:val="89"/>
              </w:rPr>
              <w:t>. . . . . . . . . . . . . . . . . . . . . . . . . . . . . . . . . . . . . . . . . . . . . . . . . . . . . . . . . . . . . . .</w:t>
            </w:r>
          </w:p>
        </w:tc>
        <w:tc>
          <w:tcPr>
            <w:tcW w:w="18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-3717925</wp:posOffset>
            </wp:positionV>
            <wp:extent cx="6466205" cy="3724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5">
                      <a:extLst>
                        <a:ext uri="{28A0092B-C50C-407E-A947-70E740481C1C}"/>
                      </a:extLst>
                    </a:blip>
                    <a:srcRect/>
                    <a:stretch>
                      <a:fillRect/>
                    </a:stretch>
                  </pic:blipFill>
                  <pic:spPr bwMode="auto">
                    <a:xfrm>
                      <a:off x="0" y="0"/>
                      <a:ext cx="6466205" cy="3724910"/>
                    </a:xfrm>
                    <a:prstGeom prst="rect">
                      <a:avLst/>
                    </a:prstGeom>
                    <a:noFill/>
                  </pic:spPr>
                </pic:pic>
              </a:graphicData>
            </a:graphic>
          </wp:anchor>
        </w:drawing>
      </w:r>
    </w:p>
    <w:p>
      <w:pPr>
        <w:ind w:left="440" w:hanging="439"/>
        <w:spacing w:after="0"/>
        <w:tabs>
          <w:tab w:leader="none" w:pos="4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excise tax paid of $10 million during the year ended December 31, 2024</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further discussion of supplemental cash flow information see Note 25, </w:t>
      </w:r>
      <w:r>
        <w:rPr>
          <w:rFonts w:ascii="Arial" w:cs="Arial" w:eastAsia="Arial" w:hAnsi="Arial"/>
          <w:sz w:val="20"/>
          <w:szCs w:val="20"/>
          <w:b w:val="1"/>
          <w:bCs w:val="1"/>
          <w:i w:val="1"/>
          <w:iCs w:val="1"/>
          <w:color w:val="auto"/>
        </w:rPr>
        <w:t>Cash Flow Information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880" w:h="15480" w:orient="portrait"/>
          <w:cols w:equalWidth="0" w:num="1">
            <w:col w:w="10160"/>
          </w:cols>
          <w:pgMar w:left="860" w:top="571" w:right="860" w:bottom="0" w:gutter="0" w:footer="0" w:header="0"/>
        </w:sectPr>
      </w:pPr>
    </w:p>
    <w:bookmarkStart w:id="95" w:name="page96"/>
    <w:bookmarkEnd w:id="95"/>
    <w:p>
      <w:pPr>
        <w:jc w:val="center"/>
        <w:ind w:right="-138"/>
        <w:spacing w:after="0"/>
        <w:rPr>
          <w:sz w:val="20"/>
          <w:szCs w:val="20"/>
          <w:color w:val="auto"/>
        </w:rPr>
      </w:pPr>
      <w:r>
        <w:rPr>
          <w:rFonts w:ascii="Arial" w:cs="Arial" w:eastAsia="Arial" w:hAnsi="Arial"/>
          <w:sz w:val="20"/>
          <w:szCs w:val="20"/>
          <w:b w:val="1"/>
          <w:bCs w:val="1"/>
          <w:color w:val="auto"/>
        </w:rPr>
        <w:t>NRG ENERGY, INC. AND SUBSIDIARIES</w:t>
      </w:r>
    </w:p>
    <w:p>
      <w:pPr>
        <w:spacing w:after="0" w:line="133" w:lineRule="exact"/>
        <w:rPr>
          <w:sz w:val="20"/>
          <w:szCs w:val="20"/>
          <w:color w:val="auto"/>
        </w:rPr>
      </w:pPr>
    </w:p>
    <w:p>
      <w:pPr>
        <w:jc w:val="center"/>
        <w:ind w:right="-138"/>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8" w:lineRule="exact"/>
        <w:rPr>
          <w:sz w:val="20"/>
          <w:szCs w:val="20"/>
          <w:color w:val="auto"/>
        </w:rPr>
      </w:pPr>
    </w:p>
    <w:tbl>
      <w:tblPr>
        <w:tblLayout w:type="fixed"/>
        <w:tblInd w:w="179"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7"/>
              </w:rPr>
              <w:t>Additional</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Accumulated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ind w:right="63"/>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w w:val="98"/>
              </w:rPr>
              <w:t>Preferred</w:t>
            </w:r>
          </w:p>
        </w:tc>
        <w:tc>
          <w:tcPr>
            <w:tcW w:w="60" w:type="dxa"/>
            <w:vAlign w:val="bottom"/>
          </w:tcPr>
          <w:p>
            <w:pPr>
              <w:spacing w:after="0"/>
              <w:rPr>
                <w:sz w:val="13"/>
                <w:szCs w:val="13"/>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w w:val="95"/>
              </w:rPr>
              <w:t>Common</w:t>
            </w: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124"/>
              <w:spacing w:after="0"/>
              <w:rPr>
                <w:sz w:val="20"/>
                <w:szCs w:val="20"/>
                <w:color w:val="auto"/>
              </w:rPr>
            </w:pPr>
            <w:r>
              <w:rPr>
                <w:rFonts w:ascii="Arial" w:cs="Arial" w:eastAsia="Arial" w:hAnsi="Arial"/>
                <w:sz w:val="16"/>
                <w:szCs w:val="16"/>
                <w:b w:val="1"/>
                <w:bCs w:val="1"/>
                <w:color w:val="auto"/>
                <w:w w:val="94"/>
              </w:rPr>
              <w:t>Retained</w:t>
            </w:r>
          </w:p>
        </w:tc>
        <w:tc>
          <w:tcPr>
            <w:tcW w:w="60" w:type="dxa"/>
            <w:vAlign w:val="bottom"/>
          </w:tcPr>
          <w:p>
            <w:pPr>
              <w:spacing w:after="0"/>
              <w:rPr>
                <w:sz w:val="13"/>
                <w:szCs w:val="13"/>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Treasury</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center"/>
              <w:ind w:right="165"/>
              <w:spacing w:after="0" w:line="158" w:lineRule="exact"/>
              <w:rPr>
                <w:sz w:val="20"/>
                <w:szCs w:val="20"/>
                <w:color w:val="auto"/>
              </w:rPr>
            </w:pPr>
            <w:r>
              <w:rPr>
                <w:rFonts w:ascii="Arial" w:cs="Arial" w:eastAsia="Arial" w:hAnsi="Arial"/>
                <w:sz w:val="16"/>
                <w:szCs w:val="16"/>
                <w:b w:val="1"/>
                <w:bCs w:val="1"/>
                <w:color w:val="auto"/>
                <w:w w:val="93"/>
              </w:rPr>
              <w:t>Other</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center"/>
              <w:ind w:right="63"/>
              <w:spacing w:after="0" w:line="158" w:lineRule="exact"/>
              <w:rPr>
                <w:sz w:val="20"/>
                <w:szCs w:val="20"/>
                <w:color w:val="auto"/>
              </w:rPr>
            </w:pPr>
            <w:r>
              <w:rPr>
                <w:rFonts w:ascii="Arial" w:cs="Arial" w:eastAsia="Arial" w:hAnsi="Arial"/>
                <w:sz w:val="16"/>
                <w:szCs w:val="16"/>
                <w:b w:val="1"/>
                <w:bCs w:val="1"/>
                <w:color w:val="auto"/>
                <w:w w:val="89"/>
              </w:rPr>
              <w:t>Stock-</w:t>
            </w:r>
          </w:p>
        </w:tc>
        <w:tc>
          <w:tcPr>
            <w:tcW w:w="0" w:type="dxa"/>
            <w:vAlign w:val="bottom"/>
          </w:tcPr>
          <w:p>
            <w:pPr>
              <w:spacing w:after="0"/>
              <w:rPr>
                <w:sz w:val="1"/>
                <w:szCs w:val="1"/>
                <w:color w:val="auto"/>
              </w:rPr>
            </w:pPr>
          </w:p>
        </w:tc>
      </w:tr>
      <w:tr>
        <w:trPr>
          <w:trHeight w:val="158"/>
        </w:trPr>
        <w:tc>
          <w:tcPr>
            <w:tcW w:w="3200" w:type="dxa"/>
            <w:vAlign w:val="bottom"/>
            <w:vMerge w:val="restart"/>
          </w:tcPr>
          <w:p>
            <w:pPr>
              <w:jc w:val="right"/>
              <w:ind w:right="2262"/>
              <w:spacing w:after="0"/>
              <w:rPr>
                <w:sz w:val="20"/>
                <w:szCs w:val="20"/>
                <w:color w:val="auto"/>
              </w:rPr>
            </w:pPr>
            <w:r>
              <w:rPr>
                <w:rFonts w:ascii="Arial" w:cs="Arial" w:eastAsia="Arial" w:hAnsi="Arial"/>
                <w:sz w:val="16"/>
                <w:szCs w:val="16"/>
                <w:b w:val="1"/>
                <w:bCs w:val="1"/>
                <w:color w:val="auto"/>
                <w:w w:val="91"/>
              </w:rPr>
              <w:t>(In millions)</w:t>
            </w:r>
          </w:p>
        </w:tc>
        <w:tc>
          <w:tcPr>
            <w:tcW w:w="8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63"/>
              <w:spacing w:after="0" w:line="158" w:lineRule="exact"/>
              <w:rPr>
                <w:sz w:val="20"/>
                <w:szCs w:val="20"/>
                <w:color w:val="auto"/>
              </w:rPr>
            </w:pPr>
            <w:r>
              <w:rPr>
                <w:rFonts w:ascii="Arial" w:cs="Arial" w:eastAsia="Arial" w:hAnsi="Arial"/>
                <w:sz w:val="16"/>
                <w:szCs w:val="16"/>
                <w:b w:val="1"/>
                <w:bCs w:val="1"/>
                <w:color w:val="auto"/>
                <w:w w:val="93"/>
              </w:rPr>
              <w:t>Paid-In</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w w:val="89"/>
              </w:rPr>
              <w:t>Comprehensive</w:t>
            </w:r>
          </w:p>
        </w:tc>
        <w:tc>
          <w:tcPr>
            <w:tcW w:w="80" w:type="dxa"/>
            <w:vAlign w:val="bottom"/>
          </w:tcPr>
          <w:p>
            <w:pPr>
              <w:spacing w:after="0"/>
              <w:rPr>
                <w:sz w:val="13"/>
                <w:szCs w:val="13"/>
                <w:color w:val="auto"/>
              </w:rPr>
            </w:pPr>
          </w:p>
        </w:tc>
        <w:tc>
          <w:tcPr>
            <w:tcW w:w="80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87"/>
              </w:rPr>
              <w:t>holders'</w:t>
            </w:r>
          </w:p>
        </w:tc>
        <w:tc>
          <w:tcPr>
            <w:tcW w:w="0" w:type="dxa"/>
            <w:vAlign w:val="bottom"/>
          </w:tcPr>
          <w:p>
            <w:pPr>
              <w:spacing w:after="0"/>
              <w:rPr>
                <w:sz w:val="1"/>
                <w:szCs w:val="1"/>
                <w:color w:val="auto"/>
              </w:rPr>
            </w:pPr>
          </w:p>
        </w:tc>
      </w:tr>
      <w:tr>
        <w:trPr>
          <w:trHeight w:val="212"/>
        </w:trPr>
        <w:tc>
          <w:tcPr>
            <w:tcW w:w="32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b w:val="1"/>
                <w:bCs w:val="1"/>
                <w:color w:val="auto"/>
                <w:w w:val="87"/>
              </w:rPr>
              <w:t>Stock</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w w:val="87"/>
              </w:rPr>
              <w:t>Stock</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w w:val="93"/>
              </w:rPr>
              <w:t>Capital</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b w:val="1"/>
                <w:bCs w:val="1"/>
                <w:color w:val="auto"/>
                <w:w w:val="93"/>
              </w:rPr>
              <w:t>Earnings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w w:val="87"/>
              </w:rPr>
              <w:t>Stock</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65"/>
              <w:spacing w:after="0"/>
              <w:rPr>
                <w:sz w:val="20"/>
                <w:szCs w:val="20"/>
                <w:color w:val="auto"/>
              </w:rPr>
            </w:pPr>
            <w:r>
              <w:rPr>
                <w:rFonts w:ascii="Arial" w:cs="Arial" w:eastAsia="Arial" w:hAnsi="Arial"/>
                <w:sz w:val="16"/>
                <w:szCs w:val="16"/>
                <w:b w:val="1"/>
                <w:bCs w:val="1"/>
                <w:color w:val="auto"/>
                <w:w w:val="85"/>
              </w:rPr>
              <w:t>Loss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43"/>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75"/>
        </w:trPr>
        <w:tc>
          <w:tcPr>
            <w:tcW w:w="320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Balance at December 31, 2021 </w:t>
            </w:r>
            <w:r>
              <w:rPr>
                <w:rFonts w:ascii="Arial" w:cs="Arial" w:eastAsia="Arial" w:hAnsi="Arial"/>
                <w:sz w:val="20"/>
                <w:szCs w:val="20"/>
                <w:b w:val="1"/>
                <w:bCs w:val="1"/>
                <w:color w:val="B4B4B4"/>
                <w:w w:val="89"/>
              </w:rPr>
              <w:t>. . . . . .</w:t>
            </w:r>
          </w:p>
        </w:tc>
        <w:tc>
          <w:tcPr>
            <w:tcW w:w="180" w:type="dxa"/>
            <w:vAlign w:val="bottom"/>
          </w:tcPr>
          <w:p>
            <w:pPr>
              <w:ind w:left="60"/>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tcPr>
          <w:p>
            <w:pPr>
              <w:ind w:left="120"/>
              <w:spacing w:after="0"/>
              <w:rPr>
                <w:sz w:val="20"/>
                <w:szCs w:val="20"/>
                <w:color w:val="auto"/>
              </w:rPr>
            </w:pPr>
            <w:r>
              <w:rPr>
                <w:rFonts w:ascii="Arial" w:cs="Arial" w:eastAsia="Arial" w:hAnsi="Arial"/>
                <w:sz w:val="20"/>
                <w:szCs w:val="20"/>
                <w:color w:val="auto"/>
                <w:w w:val="89"/>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4</w:t>
            </w:r>
          </w:p>
        </w:tc>
        <w:tc>
          <w:tcPr>
            <w:tcW w:w="240" w:type="dxa"/>
            <w:vAlign w:val="bottom"/>
            <w:gridSpan w:val="2"/>
          </w:tcPr>
          <w:p>
            <w:pPr>
              <w:ind w:left="140"/>
              <w:spacing w:after="0"/>
              <w:rPr>
                <w:sz w:val="20"/>
                <w:szCs w:val="20"/>
                <w:color w:val="auto"/>
              </w:rPr>
            </w:pPr>
            <w:r>
              <w:rPr>
                <w:rFonts w:ascii="Arial" w:cs="Arial" w:eastAsia="Arial" w:hAnsi="Arial"/>
                <w:sz w:val="20"/>
                <w:szCs w:val="20"/>
                <w:color w:val="auto"/>
                <w:w w:val="71"/>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8,531</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464</w:t>
            </w:r>
          </w:p>
        </w:tc>
        <w:tc>
          <w:tcPr>
            <w:tcW w:w="240" w:type="dxa"/>
            <w:vAlign w:val="bottom"/>
            <w:gridSpan w:val="2"/>
          </w:tcPr>
          <w:p>
            <w:pPr>
              <w:ind w:left="120"/>
              <w:spacing w:after="0"/>
              <w:rPr>
                <w:sz w:val="20"/>
                <w:szCs w:val="20"/>
                <w:color w:val="auto"/>
              </w:rPr>
            </w:pPr>
            <w:r>
              <w:rPr>
                <w:rFonts w:ascii="Arial" w:cs="Arial" w:eastAsia="Arial" w:hAnsi="Arial"/>
                <w:sz w:val="20"/>
                <w:szCs w:val="20"/>
                <w:color w:val="auto"/>
                <w:w w:val="89"/>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88"/>
              </w:rPr>
              <w:t>(5,273)</w:t>
            </w:r>
          </w:p>
        </w:tc>
        <w:tc>
          <w:tcPr>
            <w:tcW w:w="34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(126)</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3,600</w:t>
            </w:r>
          </w:p>
        </w:tc>
        <w:tc>
          <w:tcPr>
            <w:tcW w:w="0" w:type="dxa"/>
            <w:vAlign w:val="bottom"/>
          </w:tcPr>
          <w:p>
            <w:pPr>
              <w:spacing w:after="0"/>
              <w:rPr>
                <w:sz w:val="1"/>
                <w:szCs w:val="1"/>
                <w:color w:val="auto"/>
              </w:rPr>
            </w:pPr>
          </w:p>
        </w:tc>
      </w:tr>
      <w:tr>
        <w:trPr>
          <w:trHeight w:val="297"/>
        </w:trPr>
        <w:tc>
          <w:tcPr>
            <w:tcW w:w="3200" w:type="dxa"/>
            <w:vAlign w:val="bottom"/>
          </w:tcPr>
          <w:p>
            <w:pPr>
              <w:jc w:val="right"/>
              <w:spacing w:after="0"/>
              <w:rPr>
                <w:sz w:val="20"/>
                <w:szCs w:val="20"/>
                <w:color w:val="auto"/>
              </w:rPr>
            </w:pPr>
            <w:r>
              <w:rPr>
                <w:rFonts w:ascii="Arial" w:cs="Arial" w:eastAsia="Arial" w:hAnsi="Arial"/>
                <w:sz w:val="20"/>
                <w:szCs w:val="20"/>
                <w:color w:val="auto"/>
                <w:w w:val="93"/>
              </w:rPr>
              <w:t xml:space="preserve">Net income </w:t>
            </w:r>
            <w:r>
              <w:rPr>
                <w:rFonts w:ascii="Arial" w:cs="Arial" w:eastAsia="Arial" w:hAnsi="Arial"/>
                <w:sz w:val="20"/>
                <w:szCs w:val="20"/>
                <w:color w:val="B4B4B4"/>
                <w:w w:val="93"/>
              </w:rPr>
              <w:t>. . . . . . . . . . . . . . . . . . . . .</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1,221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1,221</w:t>
            </w:r>
          </w:p>
        </w:tc>
        <w:tc>
          <w:tcPr>
            <w:tcW w:w="0" w:type="dxa"/>
            <w:vAlign w:val="bottom"/>
          </w:tcPr>
          <w:p>
            <w:pPr>
              <w:spacing w:after="0"/>
              <w:rPr>
                <w:sz w:val="1"/>
                <w:szCs w:val="1"/>
                <w:color w:val="auto"/>
              </w:rPr>
            </w:pPr>
          </w:p>
        </w:tc>
      </w:tr>
      <w:tr>
        <w:trPr>
          <w:trHeight w:val="297"/>
        </w:trPr>
        <w:tc>
          <w:tcPr>
            <w:tcW w:w="3200" w:type="dxa"/>
            <w:vAlign w:val="bottom"/>
          </w:tcPr>
          <w:p>
            <w:pPr>
              <w:jc w:val="right"/>
              <w:spacing w:after="0"/>
              <w:rPr>
                <w:sz w:val="20"/>
                <w:szCs w:val="20"/>
                <w:color w:val="auto"/>
              </w:rPr>
            </w:pPr>
            <w:r>
              <w:rPr>
                <w:rFonts w:ascii="Arial" w:cs="Arial" w:eastAsia="Arial" w:hAnsi="Arial"/>
                <w:sz w:val="20"/>
                <w:szCs w:val="20"/>
                <w:color w:val="auto"/>
                <w:w w:val="93"/>
              </w:rPr>
              <w:t xml:space="preserve">Other comprehensive loss </w:t>
            </w:r>
            <w:r>
              <w:rPr>
                <w:rFonts w:ascii="Arial" w:cs="Arial" w:eastAsia="Arial" w:hAnsi="Arial"/>
                <w:sz w:val="20"/>
                <w:szCs w:val="20"/>
                <w:color w:val="B4B4B4"/>
                <w:w w:val="93"/>
              </w:rPr>
              <w:t>. . . . . . . . .</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97"/>
        </w:trPr>
        <w:tc>
          <w:tcPr>
            <w:tcW w:w="3200" w:type="dxa"/>
            <w:vAlign w:val="bottom"/>
          </w:tcPr>
          <w:p>
            <w:pPr>
              <w:jc w:val="right"/>
              <w:spacing w:after="0"/>
              <w:rPr>
                <w:sz w:val="20"/>
                <w:szCs w:val="20"/>
                <w:color w:val="auto"/>
              </w:rPr>
            </w:pPr>
            <w:r>
              <w:rPr>
                <w:rFonts w:ascii="Arial" w:cs="Arial" w:eastAsia="Arial" w:hAnsi="Arial"/>
                <w:sz w:val="20"/>
                <w:szCs w:val="20"/>
                <w:color w:val="auto"/>
                <w:w w:val="91"/>
              </w:rPr>
              <w:t xml:space="preserve">Shares reissuance for ESPP </w:t>
            </w:r>
            <w:r>
              <w:rPr>
                <w:rFonts w:ascii="Arial" w:cs="Arial" w:eastAsia="Arial" w:hAnsi="Arial"/>
                <w:sz w:val="20"/>
                <w:szCs w:val="20"/>
                <w:color w:val="B4B4B4"/>
                <w:w w:val="91"/>
              </w:rPr>
              <w:t>. . . . . . . .</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97"/>
        </w:trPr>
        <w:tc>
          <w:tcPr>
            <w:tcW w:w="3200" w:type="dxa"/>
            <w:vAlign w:val="bottom"/>
          </w:tcPr>
          <w:p>
            <w:pPr>
              <w:jc w:val="right"/>
              <w:spacing w:after="0"/>
              <w:rPr>
                <w:sz w:val="20"/>
                <w:szCs w:val="20"/>
                <w:color w:val="auto"/>
              </w:rPr>
            </w:pPr>
            <w:r>
              <w:rPr>
                <w:rFonts w:ascii="Arial" w:cs="Arial" w:eastAsia="Arial" w:hAnsi="Arial"/>
                <w:sz w:val="20"/>
                <w:szCs w:val="20"/>
                <w:color w:val="auto"/>
                <w:w w:val="91"/>
              </w:rPr>
              <w:t xml:space="preserve">Share repurchases  </w:t>
            </w:r>
            <w:r>
              <w:rPr>
                <w:rFonts w:ascii="Arial" w:cs="Arial" w:eastAsia="Arial" w:hAnsi="Arial"/>
                <w:sz w:val="20"/>
                <w:szCs w:val="20"/>
                <w:color w:val="B4B4B4"/>
                <w:w w:val="91"/>
              </w:rPr>
              <w:t>. . . . . . . . . . . . . . .</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(595)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(595)</w:t>
            </w:r>
          </w:p>
        </w:tc>
        <w:tc>
          <w:tcPr>
            <w:tcW w:w="0" w:type="dxa"/>
            <w:vAlign w:val="bottom"/>
          </w:tcPr>
          <w:p>
            <w:pPr>
              <w:spacing w:after="0"/>
              <w:rPr>
                <w:sz w:val="1"/>
                <w:szCs w:val="1"/>
                <w:color w:val="auto"/>
              </w:rPr>
            </w:pPr>
          </w:p>
        </w:tc>
      </w:tr>
      <w:tr>
        <w:trPr>
          <w:trHeight w:val="331"/>
        </w:trPr>
        <w:tc>
          <w:tcPr>
            <w:tcW w:w="3200" w:type="dxa"/>
            <w:vAlign w:val="bottom"/>
          </w:tcPr>
          <w:p>
            <w:pPr>
              <w:jc w:val="right"/>
              <w:spacing w:after="0"/>
              <w:rPr>
                <w:sz w:val="20"/>
                <w:szCs w:val="20"/>
                <w:color w:val="auto"/>
              </w:rPr>
            </w:pPr>
            <w:r>
              <w:rPr>
                <w:rFonts w:ascii="Arial" w:cs="Arial" w:eastAsia="Arial" w:hAnsi="Arial"/>
                <w:sz w:val="20"/>
                <w:szCs w:val="20"/>
                <w:color w:val="auto"/>
                <w:w w:val="92"/>
              </w:rPr>
              <w:t>Equity-based awards activity, net</w:t>
            </w:r>
            <w:r>
              <w:rPr>
                <w:rFonts w:ascii="Arial" w:cs="Arial" w:eastAsia="Arial" w:hAnsi="Arial"/>
                <w:sz w:val="25"/>
                <w:szCs w:val="25"/>
                <w:color w:val="auto"/>
                <w:w w:val="92"/>
                <w:vertAlign w:val="superscript"/>
              </w:rPr>
              <w:t>(a)</w:t>
            </w:r>
            <w:r>
              <w:rPr>
                <w:rFonts w:ascii="Arial" w:cs="Arial" w:eastAsia="Arial" w:hAnsi="Arial"/>
                <w:sz w:val="20"/>
                <w:szCs w:val="20"/>
                <w:color w:val="auto"/>
                <w:w w:val="92"/>
              </w:rPr>
              <w:t xml:space="preserve">  </w:t>
            </w:r>
            <w:r>
              <w:rPr>
                <w:rFonts w:ascii="Arial" w:cs="Arial" w:eastAsia="Arial" w:hAnsi="Arial"/>
                <w:sz w:val="20"/>
                <w:szCs w:val="20"/>
                <w:color w:val="B4B4B4"/>
                <w:w w:val="92"/>
              </w:rPr>
              <w:t>. .</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line="199" w:lineRule="exact"/>
              <w:rPr>
                <w:sz w:val="20"/>
                <w:szCs w:val="20"/>
                <w:color w:val="auto"/>
              </w:rPr>
            </w:pPr>
            <w:r>
              <w:rPr>
                <w:rFonts w:ascii="Arial" w:cs="Arial" w:eastAsia="Arial" w:hAnsi="Arial"/>
                <w:sz w:val="20"/>
                <w:szCs w:val="20"/>
                <w:color w:val="auto"/>
              </w:rPr>
              <w:t>Common stock dividends and</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(334)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(334)</w:t>
            </w:r>
          </w:p>
        </w:tc>
        <w:tc>
          <w:tcPr>
            <w:tcW w:w="0" w:type="dxa"/>
            <w:vAlign w:val="bottom"/>
          </w:tcPr>
          <w:p>
            <w:pPr>
              <w:spacing w:after="0"/>
              <w:rPr>
                <w:sz w:val="1"/>
                <w:szCs w:val="1"/>
                <w:color w:val="auto"/>
              </w:rPr>
            </w:pPr>
          </w:p>
        </w:tc>
      </w:tr>
      <w:tr>
        <w:trPr>
          <w:trHeight w:val="297"/>
        </w:trPr>
        <w:tc>
          <w:tcPr>
            <w:tcW w:w="3200" w:type="dxa"/>
            <w:vAlign w:val="bottom"/>
          </w:tcPr>
          <w:p>
            <w:pPr>
              <w:jc w:val="right"/>
              <w:spacing w:after="0"/>
              <w:rPr>
                <w:sz w:val="20"/>
                <w:szCs w:val="20"/>
                <w:color w:val="auto"/>
              </w:rPr>
            </w:pPr>
            <w:r>
              <w:rPr>
                <w:rFonts w:ascii="Arial" w:cs="Arial" w:eastAsia="Arial" w:hAnsi="Arial"/>
                <w:sz w:val="20"/>
                <w:szCs w:val="20"/>
                <w:color w:val="auto"/>
                <w:w w:val="95"/>
              </w:rPr>
              <w:t>dividend equivalents declared</w:t>
            </w:r>
            <w:r>
              <w:rPr>
                <w:rFonts w:ascii="Arial" w:cs="Arial" w:eastAsia="Arial" w:hAnsi="Arial"/>
                <w:sz w:val="25"/>
                <w:szCs w:val="25"/>
                <w:color w:val="auto"/>
                <w:w w:val="95"/>
                <w:vertAlign w:val="superscript"/>
              </w:rPr>
              <w:t>(b)</w:t>
            </w:r>
            <w:r>
              <w:rPr>
                <w:rFonts w:ascii="Arial" w:cs="Arial" w:eastAsia="Arial" w:hAnsi="Arial"/>
                <w:sz w:val="20"/>
                <w:szCs w:val="20"/>
                <w:color w:val="auto"/>
                <w:w w:val="95"/>
              </w:rPr>
              <w:t xml:space="preserve"> </w:t>
            </w:r>
            <w:r>
              <w:rPr>
                <w:rFonts w:ascii="Arial" w:cs="Arial" w:eastAsia="Arial" w:hAnsi="Arial"/>
                <w:sz w:val="20"/>
                <w:szCs w:val="20"/>
                <w:color w:val="B4B4B4"/>
                <w:w w:val="95"/>
              </w:rPr>
              <w:t>. . . .</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200" w:type="dxa"/>
            <w:vAlign w:val="bottom"/>
          </w:tcPr>
          <w:p>
            <w:pPr>
              <w:jc w:val="right"/>
              <w:spacing w:after="0"/>
              <w:rPr>
                <w:sz w:val="20"/>
                <w:szCs w:val="20"/>
                <w:color w:val="auto"/>
              </w:rPr>
            </w:pPr>
            <w:r>
              <w:rPr>
                <w:rFonts w:ascii="Arial" w:cs="Arial" w:eastAsia="Arial" w:hAnsi="Arial"/>
                <w:sz w:val="20"/>
                <w:szCs w:val="20"/>
                <w:color w:val="auto"/>
                <w:w w:val="96"/>
              </w:rPr>
              <w:t xml:space="preserve">Adoption of ASU 2020-06 </w:t>
            </w:r>
            <w:r>
              <w:rPr>
                <w:rFonts w:ascii="Arial" w:cs="Arial" w:eastAsia="Arial" w:hAnsi="Arial"/>
                <w:sz w:val="20"/>
                <w:szCs w:val="20"/>
                <w:color w:val="B4B4B4"/>
                <w:w w:val="96"/>
              </w:rPr>
              <w:t>. . . . . . . . .</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75"/>
        </w:trPr>
        <w:tc>
          <w:tcPr>
            <w:tcW w:w="320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Balance at December 31, 2022 </w:t>
            </w:r>
            <w:r>
              <w:rPr>
                <w:rFonts w:ascii="Arial" w:cs="Arial" w:eastAsia="Arial" w:hAnsi="Arial"/>
                <w:sz w:val="20"/>
                <w:szCs w:val="20"/>
                <w:b w:val="1"/>
                <w:bCs w:val="1"/>
                <w:color w:val="B4B4B4"/>
                <w:w w:val="89"/>
              </w:rPr>
              <w:t>. . . . . .</w:t>
            </w:r>
          </w:p>
        </w:tc>
        <w:tc>
          <w:tcPr>
            <w:tcW w:w="180" w:type="dxa"/>
            <w:vAlign w:val="bottom"/>
          </w:tcPr>
          <w:p>
            <w:pPr>
              <w:ind w:left="60"/>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tcPr>
          <w:p>
            <w:pPr>
              <w:ind w:left="120"/>
              <w:spacing w:after="0"/>
              <w:rPr>
                <w:sz w:val="20"/>
                <w:szCs w:val="20"/>
                <w:color w:val="auto"/>
              </w:rPr>
            </w:pPr>
            <w:r>
              <w:rPr>
                <w:rFonts w:ascii="Arial" w:cs="Arial" w:eastAsia="Arial" w:hAnsi="Arial"/>
                <w:sz w:val="20"/>
                <w:szCs w:val="20"/>
                <w:color w:val="auto"/>
                <w:w w:val="89"/>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4</w:t>
            </w:r>
          </w:p>
        </w:tc>
        <w:tc>
          <w:tcPr>
            <w:tcW w:w="240" w:type="dxa"/>
            <w:vAlign w:val="bottom"/>
            <w:gridSpan w:val="2"/>
          </w:tcPr>
          <w:p>
            <w:pPr>
              <w:ind w:left="140"/>
              <w:spacing w:after="0"/>
              <w:rPr>
                <w:sz w:val="20"/>
                <w:szCs w:val="20"/>
                <w:color w:val="auto"/>
              </w:rPr>
            </w:pPr>
            <w:r>
              <w:rPr>
                <w:rFonts w:ascii="Arial" w:cs="Arial" w:eastAsia="Arial" w:hAnsi="Arial"/>
                <w:sz w:val="20"/>
                <w:szCs w:val="20"/>
                <w:color w:val="auto"/>
                <w:w w:val="71"/>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8,457</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1,408</w:t>
            </w:r>
          </w:p>
        </w:tc>
        <w:tc>
          <w:tcPr>
            <w:tcW w:w="240" w:type="dxa"/>
            <w:vAlign w:val="bottom"/>
            <w:gridSpan w:val="2"/>
          </w:tcPr>
          <w:p>
            <w:pPr>
              <w:ind w:left="120"/>
              <w:spacing w:after="0"/>
              <w:rPr>
                <w:sz w:val="20"/>
                <w:szCs w:val="20"/>
                <w:color w:val="auto"/>
              </w:rPr>
            </w:pPr>
            <w:r>
              <w:rPr>
                <w:rFonts w:ascii="Arial" w:cs="Arial" w:eastAsia="Arial" w:hAnsi="Arial"/>
                <w:sz w:val="20"/>
                <w:szCs w:val="20"/>
                <w:color w:val="auto"/>
                <w:w w:val="89"/>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88"/>
              </w:rPr>
              <w:t>(5,864)</w:t>
            </w:r>
          </w:p>
        </w:tc>
        <w:tc>
          <w:tcPr>
            <w:tcW w:w="34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(177)</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3,828</w:t>
            </w:r>
          </w:p>
        </w:tc>
        <w:tc>
          <w:tcPr>
            <w:tcW w:w="0" w:type="dxa"/>
            <w:vAlign w:val="bottom"/>
          </w:tcPr>
          <w:p>
            <w:pPr>
              <w:spacing w:after="0"/>
              <w:rPr>
                <w:sz w:val="1"/>
                <w:szCs w:val="1"/>
                <w:color w:val="auto"/>
              </w:rPr>
            </w:pPr>
          </w:p>
        </w:tc>
      </w:tr>
      <w:tr>
        <w:trPr>
          <w:trHeight w:val="297"/>
        </w:trPr>
        <w:tc>
          <w:tcPr>
            <w:tcW w:w="3200" w:type="dxa"/>
            <w:vAlign w:val="bottom"/>
          </w:tcPr>
          <w:p>
            <w:pPr>
              <w:jc w:val="right"/>
              <w:spacing w:after="0"/>
              <w:rPr>
                <w:sz w:val="20"/>
                <w:szCs w:val="20"/>
                <w:color w:val="auto"/>
              </w:rPr>
            </w:pPr>
            <w:r>
              <w:rPr>
                <w:rFonts w:ascii="Arial" w:cs="Arial" w:eastAsia="Arial" w:hAnsi="Arial"/>
                <w:sz w:val="20"/>
                <w:szCs w:val="20"/>
                <w:color w:val="auto"/>
                <w:w w:val="94"/>
              </w:rPr>
              <w:t xml:space="preserve">Net loss  </w:t>
            </w:r>
            <w:r>
              <w:rPr>
                <w:rFonts w:ascii="Arial" w:cs="Arial" w:eastAsia="Arial" w:hAnsi="Arial"/>
                <w:sz w:val="20"/>
                <w:szCs w:val="20"/>
                <w:color w:val="B4B4B4"/>
                <w:w w:val="94"/>
              </w:rPr>
              <w:t>. . . . . . . . . . . . . . . . . . . . . . .</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(202)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(202)</w:t>
            </w:r>
          </w:p>
        </w:tc>
        <w:tc>
          <w:tcPr>
            <w:tcW w:w="0" w:type="dxa"/>
            <w:vAlign w:val="bottom"/>
          </w:tcPr>
          <w:p>
            <w:pPr>
              <w:spacing w:after="0"/>
              <w:rPr>
                <w:sz w:val="1"/>
                <w:szCs w:val="1"/>
                <w:color w:val="auto"/>
              </w:rPr>
            </w:pPr>
          </w:p>
        </w:tc>
      </w:tr>
      <w:tr>
        <w:trPr>
          <w:trHeight w:val="297"/>
        </w:trPr>
        <w:tc>
          <w:tcPr>
            <w:tcW w:w="3200" w:type="dxa"/>
            <w:vAlign w:val="bottom"/>
          </w:tcPr>
          <w:p>
            <w:pPr>
              <w:jc w:val="right"/>
              <w:spacing w:after="0"/>
              <w:rPr>
                <w:sz w:val="20"/>
                <w:szCs w:val="20"/>
                <w:color w:val="auto"/>
              </w:rPr>
            </w:pPr>
            <w:r>
              <w:rPr>
                <w:rFonts w:ascii="Arial" w:cs="Arial" w:eastAsia="Arial" w:hAnsi="Arial"/>
                <w:sz w:val="20"/>
                <w:szCs w:val="20"/>
                <w:color w:val="auto"/>
                <w:w w:val="92"/>
              </w:rPr>
              <w:t xml:space="preserve">Issuance of Series A Preferred Stock </w:t>
            </w:r>
            <w:r>
              <w:rPr>
                <w:rFonts w:ascii="Arial" w:cs="Arial" w:eastAsia="Arial" w:hAnsi="Arial"/>
                <w:sz w:val="20"/>
                <w:szCs w:val="20"/>
                <w:color w:val="B4B4B4"/>
                <w:w w:val="92"/>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650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635</w:t>
            </w:r>
          </w:p>
        </w:tc>
        <w:tc>
          <w:tcPr>
            <w:tcW w:w="0" w:type="dxa"/>
            <w:vAlign w:val="bottom"/>
          </w:tcPr>
          <w:p>
            <w:pPr>
              <w:spacing w:after="0"/>
              <w:rPr>
                <w:sz w:val="1"/>
                <w:szCs w:val="1"/>
                <w:color w:val="auto"/>
              </w:rPr>
            </w:pPr>
          </w:p>
        </w:tc>
      </w:tr>
      <w:tr>
        <w:trPr>
          <w:trHeight w:val="297"/>
        </w:trPr>
        <w:tc>
          <w:tcPr>
            <w:tcW w:w="3200" w:type="dxa"/>
            <w:vAlign w:val="bottom"/>
          </w:tcPr>
          <w:p>
            <w:pPr>
              <w:jc w:val="right"/>
              <w:spacing w:after="0"/>
              <w:rPr>
                <w:sz w:val="20"/>
                <w:szCs w:val="20"/>
                <w:color w:val="auto"/>
              </w:rPr>
            </w:pPr>
            <w:r>
              <w:rPr>
                <w:rFonts w:ascii="Arial" w:cs="Arial" w:eastAsia="Arial" w:hAnsi="Arial"/>
                <w:sz w:val="20"/>
                <w:szCs w:val="20"/>
                <w:color w:val="auto"/>
                <w:w w:val="93"/>
              </w:rPr>
              <w:t xml:space="preserve">Other comprehensive income  </w:t>
            </w:r>
            <w:r>
              <w:rPr>
                <w:rFonts w:ascii="Arial" w:cs="Arial" w:eastAsia="Arial" w:hAnsi="Arial"/>
                <w:sz w:val="20"/>
                <w:szCs w:val="20"/>
                <w:color w:val="B4B4B4"/>
                <w:w w:val="93"/>
              </w:rPr>
              <w:t>. . . . . .</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97"/>
        </w:trPr>
        <w:tc>
          <w:tcPr>
            <w:tcW w:w="3200" w:type="dxa"/>
            <w:vAlign w:val="bottom"/>
          </w:tcPr>
          <w:p>
            <w:pPr>
              <w:jc w:val="right"/>
              <w:spacing w:after="0"/>
              <w:rPr>
                <w:sz w:val="20"/>
                <w:szCs w:val="20"/>
                <w:color w:val="auto"/>
              </w:rPr>
            </w:pPr>
            <w:r>
              <w:rPr>
                <w:rFonts w:ascii="Arial" w:cs="Arial" w:eastAsia="Arial" w:hAnsi="Arial"/>
                <w:sz w:val="20"/>
                <w:szCs w:val="20"/>
                <w:color w:val="auto"/>
                <w:w w:val="91"/>
              </w:rPr>
              <w:t xml:space="preserve">Shares reissuance for ESPP </w:t>
            </w:r>
            <w:r>
              <w:rPr>
                <w:rFonts w:ascii="Arial" w:cs="Arial" w:eastAsia="Arial" w:hAnsi="Arial"/>
                <w:sz w:val="20"/>
                <w:szCs w:val="20"/>
                <w:color w:val="B4B4B4"/>
                <w:w w:val="91"/>
              </w:rPr>
              <w:t>. . . . . . . .</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317"/>
        </w:trPr>
        <w:tc>
          <w:tcPr>
            <w:tcW w:w="3200" w:type="dxa"/>
            <w:vAlign w:val="bottom"/>
          </w:tcPr>
          <w:p>
            <w:pPr>
              <w:jc w:val="right"/>
              <w:spacing w:after="0"/>
              <w:rPr>
                <w:sz w:val="20"/>
                <w:szCs w:val="20"/>
                <w:color w:val="auto"/>
              </w:rPr>
            </w:pPr>
            <w:r>
              <w:rPr>
                <w:rFonts w:ascii="Arial" w:cs="Arial" w:eastAsia="Arial" w:hAnsi="Arial"/>
                <w:sz w:val="20"/>
                <w:szCs w:val="20"/>
                <w:color w:val="auto"/>
                <w:w w:val="89"/>
              </w:rPr>
              <w:t>Share repurchases</w:t>
            </w:r>
            <w:r>
              <w:rPr>
                <w:rFonts w:ascii="Arial" w:cs="Arial" w:eastAsia="Arial" w:hAnsi="Arial"/>
                <w:sz w:val="25"/>
                <w:szCs w:val="25"/>
                <w:color w:val="auto"/>
                <w:w w:val="89"/>
                <w:vertAlign w:val="superscript"/>
              </w:rPr>
              <w:t>(c)</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(117)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w w:val="88"/>
              </w:rPr>
              <w:t>(1,043)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w w:val="97"/>
              </w:rPr>
              <w:t>(1,160)</w:t>
            </w:r>
          </w:p>
        </w:tc>
        <w:tc>
          <w:tcPr>
            <w:tcW w:w="0" w:type="dxa"/>
            <w:vAlign w:val="bottom"/>
          </w:tcPr>
          <w:p>
            <w:pPr>
              <w:spacing w:after="0"/>
              <w:rPr>
                <w:sz w:val="1"/>
                <w:szCs w:val="1"/>
                <w:color w:val="auto"/>
              </w:rPr>
            </w:pPr>
          </w:p>
        </w:tc>
      </w:tr>
      <w:tr>
        <w:trPr>
          <w:trHeight w:val="297"/>
        </w:trPr>
        <w:tc>
          <w:tcPr>
            <w:tcW w:w="3200" w:type="dxa"/>
            <w:vAlign w:val="bottom"/>
          </w:tcPr>
          <w:p>
            <w:pPr>
              <w:jc w:val="right"/>
              <w:spacing w:after="0"/>
              <w:rPr>
                <w:sz w:val="20"/>
                <w:szCs w:val="20"/>
                <w:color w:val="auto"/>
              </w:rPr>
            </w:pPr>
            <w:r>
              <w:rPr>
                <w:rFonts w:ascii="Arial" w:cs="Arial" w:eastAsia="Arial" w:hAnsi="Arial"/>
                <w:sz w:val="20"/>
                <w:szCs w:val="20"/>
                <w:color w:val="auto"/>
                <w:w w:val="93"/>
              </w:rPr>
              <w:t>Retirement of treasury stock</w:t>
            </w:r>
            <w:r>
              <w:rPr>
                <w:rFonts w:ascii="Arial" w:cs="Arial" w:eastAsia="Arial" w:hAnsi="Arial"/>
                <w:sz w:val="25"/>
                <w:szCs w:val="25"/>
                <w:color w:val="auto"/>
                <w:w w:val="93"/>
                <w:vertAlign w:val="superscript"/>
              </w:rPr>
              <w:t>(d)</w:t>
            </w:r>
            <w:r>
              <w:rPr>
                <w:rFonts w:ascii="Arial" w:cs="Arial" w:eastAsia="Arial" w:hAnsi="Arial"/>
                <w:sz w:val="20"/>
                <w:szCs w:val="20"/>
                <w:color w:val="auto"/>
                <w:w w:val="93"/>
              </w:rPr>
              <w:t xml:space="preserve"> </w:t>
            </w:r>
            <w:r>
              <w:rPr>
                <w:rFonts w:ascii="Arial" w:cs="Arial" w:eastAsia="Arial" w:hAnsi="Arial"/>
                <w:sz w:val="20"/>
                <w:szCs w:val="20"/>
                <w:color w:val="B4B4B4"/>
                <w:w w:val="93"/>
              </w:rPr>
              <w:t>. . . . . .</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(5,008)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w w:val="99"/>
              </w:rPr>
              <w:t>5,009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11"/>
        </w:trPr>
        <w:tc>
          <w:tcPr>
            <w:tcW w:w="3200" w:type="dxa"/>
            <w:vAlign w:val="bottom"/>
          </w:tcPr>
          <w:p>
            <w:pPr>
              <w:jc w:val="right"/>
              <w:spacing w:after="0"/>
              <w:rPr>
                <w:sz w:val="20"/>
                <w:szCs w:val="20"/>
                <w:color w:val="auto"/>
              </w:rPr>
            </w:pPr>
            <w:r>
              <w:rPr>
                <w:rFonts w:ascii="Arial" w:cs="Arial" w:eastAsia="Arial" w:hAnsi="Arial"/>
                <w:sz w:val="20"/>
                <w:szCs w:val="20"/>
                <w:color w:val="auto"/>
                <w:w w:val="92"/>
              </w:rPr>
              <w:t>Equity-based awards activity, net</w:t>
            </w:r>
            <w:r>
              <w:rPr>
                <w:rFonts w:ascii="Arial" w:cs="Arial" w:eastAsia="Arial" w:hAnsi="Arial"/>
                <w:sz w:val="25"/>
                <w:szCs w:val="25"/>
                <w:color w:val="auto"/>
                <w:w w:val="92"/>
                <w:vertAlign w:val="superscript"/>
              </w:rPr>
              <w:t>(a)</w:t>
            </w:r>
            <w:r>
              <w:rPr>
                <w:rFonts w:ascii="Arial" w:cs="Arial" w:eastAsia="Arial" w:hAnsi="Arial"/>
                <w:sz w:val="20"/>
                <w:szCs w:val="20"/>
                <w:color w:val="auto"/>
                <w:w w:val="92"/>
              </w:rPr>
              <w:t xml:space="preserve">  </w:t>
            </w:r>
            <w:r>
              <w:rPr>
                <w:rFonts w:ascii="Arial" w:cs="Arial" w:eastAsia="Arial" w:hAnsi="Arial"/>
                <w:sz w:val="20"/>
                <w:szCs w:val="20"/>
                <w:color w:val="B4B4B4"/>
                <w:w w:val="92"/>
              </w:rPr>
              <w:t>. .</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97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97</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line="199" w:lineRule="exact"/>
              <w:rPr>
                <w:sz w:val="20"/>
                <w:szCs w:val="20"/>
                <w:color w:val="auto"/>
              </w:rPr>
            </w:pPr>
            <w:r>
              <w:rPr>
                <w:rFonts w:ascii="Arial" w:cs="Arial" w:eastAsia="Arial" w:hAnsi="Arial"/>
                <w:sz w:val="20"/>
                <w:szCs w:val="20"/>
                <w:color w:val="auto"/>
              </w:rPr>
              <w:t>Common stock dividends and</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(352)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(352)</w:t>
            </w:r>
          </w:p>
        </w:tc>
        <w:tc>
          <w:tcPr>
            <w:tcW w:w="0" w:type="dxa"/>
            <w:vAlign w:val="bottom"/>
          </w:tcPr>
          <w:p>
            <w:pPr>
              <w:spacing w:after="0"/>
              <w:rPr>
                <w:sz w:val="1"/>
                <w:szCs w:val="1"/>
                <w:color w:val="auto"/>
              </w:rPr>
            </w:pPr>
          </w:p>
        </w:tc>
      </w:tr>
      <w:tr>
        <w:trPr>
          <w:trHeight w:val="278"/>
        </w:trPr>
        <w:tc>
          <w:tcPr>
            <w:tcW w:w="3200" w:type="dxa"/>
            <w:vAlign w:val="bottom"/>
          </w:tcPr>
          <w:p>
            <w:pPr>
              <w:jc w:val="right"/>
              <w:spacing w:after="0" w:line="278" w:lineRule="exact"/>
              <w:rPr>
                <w:sz w:val="20"/>
                <w:szCs w:val="20"/>
                <w:color w:val="auto"/>
              </w:rPr>
            </w:pPr>
            <w:r>
              <w:rPr>
                <w:rFonts w:ascii="Arial" w:cs="Arial" w:eastAsia="Arial" w:hAnsi="Arial"/>
                <w:sz w:val="20"/>
                <w:szCs w:val="20"/>
                <w:color w:val="auto"/>
                <w:w w:val="95"/>
              </w:rPr>
              <w:t>dividend equivalents declared</w:t>
            </w:r>
            <w:r>
              <w:rPr>
                <w:rFonts w:ascii="Arial" w:cs="Arial" w:eastAsia="Arial" w:hAnsi="Arial"/>
                <w:sz w:val="25"/>
                <w:szCs w:val="25"/>
                <w:color w:val="auto"/>
                <w:w w:val="95"/>
                <w:vertAlign w:val="superscript"/>
              </w:rPr>
              <w:t>(b)</w:t>
            </w:r>
            <w:r>
              <w:rPr>
                <w:rFonts w:ascii="Arial" w:cs="Arial" w:eastAsia="Arial" w:hAnsi="Arial"/>
                <w:sz w:val="20"/>
                <w:szCs w:val="20"/>
                <w:color w:val="auto"/>
                <w:w w:val="95"/>
              </w:rPr>
              <w:t xml:space="preserve"> </w:t>
            </w:r>
            <w:r>
              <w:rPr>
                <w:rFonts w:ascii="Arial" w:cs="Arial" w:eastAsia="Arial" w:hAnsi="Arial"/>
                <w:sz w:val="20"/>
                <w:szCs w:val="20"/>
                <w:color w:val="B4B4B4"/>
                <w:w w:val="95"/>
              </w:rPr>
              <w:t>. . . .</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ind w:left="140"/>
              <w:spacing w:after="0"/>
              <w:rPr>
                <w:sz w:val="20"/>
                <w:szCs w:val="20"/>
                <w:color w:val="auto"/>
              </w:rPr>
            </w:pPr>
            <w:r>
              <w:rPr>
                <w:rFonts w:ascii="Arial" w:cs="Arial" w:eastAsia="Arial" w:hAnsi="Arial"/>
                <w:sz w:val="20"/>
                <w:szCs w:val="20"/>
                <w:color w:val="auto"/>
                <w:w w:val="91"/>
              </w:rPr>
              <w:t>Series A Preferred Stock dividends</w:t>
            </w:r>
            <w:r>
              <w:rPr>
                <w:rFonts w:ascii="Arial" w:cs="Arial" w:eastAsia="Arial" w:hAnsi="Arial"/>
                <w:sz w:val="25"/>
                <w:szCs w:val="25"/>
                <w:color w:val="auto"/>
                <w:w w:val="91"/>
                <w:vertAlign w:val="superscript"/>
              </w:rPr>
              <w:t>(e)</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line="199" w:lineRule="exact"/>
              <w:rPr>
                <w:sz w:val="20"/>
                <w:szCs w:val="20"/>
                <w:color w:val="auto"/>
              </w:rPr>
            </w:pPr>
            <w:r>
              <w:rPr>
                <w:rFonts w:ascii="Arial" w:cs="Arial" w:eastAsia="Arial" w:hAnsi="Arial"/>
                <w:sz w:val="20"/>
                <w:szCs w:val="20"/>
                <w:color w:val="auto"/>
              </w:rPr>
              <w:t>Sale of the 44% equity interest in</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47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60"/>
        </w:trPr>
        <w:tc>
          <w:tcPr>
            <w:tcW w:w="3200" w:type="dxa"/>
            <w:vAlign w:val="bottom"/>
          </w:tcPr>
          <w:p>
            <w:pPr>
              <w:jc w:val="right"/>
              <w:spacing w:after="0"/>
              <w:rPr>
                <w:sz w:val="20"/>
                <w:szCs w:val="20"/>
                <w:color w:val="auto"/>
              </w:rPr>
            </w:pPr>
            <w:r>
              <w:rPr>
                <w:rFonts w:ascii="Arial" w:cs="Arial" w:eastAsia="Arial" w:hAnsi="Arial"/>
                <w:sz w:val="20"/>
                <w:szCs w:val="20"/>
                <w:color w:val="auto"/>
                <w:w w:val="95"/>
              </w:rPr>
              <w:t xml:space="preserve">STP </w:t>
            </w:r>
            <w:r>
              <w:rPr>
                <w:rFonts w:ascii="Arial" w:cs="Arial" w:eastAsia="Arial" w:hAnsi="Arial"/>
                <w:sz w:val="20"/>
                <w:szCs w:val="20"/>
                <w:color w:val="B4B4B4"/>
                <w:w w:val="95"/>
              </w:rPr>
              <w:t>. . . . . . . . . . . . . . . . . . . . . . . . . .</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20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Balance at December 31, 2023 </w:t>
            </w:r>
            <w:r>
              <w:rPr>
                <w:rFonts w:ascii="Arial" w:cs="Arial" w:eastAsia="Arial" w:hAnsi="Arial"/>
                <w:sz w:val="20"/>
                <w:szCs w:val="20"/>
                <w:b w:val="1"/>
                <w:bCs w:val="1"/>
                <w:color w:val="B4B4B4"/>
                <w:w w:val="89"/>
              </w:rPr>
              <w:t>. . . . . .</w:t>
            </w:r>
          </w:p>
        </w:tc>
        <w:tc>
          <w:tcPr>
            <w:tcW w:w="180" w:type="dxa"/>
            <w:vAlign w:val="bottom"/>
          </w:tcPr>
          <w:p>
            <w:pPr>
              <w:ind w:left="60"/>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650</w:t>
            </w:r>
          </w:p>
        </w:tc>
        <w:tc>
          <w:tcPr>
            <w:tcW w:w="240" w:type="dxa"/>
            <w:vAlign w:val="bottom"/>
            <w:gridSpan w:val="2"/>
          </w:tcPr>
          <w:p>
            <w:pPr>
              <w:ind w:left="120"/>
              <w:spacing w:after="0"/>
              <w:rPr>
                <w:sz w:val="20"/>
                <w:szCs w:val="20"/>
                <w:color w:val="auto"/>
              </w:rPr>
            </w:pPr>
            <w:r>
              <w:rPr>
                <w:rFonts w:ascii="Arial" w:cs="Arial" w:eastAsia="Arial" w:hAnsi="Arial"/>
                <w:sz w:val="20"/>
                <w:szCs w:val="20"/>
                <w:color w:val="auto"/>
                <w:w w:val="89"/>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3</w:t>
            </w:r>
          </w:p>
        </w:tc>
        <w:tc>
          <w:tcPr>
            <w:tcW w:w="240" w:type="dxa"/>
            <w:vAlign w:val="bottom"/>
            <w:gridSpan w:val="2"/>
          </w:tcPr>
          <w:p>
            <w:pPr>
              <w:ind w:left="140"/>
              <w:spacing w:after="0"/>
              <w:rPr>
                <w:sz w:val="20"/>
                <w:szCs w:val="20"/>
                <w:color w:val="auto"/>
              </w:rPr>
            </w:pPr>
            <w:r>
              <w:rPr>
                <w:rFonts w:ascii="Arial" w:cs="Arial" w:eastAsia="Arial" w:hAnsi="Arial"/>
                <w:sz w:val="20"/>
                <w:szCs w:val="20"/>
                <w:color w:val="auto"/>
                <w:w w:val="71"/>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3,416</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820</w:t>
            </w:r>
          </w:p>
        </w:tc>
        <w:tc>
          <w:tcPr>
            <w:tcW w:w="240" w:type="dxa"/>
            <w:vAlign w:val="bottom"/>
            <w:gridSpan w:val="2"/>
          </w:tcPr>
          <w:p>
            <w:pPr>
              <w:ind w:left="120"/>
              <w:spacing w:after="0"/>
              <w:rPr>
                <w:sz w:val="20"/>
                <w:szCs w:val="20"/>
                <w:color w:val="auto"/>
              </w:rPr>
            </w:pPr>
            <w:r>
              <w:rPr>
                <w:rFonts w:ascii="Arial" w:cs="Arial" w:eastAsia="Arial" w:hAnsi="Arial"/>
                <w:sz w:val="20"/>
                <w:szCs w:val="20"/>
                <w:color w:val="auto"/>
                <w:w w:val="89"/>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88"/>
              </w:rPr>
              <w:t>(1,892)</w:t>
            </w:r>
          </w:p>
        </w:tc>
        <w:tc>
          <w:tcPr>
            <w:tcW w:w="34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(91)</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2,906</w:t>
            </w:r>
          </w:p>
        </w:tc>
        <w:tc>
          <w:tcPr>
            <w:tcW w:w="0" w:type="dxa"/>
            <w:vAlign w:val="bottom"/>
          </w:tcPr>
          <w:p>
            <w:pPr>
              <w:spacing w:after="0"/>
              <w:rPr>
                <w:sz w:val="1"/>
                <w:szCs w:val="1"/>
                <w:color w:val="auto"/>
              </w:rPr>
            </w:pPr>
          </w:p>
        </w:tc>
      </w:tr>
      <w:tr>
        <w:trPr>
          <w:trHeight w:val="297"/>
        </w:trPr>
        <w:tc>
          <w:tcPr>
            <w:tcW w:w="3200" w:type="dxa"/>
            <w:vAlign w:val="bottom"/>
          </w:tcPr>
          <w:p>
            <w:pPr>
              <w:jc w:val="right"/>
              <w:spacing w:after="0"/>
              <w:rPr>
                <w:sz w:val="20"/>
                <w:szCs w:val="20"/>
                <w:color w:val="auto"/>
              </w:rPr>
            </w:pPr>
            <w:r>
              <w:rPr>
                <w:rFonts w:ascii="Arial" w:cs="Arial" w:eastAsia="Arial" w:hAnsi="Arial"/>
                <w:sz w:val="20"/>
                <w:szCs w:val="20"/>
                <w:color w:val="auto"/>
                <w:w w:val="93"/>
              </w:rPr>
              <w:t xml:space="preserve">Net income </w:t>
            </w:r>
            <w:r>
              <w:rPr>
                <w:rFonts w:ascii="Arial" w:cs="Arial" w:eastAsia="Arial" w:hAnsi="Arial"/>
                <w:sz w:val="20"/>
                <w:szCs w:val="20"/>
                <w:color w:val="B4B4B4"/>
                <w:w w:val="93"/>
              </w:rPr>
              <w:t>. . . . . . . . . . . . . . . . . . . . .</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1,125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1,125</w:t>
            </w:r>
          </w:p>
        </w:tc>
        <w:tc>
          <w:tcPr>
            <w:tcW w:w="0" w:type="dxa"/>
            <w:vAlign w:val="bottom"/>
          </w:tcPr>
          <w:p>
            <w:pPr>
              <w:spacing w:after="0"/>
              <w:rPr>
                <w:sz w:val="1"/>
                <w:szCs w:val="1"/>
                <w:color w:val="auto"/>
              </w:rPr>
            </w:pPr>
          </w:p>
        </w:tc>
      </w:tr>
      <w:tr>
        <w:trPr>
          <w:trHeight w:val="297"/>
        </w:trPr>
        <w:tc>
          <w:tcPr>
            <w:tcW w:w="3200" w:type="dxa"/>
            <w:vAlign w:val="bottom"/>
          </w:tcPr>
          <w:p>
            <w:pPr>
              <w:jc w:val="right"/>
              <w:spacing w:after="0"/>
              <w:rPr>
                <w:sz w:val="20"/>
                <w:szCs w:val="20"/>
                <w:color w:val="auto"/>
              </w:rPr>
            </w:pPr>
            <w:r>
              <w:rPr>
                <w:rFonts w:ascii="Arial" w:cs="Arial" w:eastAsia="Arial" w:hAnsi="Arial"/>
                <w:sz w:val="20"/>
                <w:szCs w:val="20"/>
                <w:color w:val="auto"/>
                <w:w w:val="93"/>
              </w:rPr>
              <w:t xml:space="preserve">Other comprehensive loss </w:t>
            </w:r>
            <w:r>
              <w:rPr>
                <w:rFonts w:ascii="Arial" w:cs="Arial" w:eastAsia="Arial" w:hAnsi="Arial"/>
                <w:sz w:val="20"/>
                <w:szCs w:val="20"/>
                <w:color w:val="B4B4B4"/>
                <w:w w:val="93"/>
              </w:rPr>
              <w:t>. . . . . . . . .</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97"/>
        </w:trPr>
        <w:tc>
          <w:tcPr>
            <w:tcW w:w="3200" w:type="dxa"/>
            <w:vAlign w:val="bottom"/>
          </w:tcPr>
          <w:p>
            <w:pPr>
              <w:jc w:val="right"/>
              <w:spacing w:after="0"/>
              <w:rPr>
                <w:sz w:val="20"/>
                <w:szCs w:val="20"/>
                <w:color w:val="auto"/>
              </w:rPr>
            </w:pPr>
            <w:r>
              <w:rPr>
                <w:rFonts w:ascii="Arial" w:cs="Arial" w:eastAsia="Arial" w:hAnsi="Arial"/>
                <w:sz w:val="20"/>
                <w:szCs w:val="20"/>
                <w:color w:val="auto"/>
                <w:w w:val="91"/>
              </w:rPr>
              <w:t xml:space="preserve">Shares reissuance for ESPP </w:t>
            </w:r>
            <w:r>
              <w:rPr>
                <w:rFonts w:ascii="Arial" w:cs="Arial" w:eastAsia="Arial" w:hAnsi="Arial"/>
                <w:sz w:val="20"/>
                <w:szCs w:val="20"/>
                <w:color w:val="B4B4B4"/>
                <w:w w:val="91"/>
              </w:rPr>
              <w:t>. . . . . . . .</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317"/>
        </w:trPr>
        <w:tc>
          <w:tcPr>
            <w:tcW w:w="3200" w:type="dxa"/>
            <w:vAlign w:val="bottom"/>
          </w:tcPr>
          <w:p>
            <w:pPr>
              <w:jc w:val="right"/>
              <w:spacing w:after="0"/>
              <w:rPr>
                <w:sz w:val="20"/>
                <w:szCs w:val="20"/>
                <w:color w:val="auto"/>
              </w:rPr>
            </w:pPr>
            <w:r>
              <w:rPr>
                <w:rFonts w:ascii="Arial" w:cs="Arial" w:eastAsia="Arial" w:hAnsi="Arial"/>
                <w:sz w:val="20"/>
                <w:szCs w:val="20"/>
                <w:color w:val="auto"/>
                <w:w w:val="89"/>
              </w:rPr>
              <w:t>Share repurchases</w:t>
            </w:r>
            <w:r>
              <w:rPr>
                <w:rFonts w:ascii="Arial" w:cs="Arial" w:eastAsia="Arial" w:hAnsi="Arial"/>
                <w:sz w:val="25"/>
                <w:szCs w:val="25"/>
                <w:color w:val="auto"/>
                <w:w w:val="89"/>
                <w:vertAlign w:val="superscript"/>
              </w:rPr>
              <w:t>(c)</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117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w w:val="88"/>
              </w:rPr>
              <w:t>(1,051)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(934)</w:t>
            </w:r>
          </w:p>
        </w:tc>
        <w:tc>
          <w:tcPr>
            <w:tcW w:w="0" w:type="dxa"/>
            <w:vAlign w:val="bottom"/>
          </w:tcPr>
          <w:p>
            <w:pPr>
              <w:spacing w:after="0"/>
              <w:rPr>
                <w:sz w:val="1"/>
                <w:szCs w:val="1"/>
                <w:color w:val="auto"/>
              </w:rPr>
            </w:pPr>
          </w:p>
        </w:tc>
      </w:tr>
      <w:tr>
        <w:trPr>
          <w:trHeight w:val="297"/>
        </w:trPr>
        <w:tc>
          <w:tcPr>
            <w:tcW w:w="3200" w:type="dxa"/>
            <w:vAlign w:val="bottom"/>
          </w:tcPr>
          <w:p>
            <w:pPr>
              <w:jc w:val="right"/>
              <w:spacing w:after="0"/>
              <w:rPr>
                <w:sz w:val="20"/>
                <w:szCs w:val="20"/>
                <w:color w:val="auto"/>
              </w:rPr>
            </w:pPr>
            <w:r>
              <w:rPr>
                <w:rFonts w:ascii="Arial" w:cs="Arial" w:eastAsia="Arial" w:hAnsi="Arial"/>
                <w:sz w:val="20"/>
                <w:szCs w:val="20"/>
                <w:color w:val="auto"/>
                <w:w w:val="93"/>
              </w:rPr>
              <w:t>Retirement of treasury stock</w:t>
            </w:r>
            <w:r>
              <w:rPr>
                <w:rFonts w:ascii="Arial" w:cs="Arial" w:eastAsia="Arial" w:hAnsi="Arial"/>
                <w:sz w:val="25"/>
                <w:szCs w:val="25"/>
                <w:color w:val="auto"/>
                <w:w w:val="93"/>
                <w:vertAlign w:val="superscript"/>
              </w:rPr>
              <w:t>(d)</w:t>
            </w:r>
            <w:r>
              <w:rPr>
                <w:rFonts w:ascii="Arial" w:cs="Arial" w:eastAsia="Arial" w:hAnsi="Arial"/>
                <w:sz w:val="20"/>
                <w:szCs w:val="20"/>
                <w:color w:val="auto"/>
                <w:w w:val="93"/>
              </w:rPr>
              <w:t xml:space="preserve"> </w:t>
            </w:r>
            <w:r>
              <w:rPr>
                <w:rFonts w:ascii="Arial" w:cs="Arial" w:eastAsia="Arial" w:hAnsi="Arial"/>
                <w:sz w:val="20"/>
                <w:szCs w:val="20"/>
                <w:color w:val="B4B4B4"/>
                <w:w w:val="93"/>
              </w:rPr>
              <w:t>. . . . . .</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(2,637)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w w:val="99"/>
              </w:rPr>
              <w:t>2,638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11"/>
        </w:trPr>
        <w:tc>
          <w:tcPr>
            <w:tcW w:w="3200" w:type="dxa"/>
            <w:vAlign w:val="bottom"/>
          </w:tcPr>
          <w:p>
            <w:pPr>
              <w:jc w:val="right"/>
              <w:spacing w:after="0"/>
              <w:rPr>
                <w:sz w:val="20"/>
                <w:szCs w:val="20"/>
                <w:color w:val="auto"/>
              </w:rPr>
            </w:pPr>
            <w:r>
              <w:rPr>
                <w:rFonts w:ascii="Arial" w:cs="Arial" w:eastAsia="Arial" w:hAnsi="Arial"/>
                <w:sz w:val="20"/>
                <w:szCs w:val="20"/>
                <w:color w:val="auto"/>
                <w:w w:val="92"/>
              </w:rPr>
              <w:t>Equity-based awards activity, net</w:t>
            </w:r>
            <w:r>
              <w:rPr>
                <w:rFonts w:ascii="Arial" w:cs="Arial" w:eastAsia="Arial" w:hAnsi="Arial"/>
                <w:sz w:val="25"/>
                <w:szCs w:val="25"/>
                <w:color w:val="auto"/>
                <w:w w:val="92"/>
                <w:vertAlign w:val="superscript"/>
              </w:rPr>
              <w:t>(a)</w:t>
            </w:r>
            <w:r>
              <w:rPr>
                <w:rFonts w:ascii="Arial" w:cs="Arial" w:eastAsia="Arial" w:hAnsi="Arial"/>
                <w:sz w:val="20"/>
                <w:szCs w:val="20"/>
                <w:color w:val="auto"/>
                <w:w w:val="92"/>
              </w:rPr>
              <w:t xml:space="preserve">  </w:t>
            </w:r>
            <w:r>
              <w:rPr>
                <w:rFonts w:ascii="Arial" w:cs="Arial" w:eastAsia="Arial" w:hAnsi="Arial"/>
                <w:sz w:val="20"/>
                <w:szCs w:val="20"/>
                <w:color w:val="B4B4B4"/>
                <w:w w:val="92"/>
              </w:rPr>
              <w:t>. .</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57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line="199" w:lineRule="exact"/>
              <w:rPr>
                <w:sz w:val="20"/>
                <w:szCs w:val="20"/>
                <w:color w:val="auto"/>
              </w:rPr>
            </w:pPr>
            <w:r>
              <w:rPr>
                <w:rFonts w:ascii="Arial" w:cs="Arial" w:eastAsia="Arial" w:hAnsi="Arial"/>
                <w:sz w:val="20"/>
                <w:szCs w:val="20"/>
                <w:color w:val="auto"/>
              </w:rPr>
              <w:t>Common stock dividends and</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(343)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(343)</w:t>
            </w:r>
          </w:p>
        </w:tc>
        <w:tc>
          <w:tcPr>
            <w:tcW w:w="0" w:type="dxa"/>
            <w:vAlign w:val="bottom"/>
          </w:tcPr>
          <w:p>
            <w:pPr>
              <w:spacing w:after="0"/>
              <w:rPr>
                <w:sz w:val="1"/>
                <w:szCs w:val="1"/>
                <w:color w:val="auto"/>
              </w:rPr>
            </w:pPr>
          </w:p>
        </w:tc>
      </w:tr>
      <w:tr>
        <w:trPr>
          <w:trHeight w:val="278"/>
        </w:trPr>
        <w:tc>
          <w:tcPr>
            <w:tcW w:w="3200" w:type="dxa"/>
            <w:vAlign w:val="bottom"/>
          </w:tcPr>
          <w:p>
            <w:pPr>
              <w:jc w:val="right"/>
              <w:spacing w:after="0" w:line="278" w:lineRule="exact"/>
              <w:rPr>
                <w:sz w:val="20"/>
                <w:szCs w:val="20"/>
                <w:color w:val="auto"/>
              </w:rPr>
            </w:pPr>
            <w:r>
              <w:rPr>
                <w:rFonts w:ascii="Arial" w:cs="Arial" w:eastAsia="Arial" w:hAnsi="Arial"/>
                <w:sz w:val="20"/>
                <w:szCs w:val="20"/>
                <w:color w:val="auto"/>
                <w:w w:val="95"/>
              </w:rPr>
              <w:t>dividend equivalents declared</w:t>
            </w:r>
            <w:r>
              <w:rPr>
                <w:rFonts w:ascii="Arial" w:cs="Arial" w:eastAsia="Arial" w:hAnsi="Arial"/>
                <w:sz w:val="25"/>
                <w:szCs w:val="25"/>
                <w:color w:val="auto"/>
                <w:w w:val="95"/>
                <w:vertAlign w:val="superscript"/>
              </w:rPr>
              <w:t>(b)</w:t>
            </w:r>
            <w:r>
              <w:rPr>
                <w:rFonts w:ascii="Arial" w:cs="Arial" w:eastAsia="Arial" w:hAnsi="Arial"/>
                <w:sz w:val="20"/>
                <w:szCs w:val="20"/>
                <w:color w:val="auto"/>
                <w:w w:val="95"/>
              </w:rPr>
              <w:t xml:space="preserve"> </w:t>
            </w:r>
            <w:r>
              <w:rPr>
                <w:rFonts w:ascii="Arial" w:cs="Arial" w:eastAsia="Arial" w:hAnsi="Arial"/>
                <w:sz w:val="20"/>
                <w:szCs w:val="20"/>
                <w:color w:val="B4B4B4"/>
                <w:w w:val="95"/>
              </w:rPr>
              <w:t>. . . .</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tcPr>
          <w:p>
            <w:pPr>
              <w:ind w:left="140"/>
              <w:spacing w:after="0"/>
              <w:rPr>
                <w:sz w:val="20"/>
                <w:szCs w:val="20"/>
                <w:color w:val="auto"/>
              </w:rPr>
            </w:pPr>
            <w:r>
              <w:rPr>
                <w:rFonts w:ascii="Arial" w:cs="Arial" w:eastAsia="Arial" w:hAnsi="Arial"/>
                <w:sz w:val="20"/>
                <w:szCs w:val="20"/>
                <w:color w:val="auto"/>
                <w:w w:val="91"/>
              </w:rPr>
              <w:t>Series A Preferred Stock dividends</w:t>
            </w:r>
            <w:r>
              <w:rPr>
                <w:rFonts w:ascii="Arial" w:cs="Arial" w:eastAsia="Arial" w:hAnsi="Arial"/>
                <w:sz w:val="25"/>
                <w:szCs w:val="25"/>
                <w:color w:val="auto"/>
                <w:w w:val="91"/>
                <w:vertAlign w:val="superscript"/>
              </w:rPr>
              <w:t>(e)</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279"/>
        </w:trPr>
        <w:tc>
          <w:tcPr>
            <w:tcW w:w="3200" w:type="dxa"/>
            <w:vAlign w:val="bottom"/>
          </w:tcPr>
          <w:p>
            <w:pPr>
              <w:jc w:val="right"/>
              <w:spacing w:after="0" w:line="280" w:lineRule="exact"/>
              <w:rPr>
                <w:sz w:val="20"/>
                <w:szCs w:val="20"/>
                <w:color w:val="auto"/>
              </w:rPr>
            </w:pPr>
            <w:r>
              <w:rPr>
                <w:rFonts w:ascii="Arial" w:cs="Arial" w:eastAsia="Arial" w:hAnsi="Arial"/>
                <w:sz w:val="20"/>
                <w:szCs w:val="20"/>
                <w:color w:val="auto"/>
                <w:w w:val="92"/>
              </w:rPr>
              <w:t>Capped Call Options</w:t>
            </w:r>
            <w:r>
              <w:rPr>
                <w:rFonts w:ascii="Arial" w:cs="Arial" w:eastAsia="Arial" w:hAnsi="Arial"/>
                <w:sz w:val="25"/>
                <w:szCs w:val="25"/>
                <w:color w:val="auto"/>
                <w:w w:val="92"/>
                <w:vertAlign w:val="superscript"/>
              </w:rPr>
              <w:t>(f)</w:t>
            </w:r>
            <w:r>
              <w:rPr>
                <w:rFonts w:ascii="Arial" w:cs="Arial" w:eastAsia="Arial" w:hAnsi="Arial"/>
                <w:sz w:val="20"/>
                <w:szCs w:val="20"/>
                <w:color w:val="auto"/>
                <w:w w:val="92"/>
              </w:rPr>
              <w:t xml:space="preserve">  </w:t>
            </w:r>
            <w:r>
              <w:rPr>
                <w:rFonts w:ascii="Arial" w:cs="Arial" w:eastAsia="Arial" w:hAnsi="Arial"/>
                <w:sz w:val="20"/>
                <w:szCs w:val="20"/>
                <w:color w:val="B4B4B4"/>
                <w:w w:val="92"/>
              </w:rPr>
              <w:t>. . . . . . . . . . . .</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(253)</w:t>
            </w:r>
          </w:p>
        </w:tc>
        <w:tc>
          <w:tcPr>
            <w:tcW w:w="0" w:type="dxa"/>
            <w:vAlign w:val="bottom"/>
          </w:tcPr>
          <w:p>
            <w:pPr>
              <w:spacing w:after="0"/>
              <w:rPr>
                <w:sz w:val="1"/>
                <w:szCs w:val="1"/>
                <w:color w:val="auto"/>
              </w:rPr>
            </w:pPr>
          </w:p>
        </w:tc>
      </w:tr>
      <w:tr>
        <w:trPr>
          <w:trHeight w:val="257"/>
        </w:trPr>
        <w:tc>
          <w:tcPr>
            <w:tcW w:w="320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Balance at December 31, 2024 </w:t>
            </w:r>
            <w:r>
              <w:rPr>
                <w:rFonts w:ascii="Arial" w:cs="Arial" w:eastAsia="Arial" w:hAnsi="Arial"/>
                <w:sz w:val="20"/>
                <w:szCs w:val="20"/>
                <w:b w:val="1"/>
                <w:bCs w:val="1"/>
                <w:color w:val="B4B4B4"/>
                <w:w w:val="89"/>
              </w:rPr>
              <w:t>. . . . . .</w:t>
            </w:r>
          </w:p>
        </w:tc>
        <w:tc>
          <w:tcPr>
            <w:tcW w:w="180" w:type="dxa"/>
            <w:vAlign w:val="bottom"/>
          </w:tcPr>
          <w:p>
            <w:pPr>
              <w:ind w:left="60"/>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650</w:t>
            </w:r>
          </w:p>
        </w:tc>
        <w:tc>
          <w:tcPr>
            <w:tcW w:w="240" w:type="dxa"/>
            <w:vAlign w:val="bottom"/>
            <w:gridSpan w:val="2"/>
          </w:tcPr>
          <w:p>
            <w:pPr>
              <w:ind w:left="120"/>
              <w:spacing w:after="0"/>
              <w:rPr>
                <w:sz w:val="20"/>
                <w:szCs w:val="20"/>
                <w:color w:val="auto"/>
              </w:rPr>
            </w:pPr>
            <w:r>
              <w:rPr>
                <w:rFonts w:ascii="Arial" w:cs="Arial" w:eastAsia="Arial" w:hAnsi="Arial"/>
                <w:sz w:val="20"/>
                <w:szCs w:val="20"/>
                <w:color w:val="auto"/>
                <w:w w:val="89"/>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2</w:t>
            </w:r>
          </w:p>
        </w:tc>
        <w:tc>
          <w:tcPr>
            <w:tcW w:w="240" w:type="dxa"/>
            <w:vAlign w:val="bottom"/>
            <w:gridSpan w:val="2"/>
          </w:tcPr>
          <w:p>
            <w:pPr>
              <w:ind w:left="140"/>
              <w:spacing w:after="0"/>
              <w:rPr>
                <w:sz w:val="20"/>
                <w:szCs w:val="20"/>
                <w:color w:val="auto"/>
              </w:rPr>
            </w:pPr>
            <w:r>
              <w:rPr>
                <w:rFonts w:ascii="Arial" w:cs="Arial" w:eastAsia="Arial" w:hAnsi="Arial"/>
                <w:sz w:val="20"/>
                <w:szCs w:val="20"/>
                <w:color w:val="auto"/>
                <w:w w:val="71"/>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705</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1,535</w:t>
            </w:r>
          </w:p>
        </w:tc>
        <w:tc>
          <w:tcPr>
            <w:tcW w:w="240" w:type="dxa"/>
            <w:vAlign w:val="bottom"/>
            <w:gridSpan w:val="2"/>
          </w:tcPr>
          <w:p>
            <w:pPr>
              <w:ind w:left="120"/>
              <w:spacing w:after="0"/>
              <w:rPr>
                <w:sz w:val="20"/>
                <w:szCs w:val="20"/>
                <w:color w:val="auto"/>
              </w:rPr>
            </w:pPr>
            <w:r>
              <w:rPr>
                <w:rFonts w:ascii="Arial" w:cs="Arial" w:eastAsia="Arial" w:hAnsi="Arial"/>
                <w:sz w:val="20"/>
                <w:szCs w:val="20"/>
                <w:color w:val="auto"/>
                <w:w w:val="89"/>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(297)</w:t>
            </w:r>
          </w:p>
        </w:tc>
        <w:tc>
          <w:tcPr>
            <w:tcW w:w="34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(117)</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2,478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-6179185</wp:posOffset>
            </wp:positionV>
            <wp:extent cx="6305550" cy="61861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6">
                      <a:extLst>
                        <a:ext uri="{28A0092B-C50C-407E-A947-70E740481C1C}"/>
                      </a:extLst>
                    </a:blip>
                    <a:srcRect/>
                    <a:stretch>
                      <a:fillRect/>
                    </a:stretch>
                  </pic:blipFill>
                  <pic:spPr bwMode="auto">
                    <a:xfrm>
                      <a:off x="0" y="0"/>
                      <a:ext cx="6305550" cy="6186170"/>
                    </a:xfrm>
                    <a:prstGeom prst="rect">
                      <a:avLst/>
                    </a:prstGeom>
                    <a:noFill/>
                  </pic:spPr>
                </pic:pic>
              </a:graphicData>
            </a:graphic>
          </wp:anchor>
        </w:drawing>
      </w:r>
    </w:p>
    <w:p>
      <w:pPr>
        <w:spacing w:after="0" w:line="59" w:lineRule="exact"/>
        <w:rPr>
          <w:sz w:val="20"/>
          <w:szCs w:val="20"/>
          <w:color w:val="auto"/>
        </w:rPr>
      </w:pPr>
    </w:p>
    <w:p>
      <w:pPr>
        <w:ind w:left="259" w:right="60" w:hanging="259"/>
        <w:spacing w:after="0" w:line="259" w:lineRule="auto"/>
        <w:tabs>
          <w:tab w:leader="none" w:pos="259"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$(50) million, $(22) million and $(6) million of equivalent shares purchased in lieu of tax withholding on equity compensation issuances for the years ended December 31, 2024, 2023 and 2022, respectively</w:t>
      </w:r>
    </w:p>
    <w:p>
      <w:pPr>
        <w:ind w:left="259" w:hanging="259"/>
        <w:spacing w:after="0"/>
        <w:tabs>
          <w:tab w:leader="none" w:pos="259" w:val="left"/>
        </w:tabs>
        <w:numPr>
          <w:ilvl w:val="0"/>
          <w:numId w:val="55"/>
        </w:numPr>
        <w:rPr>
          <w:rFonts w:ascii="Arial" w:cs="Arial" w:eastAsia="Arial" w:hAnsi="Arial"/>
          <w:sz w:val="16"/>
          <w:szCs w:val="16"/>
          <w:color w:val="auto"/>
        </w:rPr>
      </w:pPr>
      <w:r>
        <w:rPr>
          <w:rFonts w:ascii="Arial" w:cs="Arial" w:eastAsia="Arial" w:hAnsi="Arial"/>
          <w:sz w:val="16"/>
          <w:szCs w:val="16"/>
          <w:color w:val="auto"/>
        </w:rPr>
        <w:t>Dividends per common share were $1.63, $1.51 and $1.40 for each of the years ended December 31, 2024, 2023 and 2022, respectively</w:t>
      </w:r>
    </w:p>
    <w:p>
      <w:pPr>
        <w:spacing w:after="0" w:line="6" w:lineRule="exact"/>
        <w:rPr>
          <w:rFonts w:ascii="Arial" w:cs="Arial" w:eastAsia="Arial" w:hAnsi="Arial"/>
          <w:sz w:val="16"/>
          <w:szCs w:val="16"/>
          <w:color w:val="auto"/>
        </w:rPr>
      </w:pPr>
    </w:p>
    <w:p>
      <w:pPr>
        <w:ind w:left="259" w:right="220" w:hanging="259"/>
        <w:spacing w:after="0" w:line="248" w:lineRule="auto"/>
        <w:tabs>
          <w:tab w:leader="none" w:pos="259"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excise tax accrued of $9 million and $10 million for the years ended December 31, 2024 and 2023, respectively. For further discussion of the share repurchases, see Item 15 — Note 15</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Capital Structure</w:t>
      </w:r>
    </w:p>
    <w:p>
      <w:pPr>
        <w:ind w:left="259" w:hanging="259"/>
        <w:spacing w:after="0"/>
        <w:tabs>
          <w:tab w:leader="none" w:pos="259" w:val="left"/>
        </w:tabs>
        <w:numPr>
          <w:ilvl w:val="0"/>
          <w:numId w:val="55"/>
        </w:numPr>
        <w:rPr>
          <w:rFonts w:ascii="Arial" w:cs="Arial" w:eastAsia="Arial" w:hAnsi="Arial"/>
          <w:sz w:val="16"/>
          <w:szCs w:val="16"/>
          <w:color w:val="auto"/>
        </w:rPr>
      </w:pPr>
      <w:r>
        <w:rPr>
          <w:rFonts w:ascii="Arial" w:cs="Arial" w:eastAsia="Arial" w:hAnsi="Arial"/>
          <w:sz w:val="16"/>
          <w:szCs w:val="16"/>
          <w:color w:val="auto"/>
        </w:rPr>
        <w:t>For further discussion of the treasury stock retirements, see Item 15 — Note 15</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Capital Structure</w:t>
      </w:r>
    </w:p>
    <w:p>
      <w:pPr>
        <w:spacing w:after="0" w:line="6" w:lineRule="exact"/>
        <w:rPr>
          <w:rFonts w:ascii="Arial" w:cs="Arial" w:eastAsia="Arial" w:hAnsi="Arial"/>
          <w:sz w:val="16"/>
          <w:szCs w:val="16"/>
          <w:color w:val="auto"/>
        </w:rPr>
      </w:pPr>
    </w:p>
    <w:p>
      <w:pPr>
        <w:ind w:left="259" w:right="120" w:hanging="259"/>
        <w:spacing w:after="0" w:line="247" w:lineRule="auto"/>
        <w:tabs>
          <w:tab w:leader="none" w:pos="259" w:val="left"/>
        </w:tabs>
        <w:numPr>
          <w:ilvl w:val="0"/>
          <w:numId w:val="55"/>
        </w:numPr>
        <w:rPr>
          <w:rFonts w:ascii="Arial" w:cs="Arial" w:eastAsia="Arial" w:hAnsi="Arial"/>
          <w:sz w:val="16"/>
          <w:szCs w:val="16"/>
          <w:color w:val="auto"/>
        </w:rPr>
      </w:pPr>
      <w:r>
        <w:rPr>
          <w:rFonts w:ascii="Arial" w:cs="Arial" w:eastAsia="Arial" w:hAnsi="Arial"/>
          <w:sz w:val="16"/>
          <w:szCs w:val="16"/>
          <w:color w:val="auto"/>
        </w:rPr>
        <w:t>Dividends per share of Series A Preferred Stock were $51.25 for each of the periods ended September 15 and March 15, 2024 and $52.96 for the period ended September 15, 2023</w:t>
      </w:r>
    </w:p>
    <w:p>
      <w:pPr>
        <w:spacing w:after="0" w:line="1" w:lineRule="exact"/>
        <w:rPr>
          <w:rFonts w:ascii="Arial" w:cs="Arial" w:eastAsia="Arial" w:hAnsi="Arial"/>
          <w:sz w:val="16"/>
          <w:szCs w:val="16"/>
          <w:color w:val="auto"/>
        </w:rPr>
      </w:pPr>
    </w:p>
    <w:p>
      <w:pPr>
        <w:ind w:left="259" w:hanging="259"/>
        <w:spacing w:after="0"/>
        <w:tabs>
          <w:tab w:leader="none" w:pos="259" w:val="left"/>
        </w:tabs>
        <w:numPr>
          <w:ilvl w:val="0"/>
          <w:numId w:val="55"/>
        </w:numPr>
        <w:rPr>
          <w:rFonts w:ascii="Arial" w:cs="Arial" w:eastAsia="Arial" w:hAnsi="Arial"/>
          <w:sz w:val="16"/>
          <w:szCs w:val="16"/>
          <w:color w:val="auto"/>
        </w:rPr>
      </w:pPr>
      <w:r>
        <w:rPr>
          <w:rFonts w:ascii="Arial" w:cs="Arial" w:eastAsia="Arial" w:hAnsi="Arial"/>
          <w:sz w:val="16"/>
          <w:szCs w:val="16"/>
          <w:color w:val="auto"/>
        </w:rPr>
        <w:t>For further discussion of the Capped Call Options, see Item 15 — Note 15</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Capital Structure</w:t>
      </w:r>
    </w:p>
    <w:p>
      <w:pPr>
        <w:spacing w:after="0" w:line="215" w:lineRule="exact"/>
        <w:rPr>
          <w:sz w:val="20"/>
          <w:szCs w:val="20"/>
          <w:color w:val="auto"/>
        </w:rPr>
      </w:pPr>
    </w:p>
    <w:p>
      <w:pPr>
        <w:jc w:val="center"/>
        <w:ind w:right="-138"/>
        <w:spacing w:after="0"/>
        <w:rPr>
          <w:sz w:val="20"/>
          <w:szCs w:val="20"/>
          <w:color w:val="auto"/>
        </w:rPr>
      </w:pPr>
      <w:r>
        <w:rPr>
          <w:rFonts w:ascii="Arial" w:cs="Arial" w:eastAsia="Arial" w:hAnsi="Arial"/>
          <w:sz w:val="20"/>
          <w:szCs w:val="20"/>
          <w:color w:val="auto"/>
        </w:rPr>
        <w:t>See notes to Consolidated Financial Statements</w:t>
      </w:r>
    </w:p>
    <w:p>
      <w:pPr>
        <w:sectPr>
          <w:pgSz w:w="11880" w:h="15480" w:orient="portrait"/>
          <w:cols w:equalWidth="0" w:num="1">
            <w:col w:w="10019"/>
          </w:cols>
          <w:pgMar w:left="861" w:top="50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8"/>
        <w:spacing w:after="0"/>
        <w:rPr>
          <w:sz w:val="20"/>
          <w:szCs w:val="20"/>
          <w:color w:val="auto"/>
        </w:rPr>
      </w:pPr>
      <w:r>
        <w:rPr>
          <w:rFonts w:ascii="Arial" w:cs="Arial" w:eastAsia="Arial" w:hAnsi="Arial"/>
          <w:sz w:val="16"/>
          <w:szCs w:val="16"/>
          <w:color w:val="auto"/>
        </w:rPr>
        <w:t>94</w:t>
      </w:r>
    </w:p>
    <w:p>
      <w:pPr>
        <w:sectPr>
          <w:pgSz w:w="11880" w:h="15480" w:orient="portrait"/>
          <w:cols w:equalWidth="0" w:num="1">
            <w:col w:w="10019"/>
          </w:cols>
          <w:pgMar w:left="861" w:top="505" w:right="1000" w:bottom="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20"/>
          <w:szCs w:val="20"/>
          <w:b w:val="1"/>
          <w:bCs w:val="1"/>
          <w:color w:val="auto"/>
        </w:rPr>
        <w:t>NRG ENERGY, INC. AND SUBSIDIARIES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 — </w:t>
      </w:r>
      <w:r>
        <w:rPr>
          <w:rFonts w:ascii="Arial" w:cs="Arial" w:eastAsia="Arial" w:hAnsi="Arial"/>
          <w:sz w:val="20"/>
          <w:szCs w:val="20"/>
          <w:b w:val="1"/>
          <w:bCs w:val="1"/>
          <w:i w:val="1"/>
          <w:iCs w:val="1"/>
          <w:color w:val="auto"/>
        </w:rPr>
        <w:t>Nature of Business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General</w:t>
      </w:r>
    </w:p>
    <w:p>
      <w:pPr>
        <w:spacing w:after="0" w:line="134"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9"/>
          <w:szCs w:val="19"/>
          <w:color w:val="auto"/>
        </w:rPr>
        <w:t>NRG Energy, Inc., or NRG or the Company, is a leading energy and smart home company fueled by market-leading brands, proprietary technologies, and complementary sales channels. Across the United States and Canada, NRG delivers innovative, sustainable solutions, predominately under the brand names such as NRG, Reliant, Direct Energy, Green Mountain Energy and Vivint, while also advocating for competitive energy markets and customer choice. The Company has a customer base that includes approximately 8 million residential customers (comprised of 6 million retail energy customers and 2 million smart home customers) in addition to commercial, industrial, and wholesale customers, supported by approximately 13 GW of generation as of December 31, 2024.</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Company's business is segmented as follows:</w:t>
      </w:r>
    </w:p>
    <w:p>
      <w:pPr>
        <w:spacing w:after="0" w:line="57" w:lineRule="exact"/>
        <w:rPr>
          <w:sz w:val="20"/>
          <w:szCs w:val="20"/>
          <w:color w:val="auto"/>
        </w:rPr>
      </w:pPr>
    </w:p>
    <w:p>
      <w:pPr>
        <w:ind w:left="720" w:hanging="273"/>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Texas, which includes all activity related to customer, plant and market operations in Texas, other than Cottonwood;</w:t>
      </w:r>
    </w:p>
    <w:p>
      <w:pPr>
        <w:spacing w:after="0" w:line="90" w:lineRule="exact"/>
        <w:rPr>
          <w:rFonts w:ascii="Arial" w:cs="Arial" w:eastAsia="Arial" w:hAnsi="Arial"/>
          <w:sz w:val="18"/>
          <w:szCs w:val="18"/>
          <w:color w:val="auto"/>
        </w:rPr>
      </w:pPr>
    </w:p>
    <w:p>
      <w:pPr>
        <w:ind w:left="720" w:hanging="273"/>
        <w:spacing w:after="0"/>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East, which includes all activity related to customer, plant and market operations in the East;</w:t>
      </w:r>
    </w:p>
    <w:p>
      <w:pPr>
        <w:spacing w:after="0" w:line="67" w:lineRule="exact"/>
        <w:rPr>
          <w:rFonts w:ascii="Arial" w:cs="Arial" w:eastAsia="Arial" w:hAnsi="Arial"/>
          <w:sz w:val="20"/>
          <w:szCs w:val="20"/>
          <w:color w:val="auto"/>
        </w:rPr>
      </w:pPr>
    </w:p>
    <w:p>
      <w:pPr>
        <w:ind w:left="720" w:hanging="273"/>
        <w:spacing w:after="0" w:line="309"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West/Services/Other, which includes the following assets and activities: (i) all activity related to customer, plant and market operations in the West and Canada, and (ii) activity related to the Cottonwood facility and other investments;</w:t>
      </w:r>
    </w:p>
    <w:p>
      <w:pPr>
        <w:spacing w:after="0" w:line="1" w:lineRule="exact"/>
        <w:rPr>
          <w:rFonts w:ascii="Arial" w:cs="Arial" w:eastAsia="Arial" w:hAnsi="Arial"/>
          <w:sz w:val="18"/>
          <w:szCs w:val="18"/>
          <w:color w:val="auto"/>
        </w:rPr>
      </w:pPr>
    </w:p>
    <w:p>
      <w:pPr>
        <w:ind w:left="720" w:hanging="273"/>
        <w:spacing w:after="0"/>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Vivint Smart Home; and</w:t>
      </w:r>
    </w:p>
    <w:p>
      <w:pPr>
        <w:spacing w:after="0" w:line="67" w:lineRule="exact"/>
        <w:rPr>
          <w:rFonts w:ascii="Arial" w:cs="Arial" w:eastAsia="Arial" w:hAnsi="Arial"/>
          <w:sz w:val="20"/>
          <w:szCs w:val="20"/>
          <w:color w:val="auto"/>
        </w:rPr>
      </w:pPr>
    </w:p>
    <w:p>
      <w:pPr>
        <w:ind w:left="720" w:hanging="273"/>
        <w:spacing w:after="0"/>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Corporate activities.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2 — </w:t>
      </w:r>
      <w:r>
        <w:rPr>
          <w:rFonts w:ascii="Arial" w:cs="Arial" w:eastAsia="Arial" w:hAnsi="Arial"/>
          <w:sz w:val="20"/>
          <w:szCs w:val="20"/>
          <w:b w:val="1"/>
          <w:bCs w:val="1"/>
          <w:i w:val="1"/>
          <w:iCs w:val="1"/>
          <w:color w:val="auto"/>
        </w:rPr>
        <w:t>Summary of Significant Accounting Policies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Basis of Presentation and Principles of Consolidation</w:t>
      </w:r>
    </w:p>
    <w:p>
      <w:pPr>
        <w:spacing w:after="0" w:line="13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The Company's consolidated financial statements have been prepared in accordance with U.S. GAAP. The ASC, established by the FASB, is the source of authoritative U.S. GAAP to be applied by nongovernmental entities. In addition, the rules and interpretative releases of the SEC under authority of federal securities laws are also sources of authoritative U.S. GAAP for SEC registrants.</w:t>
      </w:r>
    </w:p>
    <w:p>
      <w:pPr>
        <w:spacing w:after="0" w:line="84"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 xml:space="preserve">The consolidated financial statements include NRG's accounts and operations and those of its subsidiaries in which the Company has a controlling interest. All significant intercompany transactions and balances have been eliminated in consolidation. The usual condition for a controlling financial interest is ownership of a majority of the voting interests of an entity. However, a controlling financial interest may also exist through arrangements that do not involve controlling voting interests. As such, NRG applies the guidance of ASC 810, </w:t>
      </w:r>
      <w:r>
        <w:rPr>
          <w:rFonts w:ascii="Arial" w:cs="Arial" w:eastAsia="Arial" w:hAnsi="Arial"/>
          <w:sz w:val="18"/>
          <w:szCs w:val="18"/>
          <w:b w:val="1"/>
          <w:bCs w:val="1"/>
          <w:i w:val="1"/>
          <w:iCs w:val="1"/>
          <w:color w:val="auto"/>
        </w:rPr>
        <w:t>Consolidations,</w:t>
      </w:r>
      <w:r>
        <w:rPr>
          <w:rFonts w:ascii="Arial" w:cs="Arial" w:eastAsia="Arial" w:hAnsi="Arial"/>
          <w:sz w:val="18"/>
          <w:szCs w:val="18"/>
          <w:color w:val="auto"/>
        </w:rPr>
        <w:t xml:space="preserve"> or ASC 810, to determine when an entity that is insufficiently capitalized or not controlled through its voting interests, referred to as a VIE, should be consolidated.</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Presentation Adjustments</w:t>
      </w:r>
    </w:p>
    <w:p>
      <w:pPr>
        <w:spacing w:after="0" w:line="134"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9"/>
          <w:szCs w:val="19"/>
          <w:color w:val="auto"/>
        </w:rPr>
        <w:t>Beginning in the third quarter of 2024, the Company is recording the amortization of capitalized contracts costs within depreciation and amortization. This change, along with additional financial statement disclosures, is meant to address investor inquiries by enhancing transparency to easier match expenses with revenues. NRG previously recorded amortization of capitalized contract costs related to fulfillment in cost of operations and amortization of capitalized contract costs related to customer acquisition primarily in selling, general and administrative costs in the consolidated statements of operations. Prior years amounts were adjusted for comparative purposes. The adjustments had no impact on the Company’s total operating costs and expenses, and total cash flows.</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880" w:h="15480" w:orient="portrait"/>
          <w:cols w:equalWidth="0" w:num="1">
            <w:col w:w="10160"/>
          </w:cols>
          <w:pgMar w:left="860" w:top="505" w:right="860" w:bottom="0" w:gutter="0" w:footer="0" w:header="0"/>
          <w:type w:val="continuous"/>
        </w:sectPr>
      </w:pPr>
    </w:p>
    <w:bookmarkStart w:id="97" w:name="page98"/>
    <w:bookmarkEnd w:id="97"/>
    <w:p>
      <w:pPr>
        <w:ind w:firstLine="445"/>
        <w:spacing w:after="0" w:line="277" w:lineRule="auto"/>
        <w:rPr>
          <w:sz w:val="20"/>
          <w:szCs w:val="20"/>
          <w:color w:val="auto"/>
        </w:rPr>
      </w:pPr>
      <w:r>
        <w:rPr>
          <w:rFonts w:ascii="Arial" w:cs="Arial" w:eastAsia="Arial" w:hAnsi="Arial"/>
          <w:sz w:val="20"/>
          <w:szCs w:val="20"/>
          <w:color w:val="auto"/>
        </w:rPr>
        <w:t>The following table presents adjustments within the consolidated statement of operations for the years ended December 31, 2023 and 2022 related to capitalized contract costs:</w:t>
      </w:r>
    </w:p>
    <w:p>
      <w:pPr>
        <w:spacing w:after="0" w:line="1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22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6"/>
                <w:szCs w:val="16"/>
                <w:color w:val="auto"/>
              </w:rPr>
            </w:pPr>
          </w:p>
        </w:tc>
        <w:tc>
          <w:tcPr>
            <w:tcW w:w="1280" w:type="dxa"/>
            <w:vAlign w:val="bottom"/>
          </w:tcPr>
          <w:p>
            <w:pPr>
              <w:jc w:val="right"/>
              <w:ind w:right="186"/>
              <w:spacing w:after="0"/>
              <w:rPr>
                <w:sz w:val="20"/>
                <w:szCs w:val="20"/>
                <w:color w:val="auto"/>
              </w:rPr>
            </w:pPr>
            <w:r>
              <w:rPr>
                <w:rFonts w:ascii="Arial" w:cs="Arial" w:eastAsia="Arial" w:hAnsi="Arial"/>
                <w:sz w:val="16"/>
                <w:szCs w:val="16"/>
                <w:b w:val="1"/>
                <w:bCs w:val="1"/>
                <w:color w:val="auto"/>
                <w:w w:val="92"/>
              </w:rPr>
              <w:t>As Previously</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ind w:right="286"/>
              <w:spacing w:after="0"/>
              <w:rPr>
                <w:sz w:val="20"/>
                <w:szCs w:val="20"/>
                <w:color w:val="auto"/>
              </w:rPr>
            </w:pPr>
            <w:r>
              <w:rPr>
                <w:rFonts w:ascii="Arial" w:cs="Arial" w:eastAsia="Arial" w:hAnsi="Arial"/>
                <w:sz w:val="16"/>
                <w:szCs w:val="16"/>
                <w:b w:val="1"/>
                <w:bCs w:val="1"/>
                <w:color w:val="auto"/>
                <w:w w:val="96"/>
              </w:rPr>
              <w:t>Presentation</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vMerge w:val="restart"/>
          </w:tcPr>
          <w:p>
            <w:pPr>
              <w:jc w:val="right"/>
              <w:ind w:right="284"/>
              <w:spacing w:after="0"/>
              <w:rPr>
                <w:sz w:val="20"/>
                <w:szCs w:val="20"/>
                <w:color w:val="auto"/>
              </w:rPr>
            </w:pPr>
            <w:r>
              <w:rPr>
                <w:rFonts w:ascii="Arial" w:cs="Arial" w:eastAsia="Arial" w:hAnsi="Arial"/>
                <w:sz w:val="16"/>
                <w:szCs w:val="16"/>
                <w:b w:val="1"/>
                <w:bCs w:val="1"/>
                <w:color w:val="auto"/>
              </w:rPr>
              <w:t>As Adjusted</w:t>
            </w:r>
          </w:p>
        </w:tc>
        <w:tc>
          <w:tcPr>
            <w:tcW w:w="0" w:type="dxa"/>
            <w:vAlign w:val="bottom"/>
          </w:tcPr>
          <w:p>
            <w:pPr>
              <w:spacing w:after="0"/>
              <w:rPr>
                <w:sz w:val="1"/>
                <w:szCs w:val="1"/>
                <w:color w:val="auto"/>
              </w:rPr>
            </w:pPr>
          </w:p>
        </w:tc>
      </w:tr>
      <w:tr>
        <w:trPr>
          <w:trHeight w:val="212"/>
        </w:trPr>
        <w:tc>
          <w:tcPr>
            <w:tcW w:w="52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26"/>
              <w:spacing w:after="0"/>
              <w:rPr>
                <w:sz w:val="20"/>
                <w:szCs w:val="20"/>
                <w:color w:val="auto"/>
              </w:rPr>
            </w:pPr>
            <w:r>
              <w:rPr>
                <w:rFonts w:ascii="Arial" w:cs="Arial" w:eastAsia="Arial" w:hAnsi="Arial"/>
                <w:sz w:val="16"/>
                <w:szCs w:val="16"/>
                <w:b w:val="1"/>
                <w:bCs w:val="1"/>
                <w:color w:val="auto"/>
              </w:rPr>
              <w:t>Presented</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86"/>
              <w:spacing w:after="0"/>
              <w:rPr>
                <w:sz w:val="20"/>
                <w:szCs w:val="20"/>
                <w:color w:val="auto"/>
              </w:rPr>
            </w:pPr>
            <w:r>
              <w:rPr>
                <w:rFonts w:ascii="Arial" w:cs="Arial" w:eastAsia="Arial" w:hAnsi="Arial"/>
                <w:sz w:val="16"/>
                <w:szCs w:val="16"/>
                <w:b w:val="1"/>
                <w:bCs w:val="1"/>
                <w:color w:val="auto"/>
                <w:w w:val="96"/>
              </w:rPr>
              <w:t>Adjustments</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220" w:type="dxa"/>
            <w:vAlign w:val="bottom"/>
          </w:tcPr>
          <w:p>
            <w:pPr>
              <w:spacing w:after="0"/>
              <w:rPr>
                <w:sz w:val="20"/>
                <w:szCs w:val="20"/>
                <w:color w:val="auto"/>
              </w:rPr>
            </w:pPr>
            <w:r>
              <w:rPr>
                <w:rFonts w:ascii="Arial" w:cs="Arial" w:eastAsia="Arial" w:hAnsi="Arial"/>
                <w:sz w:val="18"/>
                <w:szCs w:val="18"/>
                <w:b w:val="1"/>
                <w:bCs w:val="1"/>
                <w:color w:val="auto"/>
              </w:rPr>
              <w:t>Year ended December 31, 2023</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240"/>
              <w:spacing w:after="0"/>
              <w:rPr>
                <w:sz w:val="20"/>
                <w:szCs w:val="20"/>
                <w:color w:val="auto"/>
              </w:rPr>
            </w:pPr>
            <w:r>
              <w:rPr>
                <w:rFonts w:ascii="Arial" w:cs="Arial" w:eastAsia="Arial" w:hAnsi="Arial"/>
                <w:sz w:val="18"/>
                <w:szCs w:val="18"/>
                <w:color w:val="auto"/>
                <w:w w:val="93"/>
              </w:rPr>
              <w:t>Cost of operations (excluding depreciation and amortization shown</w:t>
            </w: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26,526</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20"/>
                <w:szCs w:val="20"/>
                <w:color w:val="auto"/>
              </w:rPr>
              <w:t>$</w:t>
            </w:r>
          </w:p>
        </w:tc>
        <w:tc>
          <w:tcPr>
            <w:tcW w:w="1340" w:type="dxa"/>
            <w:vAlign w:val="bottom"/>
            <w:vMerge w:val="restart"/>
          </w:tcPr>
          <w:p>
            <w:pPr>
              <w:jc w:val="right"/>
              <w:spacing w:after="0"/>
              <w:rPr>
                <w:sz w:val="20"/>
                <w:szCs w:val="20"/>
                <w:color w:val="auto"/>
              </w:rPr>
            </w:pPr>
            <w:r>
              <w:rPr>
                <w:rFonts w:ascii="Arial" w:cs="Arial" w:eastAsia="Arial" w:hAnsi="Arial"/>
                <w:sz w:val="20"/>
                <w:szCs w:val="20"/>
                <w:color w:val="auto"/>
              </w:rPr>
              <w:t>(43)</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20"/>
                <w:szCs w:val="20"/>
                <w:color w:val="auto"/>
              </w:rPr>
              <w:t>$</w:t>
            </w:r>
          </w:p>
        </w:tc>
        <w:tc>
          <w:tcPr>
            <w:tcW w:w="1340" w:type="dxa"/>
            <w:vAlign w:val="bottom"/>
            <w:vMerge w:val="restart"/>
          </w:tcPr>
          <w:p>
            <w:pPr>
              <w:jc w:val="right"/>
              <w:spacing w:after="0"/>
              <w:rPr>
                <w:sz w:val="20"/>
                <w:szCs w:val="20"/>
                <w:color w:val="auto"/>
              </w:rPr>
            </w:pPr>
            <w:r>
              <w:rPr>
                <w:rFonts w:ascii="Arial" w:cs="Arial" w:eastAsia="Arial" w:hAnsi="Arial"/>
                <w:sz w:val="20"/>
                <w:szCs w:val="20"/>
                <w:color w:val="auto"/>
              </w:rPr>
              <w:t>26,483</w:t>
            </w:r>
          </w:p>
        </w:tc>
        <w:tc>
          <w:tcPr>
            <w:tcW w:w="0" w:type="dxa"/>
            <w:vAlign w:val="bottom"/>
          </w:tcPr>
          <w:p>
            <w:pPr>
              <w:spacing w:after="0"/>
              <w:rPr>
                <w:sz w:val="1"/>
                <w:szCs w:val="1"/>
                <w:color w:val="auto"/>
              </w:rPr>
            </w:pPr>
          </w:p>
        </w:tc>
      </w:tr>
      <w:tr>
        <w:trPr>
          <w:trHeight w:val="234"/>
        </w:trPr>
        <w:tc>
          <w:tcPr>
            <w:tcW w:w="5220" w:type="dxa"/>
            <w:vAlign w:val="bottom"/>
          </w:tcPr>
          <w:p>
            <w:pPr>
              <w:ind w:left="240"/>
              <w:spacing w:after="0"/>
              <w:rPr>
                <w:sz w:val="20"/>
                <w:szCs w:val="20"/>
                <w:color w:val="auto"/>
              </w:rPr>
            </w:pPr>
            <w:r>
              <w:rPr>
                <w:rFonts w:ascii="Arial" w:cs="Arial" w:eastAsia="Arial" w:hAnsi="Arial"/>
                <w:sz w:val="18"/>
                <w:szCs w:val="18"/>
                <w:color w:val="auto"/>
                <w:w w:val="91"/>
              </w:rPr>
              <w:t xml:space="preserve">below) </w:t>
            </w:r>
            <w:r>
              <w:rPr>
                <w:rFonts w:ascii="Arial" w:cs="Arial" w:eastAsia="Arial" w:hAnsi="Arial"/>
                <w:sz w:val="18"/>
                <w:szCs w:val="18"/>
                <w:color w:val="B4B4B4"/>
                <w:w w:val="91"/>
              </w:rPr>
              <w:t>. . . . . . . . . . . . . . . . . . . . . . . . . . . . . . . . . . . . . . . . . . . . . . . . .</w:t>
            </w:r>
          </w:p>
        </w:tc>
        <w:tc>
          <w:tcPr>
            <w:tcW w:w="22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20" w:type="dxa"/>
            <w:vAlign w:val="bottom"/>
          </w:tcPr>
          <w:p>
            <w:pPr>
              <w:ind w:left="240"/>
              <w:spacing w:after="0"/>
              <w:rPr>
                <w:sz w:val="20"/>
                <w:szCs w:val="20"/>
                <w:color w:val="auto"/>
              </w:rPr>
            </w:pPr>
            <w:r>
              <w:rPr>
                <w:rFonts w:ascii="Arial" w:cs="Arial" w:eastAsia="Arial" w:hAnsi="Arial"/>
                <w:sz w:val="18"/>
                <w:szCs w:val="18"/>
                <w:color w:val="auto"/>
                <w:w w:val="91"/>
              </w:rPr>
              <w:t xml:space="preserve">Depreciation and amortization </w:t>
            </w:r>
            <w:r>
              <w:rPr>
                <w:rFonts w:ascii="Arial" w:cs="Arial" w:eastAsia="Arial" w:hAnsi="Arial"/>
                <w:sz w:val="18"/>
                <w:szCs w:val="18"/>
                <w:color w:val="B4B4B4"/>
                <w:w w:val="91"/>
              </w:rPr>
              <w:t>. . . . . . . . . . . . . . . . . . . . . . . . . . . . . .</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1,127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168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1,295</w:t>
            </w:r>
          </w:p>
        </w:tc>
        <w:tc>
          <w:tcPr>
            <w:tcW w:w="0" w:type="dxa"/>
            <w:vAlign w:val="bottom"/>
          </w:tcPr>
          <w:p>
            <w:pPr>
              <w:spacing w:after="0"/>
              <w:rPr>
                <w:sz w:val="1"/>
                <w:szCs w:val="1"/>
                <w:color w:val="auto"/>
              </w:rPr>
            </w:pPr>
          </w:p>
        </w:tc>
      </w:tr>
      <w:tr>
        <w:trPr>
          <w:trHeight w:val="282"/>
        </w:trPr>
        <w:tc>
          <w:tcPr>
            <w:tcW w:w="5220" w:type="dxa"/>
            <w:vAlign w:val="bottom"/>
          </w:tcPr>
          <w:p>
            <w:pPr>
              <w:ind w:left="240"/>
              <w:spacing w:after="0"/>
              <w:rPr>
                <w:sz w:val="20"/>
                <w:szCs w:val="20"/>
                <w:color w:val="auto"/>
              </w:rPr>
            </w:pPr>
            <w:r>
              <w:rPr>
                <w:rFonts w:ascii="Arial" w:cs="Arial" w:eastAsia="Arial" w:hAnsi="Arial"/>
                <w:sz w:val="18"/>
                <w:szCs w:val="18"/>
                <w:color w:val="auto"/>
                <w:w w:val="91"/>
              </w:rPr>
              <w:t xml:space="preserve">Selling, general and administrative costs </w:t>
            </w:r>
            <w:r>
              <w:rPr>
                <w:rFonts w:ascii="Arial" w:cs="Arial" w:eastAsia="Arial" w:hAnsi="Arial"/>
                <w:sz w:val="18"/>
                <w:szCs w:val="18"/>
                <w:color w:val="B4B4B4"/>
                <w:w w:val="91"/>
              </w:rPr>
              <w:t>. . . . . . . . . . . . . . . . . . . . . .</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1,968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(125)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1,843</w:t>
            </w:r>
          </w:p>
        </w:tc>
        <w:tc>
          <w:tcPr>
            <w:tcW w:w="0" w:type="dxa"/>
            <w:vAlign w:val="bottom"/>
          </w:tcPr>
          <w:p>
            <w:pPr>
              <w:spacing w:after="0"/>
              <w:rPr>
                <w:sz w:val="1"/>
                <w:szCs w:val="1"/>
                <w:color w:val="auto"/>
              </w:rPr>
            </w:pPr>
          </w:p>
        </w:tc>
      </w:tr>
      <w:tr>
        <w:trPr>
          <w:trHeight w:val="279"/>
        </w:trPr>
        <w:tc>
          <w:tcPr>
            <w:tcW w:w="5220" w:type="dxa"/>
            <w:vAlign w:val="bottom"/>
          </w:tcPr>
          <w:p>
            <w:pPr>
              <w:spacing w:after="0"/>
              <w:rPr>
                <w:sz w:val="20"/>
                <w:szCs w:val="20"/>
                <w:color w:val="auto"/>
              </w:rPr>
            </w:pPr>
            <w:r>
              <w:rPr>
                <w:rFonts w:ascii="Arial" w:cs="Arial" w:eastAsia="Arial" w:hAnsi="Arial"/>
                <w:sz w:val="18"/>
                <w:szCs w:val="18"/>
                <w:b w:val="1"/>
                <w:bCs w:val="1"/>
                <w:color w:val="auto"/>
              </w:rPr>
              <w:t>Year ended December 31, 2022</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20" w:type="dxa"/>
            <w:vAlign w:val="bottom"/>
          </w:tcPr>
          <w:p>
            <w:pPr>
              <w:ind w:left="240"/>
              <w:spacing w:after="0"/>
              <w:rPr>
                <w:sz w:val="20"/>
                <w:szCs w:val="20"/>
                <w:color w:val="auto"/>
              </w:rPr>
            </w:pPr>
            <w:r>
              <w:rPr>
                <w:rFonts w:ascii="Arial" w:cs="Arial" w:eastAsia="Arial" w:hAnsi="Arial"/>
                <w:sz w:val="18"/>
                <w:szCs w:val="18"/>
                <w:color w:val="auto"/>
                <w:w w:val="93"/>
              </w:rPr>
              <w:t>Cost of operations (excluding depreciation and amortization shown</w:t>
            </w: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27,446</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20"/>
                <w:szCs w:val="20"/>
                <w:color w:val="auto"/>
              </w:rPr>
              <w:t>$</w:t>
            </w:r>
          </w:p>
        </w:tc>
        <w:tc>
          <w:tcPr>
            <w:tcW w:w="134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20"/>
                <w:szCs w:val="20"/>
                <w:color w:val="auto"/>
              </w:rPr>
              <w:t>$</w:t>
            </w:r>
          </w:p>
        </w:tc>
        <w:tc>
          <w:tcPr>
            <w:tcW w:w="1340" w:type="dxa"/>
            <w:vAlign w:val="bottom"/>
            <w:vMerge w:val="restart"/>
          </w:tcPr>
          <w:p>
            <w:pPr>
              <w:jc w:val="right"/>
              <w:spacing w:after="0"/>
              <w:rPr>
                <w:sz w:val="20"/>
                <w:szCs w:val="20"/>
                <w:color w:val="auto"/>
              </w:rPr>
            </w:pPr>
            <w:r>
              <w:rPr>
                <w:rFonts w:ascii="Arial" w:cs="Arial" w:eastAsia="Arial" w:hAnsi="Arial"/>
                <w:sz w:val="20"/>
                <w:szCs w:val="20"/>
                <w:color w:val="auto"/>
              </w:rPr>
              <w:t>27,443</w:t>
            </w:r>
          </w:p>
        </w:tc>
        <w:tc>
          <w:tcPr>
            <w:tcW w:w="0" w:type="dxa"/>
            <w:vAlign w:val="bottom"/>
          </w:tcPr>
          <w:p>
            <w:pPr>
              <w:spacing w:after="0"/>
              <w:rPr>
                <w:sz w:val="1"/>
                <w:szCs w:val="1"/>
                <w:color w:val="auto"/>
              </w:rPr>
            </w:pPr>
          </w:p>
        </w:tc>
      </w:tr>
      <w:tr>
        <w:trPr>
          <w:trHeight w:val="234"/>
        </w:trPr>
        <w:tc>
          <w:tcPr>
            <w:tcW w:w="5220" w:type="dxa"/>
            <w:vAlign w:val="bottom"/>
          </w:tcPr>
          <w:p>
            <w:pPr>
              <w:ind w:left="240"/>
              <w:spacing w:after="0"/>
              <w:rPr>
                <w:sz w:val="20"/>
                <w:szCs w:val="20"/>
                <w:color w:val="auto"/>
              </w:rPr>
            </w:pPr>
            <w:r>
              <w:rPr>
                <w:rFonts w:ascii="Arial" w:cs="Arial" w:eastAsia="Arial" w:hAnsi="Arial"/>
                <w:sz w:val="18"/>
                <w:szCs w:val="18"/>
                <w:color w:val="auto"/>
                <w:w w:val="91"/>
              </w:rPr>
              <w:t xml:space="preserve">below) </w:t>
            </w:r>
            <w:r>
              <w:rPr>
                <w:rFonts w:ascii="Arial" w:cs="Arial" w:eastAsia="Arial" w:hAnsi="Arial"/>
                <w:sz w:val="18"/>
                <w:szCs w:val="18"/>
                <w:color w:val="B4B4B4"/>
                <w:w w:val="91"/>
              </w:rPr>
              <w:t>. . . . . . . . . . . . . . . . . . . . . . . . . . . . . . . . . . . . . . . . . . . . . . . . .</w:t>
            </w:r>
          </w:p>
        </w:tc>
        <w:tc>
          <w:tcPr>
            <w:tcW w:w="22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20" w:type="dxa"/>
            <w:vAlign w:val="bottom"/>
          </w:tcPr>
          <w:p>
            <w:pPr>
              <w:ind w:left="240"/>
              <w:spacing w:after="0"/>
              <w:rPr>
                <w:sz w:val="20"/>
                <w:szCs w:val="20"/>
                <w:color w:val="auto"/>
              </w:rPr>
            </w:pPr>
            <w:r>
              <w:rPr>
                <w:rFonts w:ascii="Arial" w:cs="Arial" w:eastAsia="Arial" w:hAnsi="Arial"/>
                <w:sz w:val="18"/>
                <w:szCs w:val="18"/>
                <w:color w:val="auto"/>
                <w:w w:val="91"/>
              </w:rPr>
              <w:t xml:space="preserve">Depreciation and amortization </w:t>
            </w:r>
            <w:r>
              <w:rPr>
                <w:rFonts w:ascii="Arial" w:cs="Arial" w:eastAsia="Arial" w:hAnsi="Arial"/>
                <w:sz w:val="18"/>
                <w:szCs w:val="18"/>
                <w:color w:val="B4B4B4"/>
                <w:w w:val="91"/>
              </w:rPr>
              <w:t>. . . . . . . . . . . . . . . . . . . . . . . . . . . . . .</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634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86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720</w:t>
            </w:r>
          </w:p>
        </w:tc>
        <w:tc>
          <w:tcPr>
            <w:tcW w:w="0" w:type="dxa"/>
            <w:vAlign w:val="bottom"/>
          </w:tcPr>
          <w:p>
            <w:pPr>
              <w:spacing w:after="0"/>
              <w:rPr>
                <w:sz w:val="1"/>
                <w:szCs w:val="1"/>
                <w:color w:val="auto"/>
              </w:rPr>
            </w:pPr>
          </w:p>
        </w:tc>
      </w:tr>
      <w:tr>
        <w:trPr>
          <w:trHeight w:val="282"/>
        </w:trPr>
        <w:tc>
          <w:tcPr>
            <w:tcW w:w="5220" w:type="dxa"/>
            <w:vAlign w:val="bottom"/>
          </w:tcPr>
          <w:p>
            <w:pPr>
              <w:ind w:left="240"/>
              <w:spacing w:after="0"/>
              <w:rPr>
                <w:sz w:val="20"/>
                <w:szCs w:val="20"/>
                <w:color w:val="auto"/>
              </w:rPr>
            </w:pPr>
            <w:r>
              <w:rPr>
                <w:rFonts w:ascii="Arial" w:cs="Arial" w:eastAsia="Arial" w:hAnsi="Arial"/>
                <w:sz w:val="18"/>
                <w:szCs w:val="18"/>
                <w:color w:val="auto"/>
                <w:w w:val="91"/>
              </w:rPr>
              <w:t xml:space="preserve">Selling, general and administrative costs </w:t>
            </w:r>
            <w:r>
              <w:rPr>
                <w:rFonts w:ascii="Arial" w:cs="Arial" w:eastAsia="Arial" w:hAnsi="Arial"/>
                <w:sz w:val="18"/>
                <w:szCs w:val="18"/>
                <w:color w:val="B4B4B4"/>
                <w:w w:val="91"/>
              </w:rPr>
              <w:t>. . . . . . . . . . . . . . . . . . . . . .</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1,228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(83)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1,145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-1674495</wp:posOffset>
            </wp:positionV>
            <wp:extent cx="6466205" cy="1694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7">
                      <a:extLst>
                        <a:ext uri="{28A0092B-C50C-407E-A947-70E740481C1C}"/>
                      </a:extLst>
                    </a:blip>
                    <a:srcRect/>
                    <a:stretch>
                      <a:fillRect/>
                    </a:stretch>
                  </pic:blipFill>
                  <pic:spPr bwMode="auto">
                    <a:xfrm>
                      <a:off x="0" y="0"/>
                      <a:ext cx="6466205" cy="1694180"/>
                    </a:xfrm>
                    <a:prstGeom prst="rect">
                      <a:avLst/>
                    </a:prstGeom>
                    <a:noFill/>
                  </pic:spPr>
                </pic:pic>
              </a:graphicData>
            </a:graphic>
          </wp:anchor>
        </w:drawing>
      </w:r>
    </w:p>
    <w:p>
      <w:pPr>
        <w:spacing w:after="0" w:line="26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The following table presents adjustments within the consolidated statement of cash flows for the years ended December 31, 2023 and 2022 related to capitalized contract costs:</w:t>
      </w:r>
    </w:p>
    <w:p>
      <w:pPr>
        <w:spacing w:after="0" w:line="1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24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6"/>
              </w:rPr>
              <w:t>As Previously</w:t>
            </w:r>
          </w:p>
        </w:tc>
        <w:tc>
          <w:tcPr>
            <w:tcW w:w="80" w:type="dxa"/>
            <w:vAlign w:val="bottom"/>
          </w:tcPr>
          <w:p>
            <w:pPr>
              <w:spacing w:after="0"/>
              <w:rPr>
                <w:sz w:val="16"/>
                <w:szCs w:val="16"/>
                <w:color w:val="auto"/>
              </w:rPr>
            </w:pPr>
          </w:p>
        </w:tc>
        <w:tc>
          <w:tcPr>
            <w:tcW w:w="1620" w:type="dxa"/>
            <w:vAlign w:val="bottom"/>
          </w:tcPr>
          <w:p>
            <w:pPr>
              <w:ind w:left="380"/>
              <w:spacing w:after="0"/>
              <w:rPr>
                <w:sz w:val="20"/>
                <w:szCs w:val="20"/>
                <w:color w:val="auto"/>
              </w:rPr>
            </w:pPr>
            <w:r>
              <w:rPr>
                <w:rFonts w:ascii="Arial" w:cs="Arial" w:eastAsia="Arial" w:hAnsi="Arial"/>
                <w:sz w:val="16"/>
                <w:szCs w:val="16"/>
                <w:b w:val="1"/>
                <w:bCs w:val="1"/>
                <w:color w:val="auto"/>
              </w:rPr>
              <w:t>Presentation</w:t>
            </w:r>
          </w:p>
        </w:tc>
        <w:tc>
          <w:tcPr>
            <w:tcW w:w="60" w:type="dxa"/>
            <w:vAlign w:val="bottom"/>
          </w:tcPr>
          <w:p>
            <w:pPr>
              <w:spacing w:after="0"/>
              <w:rPr>
                <w:sz w:val="16"/>
                <w:szCs w:val="16"/>
                <w:color w:val="auto"/>
              </w:rPr>
            </w:pPr>
          </w:p>
        </w:tc>
        <w:tc>
          <w:tcPr>
            <w:tcW w:w="16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As Adjusted</w:t>
            </w:r>
          </w:p>
        </w:tc>
        <w:tc>
          <w:tcPr>
            <w:tcW w:w="0" w:type="dxa"/>
            <w:vAlign w:val="bottom"/>
          </w:tcPr>
          <w:p>
            <w:pPr>
              <w:spacing w:after="0"/>
              <w:rPr>
                <w:sz w:val="1"/>
                <w:szCs w:val="1"/>
                <w:color w:val="auto"/>
              </w:rPr>
            </w:pPr>
          </w:p>
        </w:tc>
      </w:tr>
      <w:tr>
        <w:trPr>
          <w:trHeight w:val="212"/>
        </w:trPr>
        <w:tc>
          <w:tcPr>
            <w:tcW w:w="5240" w:type="dxa"/>
            <w:vAlign w:val="bottom"/>
            <w:vMerge w:val="continue"/>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Presented</w:t>
            </w:r>
          </w:p>
        </w:tc>
        <w:tc>
          <w:tcPr>
            <w:tcW w:w="80" w:type="dxa"/>
            <w:vAlign w:val="bottom"/>
          </w:tcPr>
          <w:p>
            <w:pPr>
              <w:spacing w:after="0"/>
              <w:rPr>
                <w:sz w:val="18"/>
                <w:szCs w:val="18"/>
                <w:color w:val="auto"/>
              </w:rPr>
            </w:pPr>
          </w:p>
        </w:tc>
        <w:tc>
          <w:tcPr>
            <w:tcW w:w="162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Adjustments</w:t>
            </w:r>
          </w:p>
        </w:tc>
        <w:tc>
          <w:tcPr>
            <w:tcW w:w="60" w:type="dxa"/>
            <w:vAlign w:val="bottom"/>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wp:posOffset>
            </wp:positionV>
            <wp:extent cx="6475095" cy="145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8">
                      <a:extLst>
                        <a:ext uri="{28A0092B-C50C-407E-A947-70E740481C1C}"/>
                      </a:extLst>
                    </a:blip>
                    <a:srcRect/>
                    <a:stretch>
                      <a:fillRect/>
                    </a:stretch>
                  </pic:blipFill>
                  <pic:spPr bwMode="auto">
                    <a:xfrm>
                      <a:off x="0" y="0"/>
                      <a:ext cx="6475095" cy="145859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Year ended December 31, 2023</w:t>
      </w:r>
    </w:p>
    <w:p>
      <w:pPr>
        <w:sectPr>
          <w:pgSz w:w="11880" w:h="15480" w:orient="portrait"/>
          <w:cols w:equalWidth="0" w:num="1">
            <w:col w:w="10160"/>
          </w:cols>
          <w:pgMar w:left="860" w:top="512" w:right="860" w:bottom="0" w:gutter="0" w:footer="0" w:header="0"/>
        </w:sectPr>
      </w:pP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flows from operating activities:</w:t>
      </w:r>
    </w:p>
    <w:p>
      <w:pPr>
        <w:spacing w:after="0" w:line="53" w:lineRule="exact"/>
        <w:rPr>
          <w:sz w:val="20"/>
          <w:szCs w:val="20"/>
          <w:color w:val="auto"/>
        </w:rPr>
      </w:pPr>
    </w:p>
    <w:p>
      <w:pPr>
        <w:ind w:left="300" w:right="160"/>
        <w:spacing w:after="0" w:line="368" w:lineRule="auto"/>
        <w:rPr>
          <w:sz w:val="20"/>
          <w:szCs w:val="20"/>
          <w:color w:val="auto"/>
        </w:rPr>
      </w:pPr>
      <w:r>
        <w:rPr>
          <w:rFonts w:ascii="Arial" w:cs="Arial" w:eastAsia="Arial" w:hAnsi="Arial"/>
          <w:sz w:val="16"/>
          <w:szCs w:val="16"/>
          <w:color w:val="auto"/>
        </w:rPr>
        <w:t xml:space="preserve">Amortization of capitalized contract costs </w:t>
      </w:r>
      <w:r>
        <w:rPr>
          <w:rFonts w:ascii="Arial" w:cs="Arial" w:eastAsia="Arial" w:hAnsi="Arial"/>
          <w:sz w:val="16"/>
          <w:szCs w:val="16"/>
          <w:color w:val="B4B4B4"/>
        </w:rPr>
        <w:t>. . . . . . . . . . . . . . . . . . . . .</w:t>
      </w:r>
      <w:r>
        <w:rPr>
          <w:rFonts w:ascii="Arial" w:cs="Arial" w:eastAsia="Arial" w:hAnsi="Arial"/>
          <w:sz w:val="16"/>
          <w:szCs w:val="16"/>
          <w:color w:val="auto"/>
        </w:rPr>
        <w:t xml:space="preserve"> </w:t>
      </w:r>
      <w:r>
        <w:rPr>
          <w:rFonts w:ascii="Arial" w:cs="Arial" w:eastAsia="Arial" w:hAnsi="Arial"/>
          <w:sz w:val="17"/>
          <w:szCs w:val="17"/>
          <w:color w:val="auto"/>
        </w:rPr>
        <w:t>$</w:t>
      </w:r>
      <w:r>
        <w:rPr>
          <w:rFonts w:ascii="Arial" w:cs="Arial" w:eastAsia="Arial" w:hAnsi="Arial"/>
          <w:sz w:val="16"/>
          <w:szCs w:val="16"/>
          <w:color w:val="auto"/>
        </w:rPr>
        <w:t xml:space="preserve"> Prepayments and other current assets </w:t>
      </w:r>
      <w:r>
        <w:rPr>
          <w:rFonts w:ascii="Arial" w:cs="Arial" w:eastAsia="Arial" w:hAnsi="Arial"/>
          <w:sz w:val="16"/>
          <w:szCs w:val="16"/>
          <w:color w:val="B4B4B4"/>
        </w:rPr>
        <w:t>. . . . . . . . . . . . . . . . . . . . . . . . .</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Year ended December 31, 2022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1180" w:type="dxa"/>
            <w:vAlign w:val="bottom"/>
          </w:tcPr>
          <w:p>
            <w:pPr>
              <w:jc w:val="right"/>
              <w:ind w:right="401"/>
              <w:spacing w:after="0"/>
              <w:rPr>
                <w:sz w:val="20"/>
                <w:szCs w:val="20"/>
                <w:color w:val="auto"/>
              </w:rPr>
            </w:pPr>
            <w:r>
              <w:rPr>
                <w:rFonts w:ascii="Arial" w:cs="Arial" w:eastAsia="Arial" w:hAnsi="Arial"/>
                <w:sz w:val="20"/>
                <w:szCs w:val="20"/>
                <w:color w:val="auto"/>
              </w:rPr>
              <w:t>—  $</w:t>
            </w: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168</w:t>
            </w:r>
          </w:p>
        </w:tc>
        <w:tc>
          <w:tcPr>
            <w:tcW w:w="680" w:type="dxa"/>
            <w:vAlign w:val="bottom"/>
          </w:tcPr>
          <w:p>
            <w:pPr>
              <w:jc w:val="right"/>
              <w:ind w:right="401"/>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168</w:t>
            </w:r>
          </w:p>
        </w:tc>
      </w:tr>
      <w:tr>
        <w:trPr>
          <w:trHeight w:val="282"/>
        </w:trPr>
        <w:tc>
          <w:tcPr>
            <w:tcW w:w="1180" w:type="dxa"/>
            <w:vAlign w:val="bottom"/>
          </w:tcPr>
          <w:p>
            <w:pPr>
              <w:jc w:val="right"/>
              <w:ind w:right="641"/>
              <w:spacing w:after="0"/>
              <w:rPr>
                <w:sz w:val="20"/>
                <w:szCs w:val="20"/>
                <w:color w:val="auto"/>
              </w:rPr>
            </w:pPr>
            <w:r>
              <w:rPr>
                <w:rFonts w:ascii="Arial" w:cs="Arial" w:eastAsia="Arial" w:hAnsi="Arial"/>
                <w:sz w:val="20"/>
                <w:szCs w:val="20"/>
                <w:color w:val="auto"/>
                <w:w w:val="89"/>
              </w:rPr>
              <w:t>(233)</w:t>
            </w:r>
          </w:p>
        </w:tc>
        <w:tc>
          <w:tcPr>
            <w:tcW w:w="1000" w:type="dxa"/>
            <w:vAlign w:val="bottom"/>
          </w:tcPr>
          <w:p>
            <w:pPr>
              <w:jc w:val="right"/>
              <w:spacing w:after="0"/>
              <w:rPr>
                <w:sz w:val="20"/>
                <w:szCs w:val="20"/>
                <w:color w:val="auto"/>
              </w:rPr>
            </w:pPr>
            <w:r>
              <w:rPr>
                <w:rFonts w:ascii="Arial" w:cs="Arial" w:eastAsia="Arial" w:hAnsi="Arial"/>
                <w:sz w:val="20"/>
                <w:szCs w:val="20"/>
                <w:color w:val="auto"/>
              </w:rPr>
              <w:t>(168)</w:t>
            </w:r>
          </w:p>
        </w:tc>
        <w:tc>
          <w:tcPr>
            <w:tcW w:w="6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(401)</w:t>
            </w:r>
          </w:p>
        </w:tc>
      </w:tr>
    </w:tbl>
    <w:p>
      <w:pPr>
        <w:spacing w:after="0" w:line="327" w:lineRule="exact"/>
        <w:rPr>
          <w:sz w:val="20"/>
          <w:szCs w:val="20"/>
          <w:color w:val="auto"/>
        </w:rPr>
      </w:pPr>
    </w:p>
    <w:p>
      <w:pPr>
        <w:sectPr>
          <w:pgSz w:w="11880" w:h="15480" w:orient="portrait"/>
          <w:cols w:equalWidth="0" w:num="2">
            <w:col w:w="5620" w:space="720"/>
            <w:col w:w="3820"/>
          </w:cols>
          <w:pgMar w:left="860" w:top="512" w:right="860" w:bottom="0" w:gutter="0" w:footer="0" w:header="0"/>
          <w:type w:val="continuous"/>
        </w:sectPr>
      </w:pPr>
    </w:p>
    <w:tbl>
      <w:tblPr>
        <w:tblLayout w:type="fixed"/>
        <w:tblInd w:w="180" w:type="dxa"/>
        <w:tblCellMar>
          <w:top w:w="0" w:type="dxa"/>
          <w:left w:w="0" w:type="dxa"/>
          <w:bottom w:w="0" w:type="dxa"/>
          <w:right w:w="0" w:type="dxa"/>
        </w:tblCellMar>
      </w:tblPr>
      <w:tr>
        <w:trPr>
          <w:trHeight w:val="233"/>
        </w:trPr>
        <w:tc>
          <w:tcPr>
            <w:tcW w:w="50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6"/>
        </w:trPr>
        <w:tc>
          <w:tcPr>
            <w:tcW w:w="5080" w:type="dxa"/>
            <w:vAlign w:val="bottom"/>
          </w:tcPr>
          <w:p>
            <w:pPr>
              <w:ind w:left="120"/>
              <w:spacing w:after="0"/>
              <w:rPr>
                <w:sz w:val="20"/>
                <w:szCs w:val="20"/>
                <w:color w:val="auto"/>
              </w:rPr>
            </w:pPr>
            <w:r>
              <w:rPr>
                <w:rFonts w:ascii="Arial" w:cs="Arial" w:eastAsia="Arial" w:hAnsi="Arial"/>
                <w:sz w:val="18"/>
                <w:szCs w:val="18"/>
                <w:color w:val="auto"/>
                <w:w w:val="92"/>
              </w:rPr>
              <w:t xml:space="preserve">Amortization of capitalized contract costs </w:t>
            </w:r>
            <w:r>
              <w:rPr>
                <w:rFonts w:ascii="Arial" w:cs="Arial" w:eastAsia="Arial" w:hAnsi="Arial"/>
                <w:sz w:val="18"/>
                <w:szCs w:val="18"/>
                <w:color w:val="B4B4B4"/>
                <w:w w:val="92"/>
              </w:rPr>
              <w:t>. . . . . . . . . . . . . . . . . . . . .</w:t>
            </w:r>
          </w:p>
        </w:tc>
        <w:tc>
          <w:tcPr>
            <w:tcW w:w="720" w:type="dxa"/>
            <w:vAlign w:val="bottom"/>
          </w:tcPr>
          <w:p>
            <w:pPr>
              <w:jc w:val="right"/>
              <w:ind w:right="421"/>
              <w:spacing w:after="0"/>
              <w:rPr>
                <w:sz w:val="20"/>
                <w:szCs w:val="20"/>
                <w:color w:val="auto"/>
              </w:rPr>
            </w:pPr>
            <w:r>
              <w:rPr>
                <w:rFonts w:ascii="Arial" w:cs="Arial" w:eastAsia="Arial" w:hAnsi="Arial"/>
                <w:sz w:val="20"/>
                <w:szCs w:val="20"/>
                <w:color w:val="auto"/>
              </w:rPr>
              <w:t>$</w:t>
            </w:r>
          </w:p>
        </w:tc>
        <w:tc>
          <w:tcPr>
            <w:tcW w:w="840" w:type="dxa"/>
            <w:vAlign w:val="bottom"/>
          </w:tcPr>
          <w:p>
            <w:pPr>
              <w:ind w:left="520"/>
              <w:spacing w:after="0"/>
              <w:rPr>
                <w:sz w:val="20"/>
                <w:szCs w:val="20"/>
                <w:color w:val="auto"/>
              </w:rPr>
            </w:pPr>
            <w:r>
              <w:rPr>
                <w:rFonts w:ascii="Arial" w:cs="Arial" w:eastAsia="Arial" w:hAnsi="Arial"/>
                <w:sz w:val="20"/>
                <w:szCs w:val="20"/>
                <w:color w:val="auto"/>
              </w:rPr>
              <w:t>—</w:t>
            </w:r>
          </w:p>
        </w:tc>
        <w:tc>
          <w:tcPr>
            <w:tcW w:w="760" w:type="dxa"/>
            <w:vAlign w:val="bottom"/>
          </w:tcPr>
          <w:p>
            <w:pPr>
              <w:jc w:val="right"/>
              <w:ind w:right="46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86</w:t>
            </w:r>
          </w:p>
        </w:tc>
        <w:tc>
          <w:tcPr>
            <w:tcW w:w="740" w:type="dxa"/>
            <w:vAlign w:val="bottom"/>
          </w:tcPr>
          <w:p>
            <w:pPr>
              <w:jc w:val="right"/>
              <w:ind w:right="461"/>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82"/>
        </w:trPr>
        <w:tc>
          <w:tcPr>
            <w:tcW w:w="5080" w:type="dxa"/>
            <w:vAlign w:val="bottom"/>
          </w:tcPr>
          <w:p>
            <w:pPr>
              <w:ind w:left="120"/>
              <w:spacing w:after="0"/>
              <w:rPr>
                <w:sz w:val="20"/>
                <w:szCs w:val="20"/>
                <w:color w:val="auto"/>
              </w:rPr>
            </w:pPr>
            <w:r>
              <w:rPr>
                <w:rFonts w:ascii="Arial" w:cs="Arial" w:eastAsia="Arial" w:hAnsi="Arial"/>
                <w:sz w:val="18"/>
                <w:szCs w:val="18"/>
                <w:color w:val="auto"/>
                <w:w w:val="88"/>
              </w:rPr>
              <w:t xml:space="preserve">Prepayments and other current assets </w:t>
            </w:r>
            <w:r>
              <w:rPr>
                <w:rFonts w:ascii="Arial" w:cs="Arial" w:eastAsia="Arial" w:hAnsi="Arial"/>
                <w:sz w:val="18"/>
                <w:szCs w:val="18"/>
                <w:color w:val="B4B4B4"/>
                <w:w w:val="88"/>
              </w:rPr>
              <w:t>. . . . . . . . . . . . . . . . . . . . . . . . .</w:t>
            </w:r>
          </w:p>
        </w:tc>
        <w:tc>
          <w:tcPr>
            <w:tcW w:w="720" w:type="dxa"/>
            <w:vAlign w:val="bottom"/>
          </w:tcPr>
          <w:p>
            <w:pPr>
              <w:spacing w:after="0"/>
              <w:rPr>
                <w:sz w:val="24"/>
                <w:szCs w:val="24"/>
                <w:color w:val="auto"/>
              </w:rPr>
            </w:pPr>
          </w:p>
        </w:tc>
        <w:tc>
          <w:tcPr>
            <w:tcW w:w="840" w:type="dxa"/>
            <w:vAlign w:val="bottom"/>
          </w:tcPr>
          <w:p>
            <w:pPr>
              <w:ind w:left="520"/>
              <w:spacing w:after="0"/>
              <w:rPr>
                <w:sz w:val="20"/>
                <w:szCs w:val="20"/>
                <w:color w:val="auto"/>
              </w:rPr>
            </w:pPr>
            <w:r>
              <w:rPr>
                <w:rFonts w:ascii="Arial" w:cs="Arial" w:eastAsia="Arial" w:hAnsi="Arial"/>
                <w:sz w:val="20"/>
                <w:szCs w:val="20"/>
                <w:color w:val="auto"/>
              </w:rPr>
              <w:t>17</w:t>
            </w:r>
          </w:p>
        </w:tc>
        <w:tc>
          <w:tcPr>
            <w:tcW w:w="7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(86)</w:t>
            </w:r>
          </w:p>
        </w:tc>
        <w:tc>
          <w:tcPr>
            <w:tcW w:w="7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(69)</w:t>
            </w:r>
          </w:p>
        </w:tc>
      </w:tr>
    </w:tbl>
    <w:p>
      <w:pPr>
        <w:spacing w:after="0" w:line="16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Winter Storm Uri Uplift Securitization Proceeds</w:t>
      </w:r>
    </w:p>
    <w:p>
      <w:pPr>
        <w:spacing w:after="0" w:line="13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In May 2021, the Texas Legislature passed House Bill (“HB”) 4492 to mitigate exceptionally high price adders and ancillary service costs incurred by ERCOT LSEs during Winter Storm Uri. HB 4492 authorized ERCOT to obtain $2.1 billion of financing to distribute to LSEs that were charged and paid to ERCOT those highly priced ancillary service and online reliability deployment price adders during Winter Storm Uri.</w:t>
      </w:r>
    </w:p>
    <w:p>
      <w:pPr>
        <w:spacing w:after="0" w:line="8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 xml:space="preserve">In December 2021, ERCOT filed with the PUCT a calculation of each LSE’s share of proceeds based on the settlement methodology. The Company accounted for the proceeds by analogy to the contribution model within ASC 958-605, </w:t>
      </w:r>
      <w:r>
        <w:rPr>
          <w:rFonts w:ascii="Arial" w:cs="Arial" w:eastAsia="Arial" w:hAnsi="Arial"/>
          <w:sz w:val="20"/>
          <w:szCs w:val="20"/>
          <w:b w:val="1"/>
          <w:bCs w:val="1"/>
          <w:i w:val="1"/>
          <w:iCs w:val="1"/>
          <w:color w:val="auto"/>
        </w:rPr>
        <w:t xml:space="preserve">Not-for-Profit Entities- Revenue Recognition </w:t>
      </w:r>
      <w:r>
        <w:rPr>
          <w:rFonts w:ascii="Arial" w:cs="Arial" w:eastAsia="Arial" w:hAnsi="Arial"/>
          <w:sz w:val="20"/>
          <w:szCs w:val="20"/>
          <w:color w:val="auto"/>
        </w:rPr>
        <w:t>and the grant model within IAS 20,</w:t>
      </w:r>
      <w:r>
        <w:rPr>
          <w:rFonts w:ascii="Arial" w:cs="Arial" w:eastAsia="Arial" w:hAnsi="Arial"/>
          <w:sz w:val="20"/>
          <w:szCs w:val="20"/>
          <w:b w:val="1"/>
          <w:bCs w:val="1"/>
          <w:i w:val="1"/>
          <w:iCs w:val="1"/>
          <w:color w:val="auto"/>
        </w:rPr>
        <w:t xml:space="preserve"> Accounting for Government Grants and Disclosure of Government Assistance</w:t>
      </w:r>
      <w:r>
        <w:rPr>
          <w:rFonts w:ascii="Arial" w:cs="Arial" w:eastAsia="Arial" w:hAnsi="Arial"/>
          <w:sz w:val="20"/>
          <w:szCs w:val="20"/>
          <w:color w:val="auto"/>
        </w:rPr>
        <w:t>, as a reduction to expenses in the consolidated statements of operations in the 2021 annual period for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which the proceeds were intended to compensate. In June 2022, the Company received proceeds of $689 million from ERCOT in relation with HB 4492.</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Credit Losses</w:t>
      </w:r>
    </w:p>
    <w:p>
      <w:pPr>
        <w:spacing w:after="0" w:line="130"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8"/>
          <w:szCs w:val="18"/>
          <w:color w:val="auto"/>
        </w:rPr>
        <w:t xml:space="preserve">In accordance with ASU No. 2016-13, </w:t>
      </w:r>
      <w:r>
        <w:rPr>
          <w:rFonts w:ascii="Arial" w:cs="Arial" w:eastAsia="Arial" w:hAnsi="Arial"/>
          <w:sz w:val="18"/>
          <w:szCs w:val="18"/>
          <w:b w:val="1"/>
          <w:bCs w:val="1"/>
          <w:i w:val="1"/>
          <w:iCs w:val="1"/>
          <w:color w:val="auto"/>
        </w:rPr>
        <w:t>Financial Instruments - Credit Losses (Topic 326): Measurement of Credit Losses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on Financial Instruments</w:t>
      </w:r>
      <w:r>
        <w:rPr>
          <w:rFonts w:ascii="Arial" w:cs="Arial" w:eastAsia="Arial" w:hAnsi="Arial"/>
          <w:sz w:val="18"/>
          <w:szCs w:val="18"/>
          <w:color w:val="auto"/>
        </w:rPr>
        <w:t>, or ASU No. 2016-13, retail trade receivables are reported on the balance sheet net of the allowance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credit losses within accounts receivables, net. Long-term receivables are recorded net in other non-current assets on the consolidated balance sheet. The Company accrues an allowance for current expected credit losses based on (i) estimates of uncollectible revenues by analyzing accounts receivable aging and current and reasonable forecasts of expected economic factors including, but not limited to, unemployment rates and weather-related events, (ii) historical collections and delinquencies, and (iii) counterparty credit ratings for commercial and industrial customers. The Company writes off customer contract receivable balances against the allowance for credit losses when it is determined a receivable is uncollectible.</w:t>
      </w:r>
    </w:p>
    <w:p>
      <w:pPr>
        <w:sectPr>
          <w:pgSz w:w="11880" w:h="15480" w:orient="portrait"/>
          <w:cols w:equalWidth="0" w:num="1">
            <w:col w:w="10160"/>
          </w:cols>
          <w:pgMar w:left="860" w:top="512"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880" w:h="15480" w:orient="portrait"/>
          <w:cols w:equalWidth="0" w:num="1">
            <w:col w:w="10160"/>
          </w:cols>
          <w:pgMar w:left="860" w:top="512" w:right="860" w:bottom="0" w:gutter="0" w:footer="0" w:header="0"/>
          <w:type w:val="continuous"/>
        </w:sectPr>
      </w:pPr>
    </w:p>
    <w:bookmarkStart w:id="98" w:name="page99"/>
    <w:bookmarkEnd w:id="98"/>
    <w:p>
      <w:pPr>
        <w:jc w:val="both"/>
        <w:ind w:firstLine="445"/>
        <w:spacing w:after="0" w:line="277" w:lineRule="auto"/>
        <w:rPr>
          <w:sz w:val="20"/>
          <w:szCs w:val="20"/>
          <w:color w:val="auto"/>
        </w:rPr>
      </w:pPr>
      <w:r>
        <w:rPr>
          <w:rFonts w:ascii="Arial" w:cs="Arial" w:eastAsia="Arial" w:hAnsi="Arial"/>
          <w:sz w:val="20"/>
          <w:szCs w:val="20"/>
          <w:color w:val="auto"/>
        </w:rPr>
        <w:t>The following table presents the activity in the allowance for credit losses for the years ended December 31, 2024, 2023, and 2022:</w:t>
      </w:r>
    </w:p>
    <w:p>
      <w:pPr>
        <w:spacing w:after="0" w:line="3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5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Year Ended December 31,</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62"/>
        </w:trPr>
        <w:tc>
          <w:tcPr>
            <w:tcW w:w="4540" w:type="dxa"/>
            <w:vAlign w:val="bottom"/>
          </w:tcPr>
          <w:p>
            <w:pPr>
              <w:jc w:val="right"/>
              <w:ind w:right="3623"/>
              <w:spacing w:after="0"/>
              <w:rPr>
                <w:sz w:val="20"/>
                <w:szCs w:val="20"/>
                <w:color w:val="auto"/>
              </w:rPr>
            </w:pPr>
            <w:r>
              <w:rPr>
                <w:rFonts w:ascii="Arial" w:cs="Arial" w:eastAsia="Arial" w:hAnsi="Arial"/>
                <w:sz w:val="16"/>
                <w:szCs w:val="16"/>
                <w:b w:val="1"/>
                <w:bCs w:val="1"/>
                <w:color w:val="auto"/>
                <w:w w:val="89"/>
              </w:rPr>
              <w:t>(In millions)</w:t>
            </w:r>
          </w:p>
        </w:tc>
        <w:tc>
          <w:tcPr>
            <w:tcW w:w="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2"/>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22"/>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22"/>
              <w:spacing w:after="0"/>
              <w:rPr>
                <w:sz w:val="20"/>
                <w:szCs w:val="20"/>
                <w:color w:val="auto"/>
              </w:rPr>
            </w:pPr>
            <w:r>
              <w:rPr>
                <w:rFonts w:ascii="Arial" w:cs="Arial" w:eastAsia="Arial" w:hAnsi="Arial"/>
                <w:sz w:val="18"/>
                <w:szCs w:val="18"/>
                <w:b w:val="1"/>
                <w:bCs w:val="1"/>
                <w:color w:val="auto"/>
              </w:rPr>
              <w:t>2022</w:t>
            </w:r>
          </w:p>
        </w:tc>
      </w:tr>
      <w:tr>
        <w:trPr>
          <w:trHeight w:val="275"/>
        </w:trPr>
        <w:tc>
          <w:tcPr>
            <w:tcW w:w="4540" w:type="dxa"/>
            <w:vAlign w:val="bottom"/>
          </w:tcPr>
          <w:p>
            <w:pPr>
              <w:jc w:val="right"/>
              <w:spacing w:after="0"/>
              <w:rPr>
                <w:sz w:val="20"/>
                <w:szCs w:val="20"/>
                <w:color w:val="auto"/>
              </w:rPr>
            </w:pPr>
            <w:r>
              <w:rPr>
                <w:rFonts w:ascii="Arial" w:cs="Arial" w:eastAsia="Arial" w:hAnsi="Arial"/>
                <w:sz w:val="20"/>
                <w:szCs w:val="20"/>
                <w:color w:val="auto"/>
                <w:w w:val="91"/>
              </w:rPr>
              <w:t xml:space="preserve">Beginning balance </w:t>
            </w:r>
            <w:r>
              <w:rPr>
                <w:rFonts w:ascii="Arial" w:cs="Arial" w:eastAsia="Arial" w:hAnsi="Arial"/>
                <w:sz w:val="20"/>
                <w:szCs w:val="20"/>
                <w:color w:val="B4B4B4"/>
                <w:w w:val="91"/>
              </w:rPr>
              <w:t>. . . . . . . . . . . . . . . . . . . . . . . . . . . . .</w:t>
            </w:r>
          </w:p>
        </w:tc>
        <w:tc>
          <w:tcPr>
            <w:tcW w:w="4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145</w:t>
            </w:r>
          </w:p>
        </w:tc>
        <w:tc>
          <w:tcPr>
            <w:tcW w:w="54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133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683</w:t>
            </w:r>
          </w:p>
        </w:tc>
      </w:tr>
      <w:tr>
        <w:trPr>
          <w:trHeight w:val="297"/>
        </w:trPr>
        <w:tc>
          <w:tcPr>
            <w:tcW w:w="4540" w:type="dxa"/>
            <w:vAlign w:val="bottom"/>
          </w:tcPr>
          <w:p>
            <w:pPr>
              <w:jc w:val="right"/>
              <w:spacing w:after="0"/>
              <w:rPr>
                <w:sz w:val="20"/>
                <w:szCs w:val="20"/>
                <w:color w:val="auto"/>
              </w:rPr>
            </w:pPr>
            <w:r>
              <w:rPr>
                <w:rFonts w:ascii="Arial" w:cs="Arial" w:eastAsia="Arial" w:hAnsi="Arial"/>
                <w:sz w:val="20"/>
                <w:szCs w:val="20"/>
                <w:color w:val="auto"/>
                <w:w w:val="96"/>
              </w:rPr>
              <w:t xml:space="preserve">Acquired balance from Vivint Smart Home </w:t>
            </w:r>
            <w:r>
              <w:rPr>
                <w:rFonts w:ascii="Arial" w:cs="Arial" w:eastAsia="Arial" w:hAnsi="Arial"/>
                <w:sz w:val="20"/>
                <w:szCs w:val="20"/>
                <w:color w:val="B4B4B4"/>
                <w:w w:val="96"/>
              </w:rPr>
              <w:t>. . . . . . . .</w:t>
            </w:r>
          </w:p>
        </w:tc>
        <w:tc>
          <w:tcPr>
            <w:tcW w:w="4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36"/>
        </w:trPr>
        <w:tc>
          <w:tcPr>
            <w:tcW w:w="4540" w:type="dxa"/>
            <w:vAlign w:val="bottom"/>
          </w:tcPr>
          <w:p>
            <w:pPr>
              <w:jc w:val="right"/>
              <w:spacing w:after="0"/>
              <w:rPr>
                <w:sz w:val="20"/>
                <w:szCs w:val="20"/>
                <w:color w:val="auto"/>
              </w:rPr>
            </w:pPr>
            <w:r>
              <w:rPr>
                <w:rFonts w:ascii="Arial" w:cs="Arial" w:eastAsia="Arial" w:hAnsi="Arial"/>
                <w:sz w:val="20"/>
                <w:szCs w:val="20"/>
                <w:color w:val="auto"/>
                <w:w w:val="93"/>
              </w:rPr>
              <w:t>Provision for credit losses</w:t>
            </w:r>
            <w:r>
              <w:rPr>
                <w:rFonts w:ascii="Arial" w:cs="Arial" w:eastAsia="Arial" w:hAnsi="Arial"/>
                <w:sz w:val="25"/>
                <w:szCs w:val="25"/>
                <w:color w:val="auto"/>
                <w:w w:val="93"/>
                <w:vertAlign w:val="superscript"/>
              </w:rPr>
              <w:t>(a)</w:t>
            </w:r>
            <w:r>
              <w:rPr>
                <w:rFonts w:ascii="Arial" w:cs="Arial" w:eastAsia="Arial" w:hAnsi="Arial"/>
                <w:sz w:val="20"/>
                <w:szCs w:val="20"/>
                <w:color w:val="auto"/>
                <w:w w:val="93"/>
              </w:rPr>
              <w:t xml:space="preserve">  </w:t>
            </w:r>
            <w:r>
              <w:rPr>
                <w:rFonts w:ascii="Arial" w:cs="Arial" w:eastAsia="Arial" w:hAnsi="Arial"/>
                <w:sz w:val="20"/>
                <w:szCs w:val="20"/>
                <w:color w:val="B4B4B4"/>
                <w:w w:val="93"/>
              </w:rPr>
              <w:t>. . . . . . . . . . . . . . . . . . . .</w:t>
            </w:r>
          </w:p>
        </w:tc>
        <w:tc>
          <w:tcPr>
            <w:tcW w:w="4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314</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58"/>
        </w:trPr>
        <w:tc>
          <w:tcPr>
            <w:tcW w:w="4540" w:type="dxa"/>
            <w:vAlign w:val="bottom"/>
          </w:tcPr>
          <w:p>
            <w:pPr>
              <w:jc w:val="right"/>
              <w:spacing w:after="0"/>
              <w:rPr>
                <w:sz w:val="20"/>
                <w:szCs w:val="20"/>
                <w:color w:val="auto"/>
              </w:rPr>
            </w:pPr>
            <w:r>
              <w:rPr>
                <w:rFonts w:ascii="Arial" w:cs="Arial" w:eastAsia="Arial" w:hAnsi="Arial"/>
                <w:sz w:val="20"/>
                <w:szCs w:val="20"/>
                <w:color w:val="auto"/>
                <w:w w:val="96"/>
              </w:rPr>
              <w:t xml:space="preserve">Write-offs </w:t>
            </w:r>
            <w:r>
              <w:rPr>
                <w:rFonts w:ascii="Arial" w:cs="Arial" w:eastAsia="Arial" w:hAnsi="Arial"/>
                <w:sz w:val="20"/>
                <w:szCs w:val="20"/>
                <w:color w:val="B4B4B4"/>
                <w:w w:val="96"/>
              </w:rPr>
              <w:t>. . . . . . . . . . . . . . . . . . . . . . . . . . . . . . . . . .</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(363)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(313)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(593)</w:t>
            </w:r>
          </w:p>
        </w:tc>
      </w:tr>
      <w:tr>
        <w:trPr>
          <w:trHeight w:val="297"/>
        </w:trPr>
        <w:tc>
          <w:tcPr>
            <w:tcW w:w="4540" w:type="dxa"/>
            <w:vAlign w:val="bottom"/>
          </w:tcPr>
          <w:p>
            <w:pPr>
              <w:jc w:val="right"/>
              <w:spacing w:after="0"/>
              <w:rPr>
                <w:sz w:val="20"/>
                <w:szCs w:val="20"/>
                <w:color w:val="auto"/>
              </w:rPr>
            </w:pPr>
            <w:r>
              <w:rPr>
                <w:rFonts w:ascii="Arial" w:cs="Arial" w:eastAsia="Arial" w:hAnsi="Arial"/>
                <w:sz w:val="20"/>
                <w:szCs w:val="20"/>
                <w:color w:val="auto"/>
                <w:w w:val="94"/>
              </w:rPr>
              <w:t xml:space="preserve">Recoveries collected </w:t>
            </w:r>
            <w:r>
              <w:rPr>
                <w:rFonts w:ascii="Arial" w:cs="Arial" w:eastAsia="Arial" w:hAnsi="Arial"/>
                <w:sz w:val="20"/>
                <w:szCs w:val="20"/>
                <w:color w:val="B4B4B4"/>
                <w:w w:val="94"/>
              </w:rPr>
              <w:t>. . . . . . . . . . . . . . . . . . . . . . . . . .</w:t>
            </w:r>
          </w:p>
        </w:tc>
        <w:tc>
          <w:tcPr>
            <w:tcW w:w="4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99"/>
        </w:trPr>
        <w:tc>
          <w:tcPr>
            <w:tcW w:w="4540" w:type="dxa"/>
            <w:vAlign w:val="bottom"/>
          </w:tcPr>
          <w:p>
            <w:pPr>
              <w:jc w:val="right"/>
              <w:spacing w:after="0"/>
              <w:rPr>
                <w:sz w:val="20"/>
                <w:szCs w:val="20"/>
                <w:color w:val="auto"/>
              </w:rPr>
            </w:pPr>
            <w:r>
              <w:rPr>
                <w:rFonts w:ascii="Arial" w:cs="Arial" w:eastAsia="Arial" w:hAnsi="Arial"/>
                <w:sz w:val="20"/>
                <w:szCs w:val="20"/>
                <w:color w:val="auto"/>
                <w:w w:val="94"/>
              </w:rPr>
              <w:t xml:space="preserve">Other </w:t>
            </w:r>
            <w:r>
              <w:rPr>
                <w:rFonts w:ascii="Arial" w:cs="Arial" w:eastAsia="Arial" w:hAnsi="Arial"/>
                <w:sz w:val="20"/>
                <w:szCs w:val="20"/>
                <w:color w:val="B4B4B4"/>
                <w:w w:val="94"/>
              </w:rPr>
              <w:t>. . . . . . . . . . . . . . . . . . . . . . . . . . . . . . . . . . . . . .</w:t>
            </w: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7"/>
        </w:trPr>
        <w:tc>
          <w:tcPr>
            <w:tcW w:w="4540" w:type="dxa"/>
            <w:vAlign w:val="bottom"/>
          </w:tcPr>
          <w:p>
            <w:pPr>
              <w:jc w:val="right"/>
              <w:spacing w:after="0" w:line="257" w:lineRule="exact"/>
              <w:rPr>
                <w:sz w:val="20"/>
                <w:szCs w:val="20"/>
                <w:color w:val="auto"/>
              </w:rPr>
            </w:pPr>
            <w:r>
              <w:rPr>
                <w:rFonts w:ascii="Arial" w:cs="Arial" w:eastAsia="Arial" w:hAnsi="Arial"/>
                <w:sz w:val="20"/>
                <w:szCs w:val="20"/>
                <w:b w:val="1"/>
                <w:bCs w:val="1"/>
                <w:color w:val="B4B4B4"/>
                <w:w w:val="95"/>
              </w:rPr>
              <w:t>. . . . . . . . . . . . . . . . . . . . . . . . . . . .</w:t>
            </w:r>
            <w:r>
              <w:rPr>
                <w:rFonts w:ascii="Arial" w:cs="Arial" w:eastAsia="Arial" w:hAnsi="Arial"/>
                <w:sz w:val="20"/>
                <w:szCs w:val="20"/>
                <w:b w:val="1"/>
                <w:bCs w:val="1"/>
                <w:color w:val="000000"/>
                <w:w w:val="95"/>
              </w:rPr>
              <w:t>Endingbalance</w:t>
            </w:r>
            <w:r>
              <w:rPr>
                <w:rFonts w:ascii="Arial" w:cs="Arial" w:eastAsia="Arial" w:hAnsi="Arial"/>
                <w:sz w:val="25"/>
                <w:szCs w:val="25"/>
                <w:b w:val="1"/>
                <w:bCs w:val="1"/>
                <w:color w:val="000000"/>
                <w:w w:val="95"/>
                <w:vertAlign w:val="superscript"/>
              </w:rPr>
              <w:t>(a)</w:t>
            </w:r>
          </w:p>
        </w:tc>
        <w:tc>
          <w:tcPr>
            <w:tcW w:w="4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152</w:t>
            </w:r>
          </w:p>
        </w:tc>
        <w:tc>
          <w:tcPr>
            <w:tcW w:w="54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145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133</w:t>
            </w:r>
          </w:p>
        </w:tc>
      </w:tr>
      <w:tr>
        <w:trPr>
          <w:trHeight w:val="20"/>
        </w:trPr>
        <w:tc>
          <w:tcPr>
            <w:tcW w:w="4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-1351280</wp:posOffset>
            </wp:positionV>
            <wp:extent cx="6475095" cy="13582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9">
                      <a:extLst>
                        <a:ext uri="{28A0092B-C50C-407E-A947-70E740481C1C}"/>
                      </a:extLst>
                    </a:blip>
                    <a:srcRect/>
                    <a:stretch>
                      <a:fillRect/>
                    </a:stretch>
                  </pic:blipFill>
                  <pic:spPr bwMode="auto">
                    <a:xfrm>
                      <a:off x="0" y="0"/>
                      <a:ext cx="6475095" cy="135826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 Includes bilateral finance hedging risk of $(70) million accounted for under ASC 815 for the year ended December 31, 2022</w:t>
      </w:r>
    </w:p>
    <w:p>
      <w:pPr>
        <w:spacing w:after="0" w:line="204"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9"/>
          <w:szCs w:val="19"/>
          <w:color w:val="auto"/>
        </w:rPr>
        <w:t>During the year ended December 31, 2022, the provision for credit losses included the Company's loss mitigation efforts recognized as income of $126 million related to Winter Storm Uri. The increase in write-offs during the year ended December 31, 2022 was primarily due to the resolution of credit losses that occurred during Winter Storm Uri.</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Cash and Cash Equivalents</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Cash and cash equivalents include highly liquid investments with an original maturity of three months or less at the time of purchase.</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Funds Deposited by Counterparties</w:t>
      </w:r>
    </w:p>
    <w:p>
      <w:pPr>
        <w:spacing w:after="0" w:line="134"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9"/>
          <w:szCs w:val="19"/>
          <w:color w:val="auto"/>
        </w:rPr>
        <w:t>Funds deposited by counterparties consist of cash held by the Company as a result of collateral posting obligations from its counterparties related to NRG's hedging program. The increase in funds deposited by counterparties is driven by the increase in forward positions as a result of increases in natural gas and power prices compared to December 31, 2023. Though some amounts are segregated into separate accounts, not all funds are contractually restricted. Based on the Company's intention, these funds are not available for the payment of general corporate obligations; however, they are available for liquidity management. Depending on market fluctuations and the settlement of the underlying contracts, the Company will refund this collateral to the hedge counterparties pursuant to the terms and conditions of the underlying trades. Since collateral requirements fluctuate daily and the Company cannot predict if any collateral will be held for more than twelve months, the funds deposited by counterparties are classified as a current asset on the Company's balance sheet, with an offsetting liability for this cash collateral received within current liabilities.</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Restricted Cash</w:t>
      </w:r>
    </w:p>
    <w:p>
      <w:pPr>
        <w:spacing w:after="0" w:line="13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following table provides a reconciliation of cash and cash equivalents, restricted cash and funds deposited by counterparties reported within the consolidated balance sheets that sum to the total of the same such amounts shown in the statements of cash flows.</w:t>
      </w:r>
    </w:p>
    <w:p>
      <w:pPr>
        <w:spacing w:after="0" w:line="52" w:lineRule="exact"/>
        <w:rPr>
          <w:sz w:val="20"/>
          <w:szCs w:val="20"/>
          <w:color w:val="auto"/>
        </w:rPr>
      </w:pPr>
    </w:p>
    <w:p>
      <w:pPr>
        <w:ind w:left="7260"/>
        <w:spacing w:after="0"/>
        <w:rPr>
          <w:sz w:val="20"/>
          <w:szCs w:val="20"/>
          <w:color w:val="auto"/>
        </w:rPr>
      </w:pPr>
      <w:r>
        <w:rPr>
          <w:rFonts w:ascii="Arial" w:cs="Arial" w:eastAsia="Arial" w:hAnsi="Arial"/>
          <w:sz w:val="18"/>
          <w:szCs w:val="18"/>
          <w:b w:val="1"/>
          <w:bCs w:val="1"/>
          <w:color w:val="auto"/>
        </w:rPr>
        <w:t>Year Ended December 31,</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634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5"/>
        </w:trPr>
        <w:tc>
          <w:tcPr>
            <w:tcW w:w="6340" w:type="dxa"/>
            <w:vAlign w:val="bottom"/>
          </w:tcPr>
          <w:p>
            <w:pPr>
              <w:jc w:val="right"/>
              <w:spacing w:after="0"/>
              <w:rPr>
                <w:sz w:val="20"/>
                <w:szCs w:val="20"/>
                <w:color w:val="auto"/>
              </w:rPr>
            </w:pPr>
            <w:r>
              <w:rPr>
                <w:rFonts w:ascii="Arial" w:cs="Arial" w:eastAsia="Arial" w:hAnsi="Arial"/>
                <w:sz w:val="20"/>
                <w:szCs w:val="20"/>
                <w:color w:val="auto"/>
                <w:w w:val="89"/>
              </w:rPr>
              <w:t xml:space="preserve">Cash and cash equivalents </w:t>
            </w:r>
            <w:r>
              <w:rPr>
                <w:rFonts w:ascii="Arial" w:cs="Arial" w:eastAsia="Arial" w:hAnsi="Arial"/>
                <w:sz w:val="20"/>
                <w:szCs w:val="20"/>
                <w:color w:val="B4B4B4"/>
                <w:w w:val="89"/>
              </w:rPr>
              <w:t>. . . . . . . . . . . . . . . . . . . . . . . . . . . . . . . . . . . . . . . . .</w:t>
            </w:r>
          </w:p>
        </w:tc>
        <w:tc>
          <w:tcPr>
            <w:tcW w:w="2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966</w:t>
            </w:r>
          </w:p>
        </w:tc>
        <w:tc>
          <w:tcPr>
            <w:tcW w:w="880" w:type="dxa"/>
            <w:vAlign w:val="bottom"/>
            <w:gridSpan w:val="2"/>
          </w:tcPr>
          <w:p>
            <w:pPr>
              <w:jc w:val="right"/>
              <w:ind w:right="551"/>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w w:val="89"/>
              </w:rPr>
              <w:t>541</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430</w:t>
            </w:r>
          </w:p>
        </w:tc>
        <w:tc>
          <w:tcPr>
            <w:tcW w:w="0" w:type="dxa"/>
            <w:vAlign w:val="bottom"/>
          </w:tcPr>
          <w:p>
            <w:pPr>
              <w:spacing w:after="0"/>
              <w:rPr>
                <w:sz w:val="1"/>
                <w:szCs w:val="1"/>
                <w:color w:val="auto"/>
              </w:rPr>
            </w:pPr>
          </w:p>
        </w:tc>
      </w:tr>
      <w:tr>
        <w:trPr>
          <w:trHeight w:val="297"/>
        </w:trPr>
        <w:tc>
          <w:tcPr>
            <w:tcW w:w="6340" w:type="dxa"/>
            <w:vAlign w:val="bottom"/>
          </w:tcPr>
          <w:p>
            <w:pPr>
              <w:jc w:val="right"/>
              <w:spacing w:after="0"/>
              <w:rPr>
                <w:sz w:val="20"/>
                <w:szCs w:val="20"/>
                <w:color w:val="auto"/>
              </w:rPr>
            </w:pPr>
            <w:r>
              <w:rPr>
                <w:rFonts w:ascii="Arial" w:cs="Arial" w:eastAsia="Arial" w:hAnsi="Arial"/>
                <w:sz w:val="20"/>
                <w:szCs w:val="20"/>
                <w:color w:val="auto"/>
                <w:w w:val="90"/>
              </w:rPr>
              <w:t xml:space="preserve">Funds deposited by counterparties  </w:t>
            </w:r>
            <w:r>
              <w:rPr>
                <w:rFonts w:ascii="Arial" w:cs="Arial" w:eastAsia="Arial" w:hAnsi="Arial"/>
                <w:sz w:val="20"/>
                <w:szCs w:val="20"/>
                <w:color w:val="B4B4B4"/>
                <w:w w:val="90"/>
              </w:rPr>
              <w:t>. . . . . . . . . . . . . . . . . . . . . . . . . . . . . . . . . .</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199</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84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1,708</w:t>
            </w:r>
          </w:p>
        </w:tc>
        <w:tc>
          <w:tcPr>
            <w:tcW w:w="0" w:type="dxa"/>
            <w:vAlign w:val="bottom"/>
          </w:tcPr>
          <w:p>
            <w:pPr>
              <w:spacing w:after="0"/>
              <w:rPr>
                <w:sz w:val="1"/>
                <w:szCs w:val="1"/>
                <w:color w:val="auto"/>
              </w:rPr>
            </w:pPr>
          </w:p>
        </w:tc>
      </w:tr>
      <w:tr>
        <w:trPr>
          <w:trHeight w:val="299"/>
        </w:trPr>
        <w:tc>
          <w:tcPr>
            <w:tcW w:w="6340" w:type="dxa"/>
            <w:vAlign w:val="bottom"/>
          </w:tcPr>
          <w:p>
            <w:pPr>
              <w:jc w:val="right"/>
              <w:spacing w:after="0"/>
              <w:rPr>
                <w:sz w:val="20"/>
                <w:szCs w:val="20"/>
                <w:color w:val="auto"/>
              </w:rPr>
            </w:pPr>
            <w:r>
              <w:rPr>
                <w:rFonts w:ascii="Arial" w:cs="Arial" w:eastAsia="Arial" w:hAnsi="Arial"/>
                <w:sz w:val="20"/>
                <w:szCs w:val="20"/>
                <w:color w:val="auto"/>
                <w:w w:val="90"/>
              </w:rPr>
              <w:t xml:space="preserve">Restricted cash </w:t>
            </w:r>
            <w:r>
              <w:rPr>
                <w:rFonts w:ascii="Arial" w:cs="Arial" w:eastAsia="Arial" w:hAnsi="Arial"/>
                <w:sz w:val="20"/>
                <w:szCs w:val="20"/>
                <w:color w:val="B4B4B4"/>
                <w:w w:val="90"/>
              </w:rPr>
              <w:t>. . . . . . . . . . . . . . . . . . . . . . . . . . . . . . . . . . . . . . . . . . . . . . . . . .</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10"/>
        </w:trPr>
        <w:tc>
          <w:tcPr>
            <w:tcW w:w="6340" w:type="dxa"/>
            <w:vAlign w:val="bottom"/>
          </w:tcPr>
          <w:p>
            <w:pPr>
              <w:spacing w:after="0" w:line="209" w:lineRule="exact"/>
              <w:rPr>
                <w:sz w:val="20"/>
                <w:szCs w:val="20"/>
                <w:color w:val="auto"/>
              </w:rPr>
            </w:pPr>
            <w:r>
              <w:rPr>
                <w:rFonts w:ascii="Arial" w:cs="Arial" w:eastAsia="Arial" w:hAnsi="Arial"/>
                <w:sz w:val="20"/>
                <w:szCs w:val="20"/>
                <w:color w:val="auto"/>
                <w:w w:val="93"/>
              </w:rPr>
              <w:t>Cash and cash equivalents, funds deposited by counterparties and restricted</w:t>
            </w:r>
          </w:p>
        </w:tc>
        <w:tc>
          <w:tcPr>
            <w:tcW w:w="28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1,173</w:t>
            </w:r>
          </w:p>
        </w:tc>
        <w:tc>
          <w:tcPr>
            <w:tcW w:w="880" w:type="dxa"/>
            <w:vAlign w:val="bottom"/>
            <w:gridSpan w:val="2"/>
            <w:vMerge w:val="restart"/>
          </w:tcPr>
          <w:p>
            <w:pPr>
              <w:jc w:val="right"/>
              <w:ind w:right="551"/>
              <w:spacing w:after="0"/>
              <w:rPr>
                <w:sz w:val="20"/>
                <w:szCs w:val="20"/>
                <w:color w:val="auto"/>
              </w:rPr>
            </w:pPr>
            <w:r>
              <w:rPr>
                <w:rFonts w:ascii="Arial" w:cs="Arial" w:eastAsia="Arial" w:hAnsi="Arial"/>
                <w:sz w:val="20"/>
                <w:szCs w:val="20"/>
                <w:color w:val="auto"/>
              </w:rPr>
              <w:t>$</w:t>
            </w:r>
          </w:p>
        </w:tc>
        <w:tc>
          <w:tcPr>
            <w:tcW w:w="400" w:type="dxa"/>
            <w:vAlign w:val="bottom"/>
            <w:vMerge w:val="restart"/>
          </w:tcPr>
          <w:p>
            <w:pPr>
              <w:jc w:val="right"/>
              <w:spacing w:after="0"/>
              <w:rPr>
                <w:sz w:val="20"/>
                <w:szCs w:val="20"/>
                <w:color w:val="auto"/>
              </w:rPr>
            </w:pPr>
            <w:r>
              <w:rPr>
                <w:rFonts w:ascii="Arial" w:cs="Arial" w:eastAsia="Arial" w:hAnsi="Arial"/>
                <w:sz w:val="20"/>
                <w:szCs w:val="20"/>
                <w:color w:val="auto"/>
                <w:w w:val="89"/>
              </w:rPr>
              <w:t>649</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2,178</w:t>
            </w:r>
          </w:p>
        </w:tc>
        <w:tc>
          <w:tcPr>
            <w:tcW w:w="0" w:type="dxa"/>
            <w:vAlign w:val="bottom"/>
          </w:tcPr>
          <w:p>
            <w:pPr>
              <w:spacing w:after="0"/>
              <w:rPr>
                <w:sz w:val="1"/>
                <w:szCs w:val="1"/>
                <w:color w:val="auto"/>
              </w:rPr>
            </w:pPr>
          </w:p>
        </w:tc>
      </w:tr>
      <w:tr>
        <w:trPr>
          <w:trHeight w:val="240"/>
        </w:trPr>
        <w:tc>
          <w:tcPr>
            <w:tcW w:w="6340" w:type="dxa"/>
            <w:vAlign w:val="bottom"/>
          </w:tcPr>
          <w:p>
            <w:pPr>
              <w:jc w:val="right"/>
              <w:spacing w:after="0"/>
              <w:rPr>
                <w:sz w:val="20"/>
                <w:szCs w:val="20"/>
                <w:color w:val="auto"/>
              </w:rPr>
            </w:pPr>
            <w:r>
              <w:rPr>
                <w:rFonts w:ascii="Arial" w:cs="Arial" w:eastAsia="Arial" w:hAnsi="Arial"/>
                <w:sz w:val="20"/>
                <w:szCs w:val="20"/>
                <w:color w:val="auto"/>
                <w:w w:val="91"/>
              </w:rPr>
              <w:t xml:space="preserve">cash shown in the statements of cash flows </w:t>
            </w:r>
            <w:r>
              <w:rPr>
                <w:rFonts w:ascii="Arial" w:cs="Arial" w:eastAsia="Arial" w:hAnsi="Arial"/>
                <w:sz w:val="20"/>
                <w:szCs w:val="20"/>
                <w:color w:val="B4B4B4"/>
                <w:w w:val="91"/>
              </w:rPr>
              <w:t>. . . . . . . . . . . . . . . . . . . . . . . . . . .</w:t>
            </w:r>
          </w:p>
        </w:tc>
        <w:tc>
          <w:tcPr>
            <w:tcW w:w="28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-908050</wp:posOffset>
            </wp:positionV>
            <wp:extent cx="6456680" cy="915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0">
                      <a:extLst>
                        <a:ext uri="{28A0092B-C50C-407E-A947-70E740481C1C}"/>
                      </a:extLst>
                    </a:blip>
                    <a:srcRect/>
                    <a:stretch>
                      <a:fillRect/>
                    </a:stretch>
                  </pic:blipFill>
                  <pic:spPr bwMode="auto">
                    <a:xfrm>
                      <a:off x="0" y="0"/>
                      <a:ext cx="6456680" cy="915035"/>
                    </a:xfrm>
                    <a:prstGeom prst="rect">
                      <a:avLst/>
                    </a:prstGeom>
                    <a:noFill/>
                  </pic:spPr>
                </pic:pic>
              </a:graphicData>
            </a:graphic>
          </wp:anchor>
        </w:drawing>
      </w:r>
    </w:p>
    <w:p>
      <w:pPr>
        <w:spacing w:after="0" w:line="107" w:lineRule="exact"/>
        <w:rPr>
          <w:sz w:val="20"/>
          <w:szCs w:val="20"/>
          <w:color w:val="auto"/>
        </w:rPr>
      </w:pPr>
    </w:p>
    <w:p>
      <w:pPr>
        <w:ind w:left="440" w:right="1100"/>
        <w:spacing w:after="0" w:line="371" w:lineRule="auto"/>
        <w:rPr>
          <w:sz w:val="20"/>
          <w:szCs w:val="20"/>
          <w:color w:val="auto"/>
        </w:rPr>
      </w:pPr>
      <w:r>
        <w:rPr>
          <w:rFonts w:ascii="Arial" w:cs="Arial" w:eastAsia="Arial" w:hAnsi="Arial"/>
          <w:sz w:val="20"/>
          <w:szCs w:val="20"/>
          <w:color w:val="auto"/>
        </w:rPr>
        <w:t xml:space="preserve">Restricted cash consists primarily of funds held within the Company's projects that are restricted in their use. </w:t>
      </w:r>
      <w:r>
        <w:rPr>
          <w:rFonts w:ascii="Arial" w:cs="Arial" w:eastAsia="Arial" w:hAnsi="Arial"/>
          <w:sz w:val="20"/>
          <w:szCs w:val="20"/>
          <w:b w:val="1"/>
          <w:bCs w:val="1"/>
          <w:i w:val="1"/>
          <w:iCs w:val="1"/>
          <w:color w:val="auto"/>
        </w:rPr>
        <w:t>Inventory</w:t>
      </w:r>
    </w:p>
    <w:p>
      <w:pPr>
        <w:spacing w:after="0" w:line="2" w:lineRule="exact"/>
        <w:rPr>
          <w:sz w:val="20"/>
          <w:szCs w:val="20"/>
          <w:color w:val="auto"/>
        </w:rPr>
      </w:pPr>
    </w:p>
    <w:p>
      <w:pPr>
        <w:jc w:val="both"/>
        <w:ind w:firstLine="445"/>
        <w:spacing w:after="0" w:line="326" w:lineRule="auto"/>
        <w:rPr>
          <w:sz w:val="20"/>
          <w:szCs w:val="20"/>
          <w:color w:val="auto"/>
        </w:rPr>
      </w:pPr>
      <w:r>
        <w:rPr>
          <w:rFonts w:ascii="Arial" w:cs="Arial" w:eastAsia="Arial" w:hAnsi="Arial"/>
          <w:sz w:val="16"/>
          <w:szCs w:val="16"/>
          <w:color w:val="auto"/>
        </w:rPr>
        <w:t>Inventory is valued at the lower of weighted average cost or market, and consists principally of natural gas, fuel oil, coal, spare parts and finished goods. The Company removes natural gas inventory as goods are delivered to customers and as they are used in the production of electricity or steam. The Company removes fuel oil and coal inventories as they are used in the production of electricity. The Company removes spare parts inventories when they are used for repairs, maintenance or capital projects. The Company expects to recover the natural gas, fuel oil, coal and spare parts costs in the ordinary course of business. Inventory is valued at the lower of cost or net realizable value with cost being determined on a first in first out basis for finished goods and weighted average cost method for all other inventories. The Company removes finished goods inventories as they are</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880" w:h="15480" w:orient="portrait"/>
          <w:cols w:equalWidth="0" w:num="1">
            <w:col w:w="10160"/>
          </w:cols>
          <w:pgMar w:left="860" w:top="512" w:right="860" w:bottom="0" w:gutter="0" w:footer="0" w:header="0"/>
          <w:type w:val="continuous"/>
        </w:sectPr>
      </w:pPr>
    </w:p>
    <w:bookmarkStart w:id="99" w:name="page100"/>
    <w:bookmarkEnd w:id="99"/>
    <w:p>
      <w:pPr>
        <w:jc w:val="both"/>
        <w:spacing w:after="0" w:line="304" w:lineRule="auto"/>
        <w:rPr>
          <w:sz w:val="20"/>
          <w:szCs w:val="20"/>
          <w:color w:val="auto"/>
        </w:rPr>
      </w:pPr>
      <w:r>
        <w:rPr>
          <w:rFonts w:ascii="Arial" w:cs="Arial" w:eastAsia="Arial" w:hAnsi="Arial"/>
          <w:sz w:val="19"/>
          <w:szCs w:val="19"/>
          <w:color w:val="auto"/>
        </w:rPr>
        <w:t>sold to customers. Inventories sold to customers as part of a smart home system are generally capitalized as contract costs. Sales of inventory are classified as an operating activity in the consolidated statements of cash flows.</w:t>
      </w:r>
    </w:p>
    <w:p>
      <w:pPr>
        <w:spacing w:after="0" w:line="3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Property, Plant and Equipment</w:t>
      </w:r>
    </w:p>
    <w:p>
      <w:pPr>
        <w:spacing w:after="0" w:line="134"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8"/>
          <w:szCs w:val="18"/>
          <w:color w:val="auto"/>
        </w:rPr>
        <w:t xml:space="preserve">Property, plant and equipment are stated at cost or, in the case of business acquisitions, acquisition date fair value; however, impairment adjustments are recorded whenever events or changes in circumstances indicate that their carrying values may not be recoverable. Significant additions or improvements extending asset lives are capitalized as incurred, while repairs and maintenance that do not improve or extend the life of the respective asset are charged to expense as incurred. Depreciation, other than nuclear fuel, is computed using the straight-line method, while nuclear fuel was amortized based on units of production over the estimated useful lives. Certain assets and their related accumulated depreciation amounts are adjusted for asset retirements and disposals with the resulting gain or loss included in cost of operations in the consolidated statements of operations. For further discussion, see Note 8, </w:t>
      </w:r>
      <w:r>
        <w:rPr>
          <w:rFonts w:ascii="Arial" w:cs="Arial" w:eastAsia="Arial" w:hAnsi="Arial"/>
          <w:sz w:val="18"/>
          <w:szCs w:val="18"/>
          <w:b w:val="1"/>
          <w:bCs w:val="1"/>
          <w:i w:val="1"/>
          <w:iCs w:val="1"/>
          <w:color w:val="auto"/>
        </w:rPr>
        <w:t>Property, Plant and Equipment</w:t>
      </w:r>
      <w:r>
        <w:rPr>
          <w:rFonts w:ascii="Arial" w:cs="Arial" w:eastAsia="Arial" w:hAnsi="Arial"/>
          <w:sz w:val="18"/>
          <w:szCs w:val="18"/>
          <w:color w:val="auto"/>
        </w:rPr>
        <w:t>.</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Business Interruption Insurance</w:t>
      </w:r>
    </w:p>
    <w:p>
      <w:pPr>
        <w:spacing w:after="0" w:line="13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The Company carries insurance policies to cover insurable risks including, but not limited to, business interruption. There were no business interruption insurance settlements during the year ended December 31, 2024. As a result of damage at the Limestone 1 and W.A. Parish 8 units, the Company recorded business interruption insurance settlements of $7 million and $81 million during the years ended December 31, 2023 and 2022, respectively. Business interruption insurance is recorded to cost of operations in the consolidated statements of operations and cash provided by operating activities in the consolidated statement of cash flows.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Asset Impairments</w:t>
      </w:r>
    </w:p>
    <w:p>
      <w:pPr>
        <w:spacing w:after="0" w:line="134"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Long-lived assets that are held and used are reviewed for impairment whenever events or changes in circumstances indicate carrying values may not be recoverable. Such reviews are performed in accordance with ASC 360. An impairment loss is indicated if the total future estimated undiscounted cash flows expected from an asset are less than its carrying value. An impairment charge is measured by the difference between an asset's carrying amount and fair value with the difference recorded in operating costs and expenses in the consolidated statements of operations. Fair values are determined by a variety of valuation methods, including third-party appraisals, sales prices of similar assets and present value techniques.</w:t>
      </w:r>
    </w:p>
    <w:p>
      <w:pPr>
        <w:spacing w:after="0" w:line="55"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20"/>
          <w:szCs w:val="20"/>
          <w:color w:val="auto"/>
        </w:rPr>
        <w:t xml:space="preserve">Investments accounted for by the equity method are reviewed for impairment in accordance with ASC 323, </w:t>
      </w:r>
      <w:r>
        <w:rPr>
          <w:rFonts w:ascii="Arial" w:cs="Arial" w:eastAsia="Arial" w:hAnsi="Arial"/>
          <w:sz w:val="20"/>
          <w:szCs w:val="20"/>
          <w:b w:val="1"/>
          <w:bCs w:val="1"/>
          <w:i w:val="1"/>
          <w:iCs w:val="1"/>
          <w:color w:val="auto"/>
        </w:rPr>
        <w:t>Investments-Equity Method and Joint Ventures</w:t>
      </w:r>
      <w:r>
        <w:rPr>
          <w:rFonts w:ascii="Arial" w:cs="Arial" w:eastAsia="Arial" w:hAnsi="Arial"/>
          <w:sz w:val="20"/>
          <w:szCs w:val="20"/>
          <w:color w:val="auto"/>
        </w:rPr>
        <w:t xml:space="preserve">, or ASC 323, which requires that a loss in value of an investment that is an other-than-temporary decline should be recognized. The Company identifies and measures losses in the value of equity method investments based upon a comparison of fair value to carrying value. For further discussion of these matters, refer to Note 10, </w:t>
      </w:r>
      <w:r>
        <w:rPr>
          <w:rFonts w:ascii="Arial" w:cs="Arial" w:eastAsia="Arial" w:hAnsi="Arial"/>
          <w:sz w:val="20"/>
          <w:szCs w:val="20"/>
          <w:b w:val="1"/>
          <w:bCs w:val="1"/>
          <w:i w:val="1"/>
          <w:iCs w:val="1"/>
          <w:color w:val="auto"/>
        </w:rPr>
        <w:t>Asset Impairments</w:t>
      </w:r>
      <w:r>
        <w:rPr>
          <w:rFonts w:ascii="Arial" w:cs="Arial" w:eastAsia="Arial" w:hAnsi="Arial"/>
          <w:sz w:val="20"/>
          <w:szCs w:val="20"/>
          <w:color w:val="auto"/>
        </w:rPr>
        <w: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Debt Issuance Costs</w:t>
      </w:r>
    </w:p>
    <w:p>
      <w:pPr>
        <w:spacing w:after="0" w:line="134" w:lineRule="exact"/>
        <w:rPr>
          <w:sz w:val="20"/>
          <w:szCs w:val="20"/>
          <w:color w:val="auto"/>
        </w:rPr>
      </w:pPr>
    </w:p>
    <w:p>
      <w:pPr>
        <w:jc w:val="both"/>
        <w:ind w:firstLine="445"/>
        <w:spacing w:after="0" w:line="358" w:lineRule="auto"/>
        <w:rPr>
          <w:sz w:val="20"/>
          <w:szCs w:val="20"/>
          <w:color w:val="auto"/>
        </w:rPr>
      </w:pPr>
      <w:r>
        <w:rPr>
          <w:rFonts w:ascii="Arial" w:cs="Arial" w:eastAsia="Arial" w:hAnsi="Arial"/>
          <w:sz w:val="16"/>
          <w:szCs w:val="16"/>
          <w:color w:val="auto"/>
        </w:rPr>
        <w:t>Debt issuance costs are capitalized and amortized as interest expense on a basis that approximates the effective interest method over the term of the related debt. Debt issuance costs are presented as a direct deduction from the carrying amount of the related debt, or as an asset if the issuance costs relate to revolving debt agreements or certain other financing arrangements.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Intangible Assets</w:t>
      </w:r>
    </w:p>
    <w:p>
      <w:pPr>
        <w:spacing w:after="0" w:line="13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color w:val="auto"/>
        </w:rPr>
        <w:t>Intangible assets represent contractual rights held by the Company. The Company recognizes specifically identifiable intangible assets including emissions allowances, customer and supply contracts, customer relationships, marketing partnerships, technologies, trade names and fuel contracts when specific rights and contracts are acquired. These intangible assets are amortized based on expected volumes, expected delivery, expected discounted future net cash flows, straight line or units of production basis. As of December 31, 2024 and 2023, the Company had accumulated amortization related to its intangible assets of $3.6 billion and $3.0 billion, respectively.</w:t>
      </w:r>
    </w:p>
    <w:p>
      <w:pPr>
        <w:spacing w:after="0" w:line="7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Emission allowances held-for-sale, which are included in other non-current assets on the Company's consolidated balance sheet, are not amortized; they are carried at the lower of cost or fair value and reviewed for impairment in accordance with ASC 360.</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 xml:space="preserve">For further discussion, see Note 11, </w:t>
      </w:r>
      <w:r>
        <w:rPr>
          <w:rFonts w:ascii="Arial" w:cs="Arial" w:eastAsia="Arial" w:hAnsi="Arial"/>
          <w:sz w:val="20"/>
          <w:szCs w:val="20"/>
          <w:b w:val="1"/>
          <w:bCs w:val="1"/>
          <w:i w:val="1"/>
          <w:iCs w:val="1"/>
          <w:color w:val="auto"/>
        </w:rPr>
        <w:t>Goodwill and Other Intangibles</w:t>
      </w:r>
      <w:r>
        <w:rPr>
          <w:rFonts w:ascii="Arial" w:cs="Arial" w:eastAsia="Arial" w:hAnsi="Arial"/>
          <w:sz w:val="20"/>
          <w:szCs w:val="20"/>
          <w:color w:val="auto"/>
        </w:rPr>
        <w:t>.</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Goodwill</w:t>
      </w:r>
    </w:p>
    <w:p>
      <w:pPr>
        <w:spacing w:after="0" w:line="13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20"/>
          <w:szCs w:val="20"/>
          <w:color w:val="auto"/>
        </w:rPr>
        <w:t xml:space="preserve">In accordance with ASC 350, </w:t>
      </w:r>
      <w:r>
        <w:rPr>
          <w:rFonts w:ascii="Arial" w:cs="Arial" w:eastAsia="Arial" w:hAnsi="Arial"/>
          <w:sz w:val="20"/>
          <w:szCs w:val="20"/>
          <w:b w:val="1"/>
          <w:bCs w:val="1"/>
          <w:i w:val="1"/>
          <w:iCs w:val="1"/>
          <w:color w:val="auto"/>
        </w:rPr>
        <w:t>Intangibles-Goodwill and Other</w:t>
      </w:r>
      <w:r>
        <w:rPr>
          <w:rFonts w:ascii="Arial" w:cs="Arial" w:eastAsia="Arial" w:hAnsi="Arial"/>
          <w:sz w:val="20"/>
          <w:szCs w:val="20"/>
          <w:color w:val="auto"/>
        </w:rPr>
        <w:t>, or ASC 350, the Company recognizes goodwill for the excess cost of an acquired entity over the net value assigned to assets acquired and liabilities assumed. NRG performs goodwill impairment tests annually, during the fourth quarter, and when events or changes in circumstances indicate that the carrying value may not be recoverable.</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880" w:h="15480" w:orient="portrait"/>
          <w:cols w:equalWidth="0" w:num="1">
            <w:col w:w="10160"/>
          </w:cols>
          <w:pgMar w:left="860" w:top="512" w:right="860" w:bottom="0" w:gutter="0" w:footer="0" w:header="0"/>
          <w:type w:val="continuous"/>
        </w:sectPr>
      </w:pPr>
    </w:p>
    <w:bookmarkStart w:id="100" w:name="page101"/>
    <w:bookmarkEnd w:id="100"/>
    <w:p>
      <w:pPr>
        <w:jc w:val="both"/>
        <w:ind w:firstLine="445"/>
        <w:spacing w:after="0" w:line="257" w:lineRule="auto"/>
        <w:rPr>
          <w:sz w:val="20"/>
          <w:szCs w:val="20"/>
          <w:color w:val="auto"/>
        </w:rPr>
      </w:pPr>
      <w:r>
        <w:rPr>
          <w:rFonts w:ascii="Arial" w:cs="Arial" w:eastAsia="Arial" w:hAnsi="Arial"/>
          <w:sz w:val="20"/>
          <w:szCs w:val="20"/>
          <w:color w:val="auto"/>
        </w:rPr>
        <w:t>The Company may first assess qualitative factors to determine whether it is more likely than not that the fair value of a reporting unit is less than its carrying amount. The more-likely-than-not threshold is defined as having a likelihood of more than 50 percent. If it is not more-likely-than-not that the fair value of a reporting unit is less than its carrying amount, there is no goodwill impairment.</w:t>
      </w:r>
    </w:p>
    <w:p>
      <w:pPr>
        <w:spacing w:after="0" w:line="8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In the absence of sufficient qualitative factors indicating that it is more-likely-than-not that no impairment occurred, the Company performs a quantitative assessment by determining the fair value of the reporting unit and comparing the fair value to its book value. If the fair value of the reporting unit exceeds its book value, goodwill of the reporting unit is not considered impaired. If the book value exceeds fair value, the Company recognizes an impairment loss equal to the difference between book value and fair value.</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 xml:space="preserve">For further discussion of goodwill impairment losses recognized refer to Note 10, </w:t>
      </w:r>
      <w:r>
        <w:rPr>
          <w:rFonts w:ascii="Arial" w:cs="Arial" w:eastAsia="Arial" w:hAnsi="Arial"/>
          <w:sz w:val="20"/>
          <w:szCs w:val="20"/>
          <w:b w:val="1"/>
          <w:bCs w:val="1"/>
          <w:i w:val="1"/>
          <w:iCs w:val="1"/>
          <w:color w:val="auto"/>
        </w:rPr>
        <w:t>Asset Impairments</w:t>
      </w:r>
      <w:r>
        <w:rPr>
          <w:rFonts w:ascii="Arial" w:cs="Arial" w:eastAsia="Arial" w:hAnsi="Arial"/>
          <w:sz w:val="20"/>
          <w:szCs w:val="20"/>
          <w:color w:val="auto"/>
        </w:rPr>
        <w:t>.</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Capitalized Contract Costs</w:t>
      </w:r>
    </w:p>
    <w:p>
      <w:pPr>
        <w:spacing w:after="0" w:line="134" w:lineRule="exact"/>
        <w:rPr>
          <w:sz w:val="20"/>
          <w:szCs w:val="20"/>
          <w:color w:val="auto"/>
        </w:rPr>
      </w:pPr>
    </w:p>
    <w:p>
      <w:pPr>
        <w:jc w:val="both"/>
        <w:ind w:firstLine="445"/>
        <w:spacing w:after="0" w:line="281" w:lineRule="auto"/>
        <w:rPr>
          <w:sz w:val="20"/>
          <w:szCs w:val="20"/>
          <w:color w:val="auto"/>
        </w:rPr>
      </w:pPr>
      <w:r>
        <w:rPr>
          <w:rFonts w:ascii="Arial" w:cs="Arial" w:eastAsia="Arial" w:hAnsi="Arial"/>
          <w:sz w:val="18"/>
          <w:szCs w:val="18"/>
          <w:color w:val="auto"/>
        </w:rPr>
        <w:t>Capitalized contract costs represent the costs directly related and incremental to the origination of new contracts, modification of existing contracts or to the fulfillment of the related customer contracts. These costs include installed products, commissions, other compensation and the cost of installation of new or upgraded customer contracts. The Company calculates amortization by accumulating all deferred contract costs into separate portfolios based on the initial month of service and amortizes those deferred contract costs on a straight-line basis over the expected period of benefit, consistent with the pattern in which the Company provides services to its customers. The expected period of benefit for customers is approximately five years. The Company updates its estimate of the expected period of benefit periodically and whenever events or circumstances indicate that the expected period of benefit could change significantly. Such changes, if any, are accounted for prospectively as a change in estimate. Amortization of capitalized contract costs are included in depreciation and amortization in the consolidated statements of operations. Contract costs not directly related and incremental to the origination of new contracts, modification of existing contracts or to the fulfillment of the related customer contracts are expensed as incurred.</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Depreciation and Amortization</w:t>
      </w:r>
    </w:p>
    <w:p>
      <w:pPr>
        <w:spacing w:after="0" w:line="12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The Company's depreciation and amortization included in the consolidated statement of operations consisted of the following:</w:t>
      </w:r>
    </w:p>
    <w:p>
      <w:pPr>
        <w:spacing w:after="0" w:line="3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rPr>
              <w:t>For the 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52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87"/>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84"/>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84"/>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75"/>
        </w:trPr>
        <w:tc>
          <w:tcPr>
            <w:tcW w:w="5520" w:type="dxa"/>
            <w:vAlign w:val="bottom"/>
          </w:tcPr>
          <w:p>
            <w:pPr>
              <w:ind w:left="240"/>
              <w:spacing w:after="0"/>
              <w:rPr>
                <w:sz w:val="20"/>
                <w:szCs w:val="20"/>
                <w:color w:val="auto"/>
              </w:rPr>
            </w:pPr>
            <w:r>
              <w:rPr>
                <w:rFonts w:ascii="Arial" w:cs="Arial" w:eastAsia="Arial" w:hAnsi="Arial"/>
                <w:sz w:val="20"/>
                <w:szCs w:val="20"/>
                <w:color w:val="auto"/>
                <w:w w:val="93"/>
              </w:rPr>
              <w:t xml:space="preserve">Amortization of capitalized contract costs related to fulfillment </w:t>
            </w:r>
            <w:r>
              <w:rPr>
                <w:rFonts w:ascii="Arial" w:cs="Arial" w:eastAsia="Arial" w:hAnsi="Arial"/>
                <w:sz w:val="20"/>
                <w:szCs w:val="20"/>
                <w:color w:val="B4B4B4"/>
                <w:w w:val="93"/>
              </w:rPr>
              <w:t>. .</w:t>
            </w:r>
          </w:p>
        </w:tc>
        <w:tc>
          <w:tcPr>
            <w:tcW w:w="3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120</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37</w:t>
            </w:r>
          </w:p>
        </w:tc>
        <w:tc>
          <w:tcPr>
            <w:tcW w:w="52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2"/>
        </w:trPr>
        <w:tc>
          <w:tcPr>
            <w:tcW w:w="5520" w:type="dxa"/>
            <w:vAlign w:val="bottom"/>
          </w:tcPr>
          <w:p>
            <w:pPr>
              <w:ind w:left="240"/>
              <w:spacing w:after="0"/>
              <w:rPr>
                <w:sz w:val="20"/>
                <w:szCs w:val="20"/>
                <w:color w:val="auto"/>
              </w:rPr>
            </w:pPr>
            <w:r>
              <w:rPr>
                <w:rFonts w:ascii="Arial" w:cs="Arial" w:eastAsia="Arial" w:hAnsi="Arial"/>
                <w:sz w:val="20"/>
                <w:szCs w:val="20"/>
                <w:color w:val="auto"/>
                <w:w w:val="97"/>
              </w:rPr>
              <w:t>Amortization of capitalized contract costs related to customer</w:t>
            </w:r>
          </w:p>
        </w:tc>
        <w:tc>
          <w:tcPr>
            <w:tcW w:w="38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212</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131</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258"/>
        </w:trPr>
        <w:tc>
          <w:tcPr>
            <w:tcW w:w="5520" w:type="dxa"/>
            <w:vAlign w:val="bottom"/>
          </w:tcPr>
          <w:p>
            <w:pPr>
              <w:ind w:left="240"/>
              <w:spacing w:after="0"/>
              <w:rPr>
                <w:sz w:val="20"/>
                <w:szCs w:val="20"/>
                <w:color w:val="auto"/>
              </w:rPr>
            </w:pPr>
            <w:r>
              <w:rPr>
                <w:rFonts w:ascii="Arial" w:cs="Arial" w:eastAsia="Arial" w:hAnsi="Arial"/>
                <w:sz w:val="20"/>
                <w:szCs w:val="20"/>
                <w:color w:val="auto"/>
                <w:w w:val="90"/>
              </w:rPr>
              <w:t xml:space="preserve">acquisition </w:t>
            </w:r>
            <w:r>
              <w:rPr>
                <w:rFonts w:ascii="Arial" w:cs="Arial" w:eastAsia="Arial" w:hAnsi="Arial"/>
                <w:sz w:val="20"/>
                <w:szCs w:val="20"/>
                <w:color w:val="B4B4B4"/>
                <w:w w:val="90"/>
              </w:rPr>
              <w:t>. . . . . . . . . . . . . . . . . . . . . . . . . . . . . . . . . . . . . . . . . . . .</w:t>
            </w:r>
          </w:p>
        </w:tc>
        <w:tc>
          <w:tcPr>
            <w:tcW w:w="38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5520" w:type="dxa"/>
            <w:vAlign w:val="bottom"/>
          </w:tcPr>
          <w:p>
            <w:pPr>
              <w:ind w:left="240"/>
              <w:spacing w:after="0"/>
              <w:rPr>
                <w:sz w:val="20"/>
                <w:szCs w:val="20"/>
                <w:color w:val="auto"/>
              </w:rPr>
            </w:pPr>
            <w:r>
              <w:rPr>
                <w:rFonts w:ascii="Arial" w:cs="Arial" w:eastAsia="Arial" w:hAnsi="Arial"/>
                <w:sz w:val="20"/>
                <w:szCs w:val="20"/>
                <w:color w:val="auto"/>
              </w:rPr>
              <w:t>Amortization of customer relationships and other intangible</w:t>
            </w:r>
          </w:p>
        </w:tc>
        <w:tc>
          <w:tcPr>
            <w:tcW w:w="38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800</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870</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343</w:t>
            </w:r>
          </w:p>
        </w:tc>
        <w:tc>
          <w:tcPr>
            <w:tcW w:w="0" w:type="dxa"/>
            <w:vAlign w:val="bottom"/>
          </w:tcPr>
          <w:p>
            <w:pPr>
              <w:spacing w:after="0"/>
              <w:rPr>
                <w:sz w:val="1"/>
                <w:szCs w:val="1"/>
                <w:color w:val="auto"/>
              </w:rPr>
            </w:pPr>
          </w:p>
        </w:tc>
      </w:tr>
      <w:tr>
        <w:trPr>
          <w:trHeight w:val="258"/>
        </w:trPr>
        <w:tc>
          <w:tcPr>
            <w:tcW w:w="5520" w:type="dxa"/>
            <w:vAlign w:val="bottom"/>
          </w:tcPr>
          <w:p>
            <w:pPr>
              <w:ind w:left="240"/>
              <w:spacing w:after="0"/>
              <w:rPr>
                <w:sz w:val="20"/>
                <w:szCs w:val="20"/>
                <w:color w:val="auto"/>
              </w:rPr>
            </w:pPr>
            <w:r>
              <w:rPr>
                <w:rFonts w:ascii="Arial" w:cs="Arial" w:eastAsia="Arial" w:hAnsi="Arial"/>
                <w:sz w:val="20"/>
                <w:szCs w:val="20"/>
                <w:color w:val="auto"/>
                <w:w w:val="88"/>
              </w:rPr>
              <w:t xml:space="preserve">assets </w:t>
            </w:r>
            <w:r>
              <w:rPr>
                <w:rFonts w:ascii="Arial" w:cs="Arial" w:eastAsia="Arial" w:hAnsi="Arial"/>
                <w:sz w:val="20"/>
                <w:szCs w:val="20"/>
                <w:color w:val="B4B4B4"/>
                <w:w w:val="88"/>
              </w:rPr>
              <w:t>. . . . . . . . . . . . . . . . . . . . . . . . . . . . . . . . . . . . . . . . . . . . . . . .</w:t>
            </w:r>
          </w:p>
        </w:tc>
        <w:tc>
          <w:tcPr>
            <w:tcW w:w="38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5520" w:type="dxa"/>
            <w:vAlign w:val="bottom"/>
          </w:tcPr>
          <w:p>
            <w:pPr>
              <w:ind w:left="240"/>
              <w:spacing w:after="0"/>
              <w:rPr>
                <w:sz w:val="20"/>
                <w:szCs w:val="20"/>
                <w:color w:val="auto"/>
              </w:rPr>
            </w:pPr>
            <w:r>
              <w:rPr>
                <w:rFonts w:ascii="Arial" w:cs="Arial" w:eastAsia="Arial" w:hAnsi="Arial"/>
                <w:sz w:val="20"/>
                <w:szCs w:val="20"/>
                <w:color w:val="auto"/>
                <w:w w:val="90"/>
              </w:rPr>
              <w:t xml:space="preserve">Depreciation of property, plant and equipment  </w:t>
            </w:r>
            <w:r>
              <w:rPr>
                <w:rFonts w:ascii="Arial" w:cs="Arial" w:eastAsia="Arial" w:hAnsi="Arial"/>
                <w:sz w:val="20"/>
                <w:szCs w:val="20"/>
                <w:color w:val="B4B4B4"/>
                <w:w w:val="90"/>
              </w:rPr>
              <w:t>. . . . . . . . . . . . . . .</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257</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291</w:t>
            </w:r>
          </w:p>
        </w:tc>
        <w:tc>
          <w:tcPr>
            <w:tcW w:w="0" w:type="dxa"/>
            <w:vAlign w:val="bottom"/>
          </w:tcPr>
          <w:p>
            <w:pPr>
              <w:spacing w:after="0"/>
              <w:rPr>
                <w:sz w:val="1"/>
                <w:szCs w:val="1"/>
                <w:color w:val="auto"/>
              </w:rPr>
            </w:pPr>
          </w:p>
        </w:tc>
      </w:tr>
      <w:tr>
        <w:trPr>
          <w:trHeight w:val="257"/>
        </w:trPr>
        <w:tc>
          <w:tcPr>
            <w:tcW w:w="5520" w:type="dxa"/>
            <w:vAlign w:val="bottom"/>
          </w:tcPr>
          <w:p>
            <w:pPr>
              <w:ind w:left="340"/>
              <w:spacing w:after="0"/>
              <w:rPr>
                <w:sz w:val="20"/>
                <w:szCs w:val="20"/>
                <w:color w:val="auto"/>
              </w:rPr>
            </w:pPr>
            <w:r>
              <w:rPr>
                <w:rFonts w:ascii="Arial" w:cs="Arial" w:eastAsia="Arial" w:hAnsi="Arial"/>
                <w:sz w:val="20"/>
                <w:szCs w:val="20"/>
                <w:b w:val="1"/>
                <w:bCs w:val="1"/>
                <w:color w:val="auto"/>
                <w:w w:val="92"/>
              </w:rPr>
              <w:t xml:space="preserve">Total depreciation and amortization </w:t>
            </w:r>
            <w:r>
              <w:rPr>
                <w:rFonts w:ascii="Arial" w:cs="Arial" w:eastAsia="Arial" w:hAnsi="Arial"/>
                <w:sz w:val="20"/>
                <w:szCs w:val="20"/>
                <w:b w:val="1"/>
                <w:bCs w:val="1"/>
                <w:color w:val="B4B4B4"/>
                <w:w w:val="92"/>
              </w:rPr>
              <w:t>. . . . . . . . . . . . . . . . . . . .</w:t>
            </w:r>
          </w:p>
        </w:tc>
        <w:tc>
          <w:tcPr>
            <w:tcW w:w="3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1,403</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1,295</w:t>
            </w:r>
          </w:p>
        </w:tc>
        <w:tc>
          <w:tcPr>
            <w:tcW w:w="52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720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-1219200</wp:posOffset>
            </wp:positionV>
            <wp:extent cx="6475095" cy="12261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1">
                      <a:extLst>
                        <a:ext uri="{28A0092B-C50C-407E-A947-70E740481C1C}"/>
                      </a:extLst>
                    </a:blip>
                    <a:srcRect/>
                    <a:stretch>
                      <a:fillRect/>
                    </a:stretch>
                  </pic:blipFill>
                  <pic:spPr bwMode="auto">
                    <a:xfrm>
                      <a:off x="0" y="0"/>
                      <a:ext cx="6475095" cy="1226185"/>
                    </a:xfrm>
                    <a:prstGeom prst="rect">
                      <a:avLst/>
                    </a:prstGeom>
                    <a:noFill/>
                  </pic:spPr>
                </pic:pic>
              </a:graphicData>
            </a:graphic>
          </wp:anchor>
        </w:drawing>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Income Taxes</w:t>
      </w:r>
    </w:p>
    <w:p>
      <w:pPr>
        <w:spacing w:after="0" w:line="130"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20"/>
          <w:szCs w:val="20"/>
          <w:color w:val="auto"/>
        </w:rPr>
        <w:t xml:space="preserve">The Company accounts for income taxes using the liability method in accordance with ASC 740, </w:t>
      </w:r>
      <w:r>
        <w:rPr>
          <w:rFonts w:ascii="Arial" w:cs="Arial" w:eastAsia="Arial" w:hAnsi="Arial"/>
          <w:sz w:val="20"/>
          <w:szCs w:val="20"/>
          <w:b w:val="1"/>
          <w:bCs w:val="1"/>
          <w:i w:val="1"/>
          <w:iCs w:val="1"/>
          <w:color w:val="auto"/>
        </w:rPr>
        <w:t>Income Taxes,</w:t>
      </w:r>
      <w:r>
        <w:rPr>
          <w:rFonts w:ascii="Arial" w:cs="Arial" w:eastAsia="Arial" w:hAnsi="Arial"/>
          <w:sz w:val="20"/>
          <w:szCs w:val="20"/>
          <w:color w:val="auto"/>
        </w:rPr>
        <w:t xml:space="preserve"> or ASC 740, which requires that the Company use the asset and liability method of accounting for deferred income taxes and provide deferred income taxes for all significant temporary differences.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Company has two categories of income tax expense or benefit — current and deferred, as follows:</w:t>
      </w:r>
    </w:p>
    <w:p>
      <w:pPr>
        <w:spacing w:after="0" w:line="126" w:lineRule="exact"/>
        <w:rPr>
          <w:sz w:val="20"/>
          <w:szCs w:val="20"/>
          <w:color w:val="auto"/>
        </w:rPr>
      </w:pPr>
    </w:p>
    <w:p>
      <w:pPr>
        <w:ind w:left="720" w:hanging="362"/>
        <w:spacing w:after="0"/>
        <w:tabs>
          <w:tab w:leader="none" w:pos="7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Current income tax expense or benefit consists solely of current taxes payable less applicable tax credits, and</w:t>
      </w:r>
    </w:p>
    <w:p>
      <w:pPr>
        <w:spacing w:after="0" w:line="78" w:lineRule="exact"/>
        <w:rPr>
          <w:rFonts w:ascii="Arial" w:cs="Arial" w:eastAsia="Arial" w:hAnsi="Arial"/>
          <w:sz w:val="19"/>
          <w:szCs w:val="19"/>
          <w:color w:val="auto"/>
        </w:rPr>
      </w:pPr>
    </w:p>
    <w:p>
      <w:pPr>
        <w:ind w:left="720" w:right="640" w:hanging="362"/>
        <w:spacing w:after="0" w:line="277"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Deferred income tax expense or benefit is the change in the net deferred income tax asset or liability, excluding amounts charged or credited to accumulated other comprehensive income</w:t>
      </w:r>
    </w:p>
    <w:p>
      <w:pPr>
        <w:spacing w:after="0" w:line="63"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8"/>
          <w:szCs w:val="18"/>
          <w:color w:val="auto"/>
        </w:rPr>
        <w:t>The Company reports some of its revenues and expenses differently for financial statement purposes than for income tax return purposes, resulting in temporary and permanent differences between the Company's financial statements and income tax returns. The tax effects of such temporary differences are recorded as either deferred income tax assets or deferred income tax liabilities in the Company's consolidated balance sheets. The Company measures its deferred income tax assets and deferred income tax liabilities using income tax rates that are expected to be in effect when the deferred tax is realized.</w:t>
      </w:r>
    </w:p>
    <w:p>
      <w:pPr>
        <w:spacing w:after="0" w:line="56" w:lineRule="exact"/>
        <w:rPr>
          <w:sz w:val="20"/>
          <w:szCs w:val="20"/>
          <w:color w:val="auto"/>
        </w:rPr>
      </w:pPr>
    </w:p>
    <w:p>
      <w:pPr>
        <w:jc w:val="both"/>
        <w:ind w:firstLine="445"/>
        <w:spacing w:after="0" w:line="305" w:lineRule="auto"/>
        <w:rPr>
          <w:sz w:val="20"/>
          <w:szCs w:val="20"/>
          <w:color w:val="auto"/>
        </w:rPr>
      </w:pPr>
      <w:r>
        <w:rPr>
          <w:rFonts w:ascii="Arial" w:cs="Arial" w:eastAsia="Arial" w:hAnsi="Arial"/>
          <w:sz w:val="18"/>
          <w:szCs w:val="18"/>
          <w:color w:val="auto"/>
        </w:rPr>
        <w:t>The Company accounts for uncertain tax positions in accordance with ASC 740, which applies to all tax positions related to income taxes. Under ASC 740, tax benefits are recognized when it is more-likely-than-not that a tax position will be sustained upon examination by the authorities. The benefit recognized from a position is the amount of benefit that has</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880" w:h="15480" w:orient="portrait"/>
          <w:cols w:equalWidth="0" w:num="1">
            <w:col w:w="10160"/>
          </w:cols>
          <w:pgMar w:left="860" w:top="512" w:right="860" w:bottom="0" w:gutter="0" w:footer="0" w:header="0"/>
          <w:type w:val="continuous"/>
        </w:sectPr>
      </w:pPr>
    </w:p>
    <w:bookmarkStart w:id="101" w:name="page102"/>
    <w:bookmarkEnd w:id="101"/>
    <w:p>
      <w:pPr>
        <w:jc w:val="both"/>
        <w:spacing w:after="0" w:line="304" w:lineRule="auto"/>
        <w:rPr>
          <w:sz w:val="20"/>
          <w:szCs w:val="20"/>
          <w:color w:val="auto"/>
        </w:rPr>
      </w:pPr>
      <w:r>
        <w:rPr>
          <w:rFonts w:ascii="Arial" w:cs="Arial" w:eastAsia="Arial" w:hAnsi="Arial"/>
          <w:sz w:val="19"/>
          <w:szCs w:val="19"/>
          <w:color w:val="auto"/>
        </w:rPr>
        <w:t>surpassed the more-likely-than-not threshold, as it is more than 50% likely to be realized upon settlement. The Company recognizes interest and penalties accrued related to uncertain tax benefits as a component of income tax expense.</w:t>
      </w:r>
    </w:p>
    <w:p>
      <w:pPr>
        <w:spacing w:after="0" w:line="37" w:lineRule="exact"/>
        <w:rPr>
          <w:sz w:val="20"/>
          <w:szCs w:val="20"/>
          <w:color w:val="auto"/>
        </w:rPr>
      </w:pPr>
    </w:p>
    <w:p>
      <w:pPr>
        <w:jc w:val="both"/>
        <w:ind w:firstLine="445"/>
        <w:spacing w:after="0" w:line="309" w:lineRule="auto"/>
        <w:rPr>
          <w:sz w:val="20"/>
          <w:szCs w:val="20"/>
          <w:color w:val="auto"/>
        </w:rPr>
      </w:pPr>
      <w:r>
        <w:rPr>
          <w:rFonts w:ascii="Arial" w:cs="Arial" w:eastAsia="Arial" w:hAnsi="Arial"/>
          <w:sz w:val="19"/>
          <w:szCs w:val="19"/>
          <w:color w:val="auto"/>
        </w:rPr>
        <w:t xml:space="preserve">In accordance with ASC 740 and as discussed further in Note 19, </w:t>
      </w:r>
      <w:r>
        <w:rPr>
          <w:rFonts w:ascii="Arial" w:cs="Arial" w:eastAsia="Arial" w:hAnsi="Arial"/>
          <w:sz w:val="19"/>
          <w:szCs w:val="19"/>
          <w:b w:val="1"/>
          <w:bCs w:val="1"/>
          <w:i w:val="1"/>
          <w:iCs w:val="1"/>
          <w:color w:val="auto"/>
        </w:rPr>
        <w:t>Income Taxes</w:t>
      </w:r>
      <w:r>
        <w:rPr>
          <w:rFonts w:ascii="Arial" w:cs="Arial" w:eastAsia="Arial" w:hAnsi="Arial"/>
          <w:sz w:val="19"/>
          <w:szCs w:val="19"/>
          <w:color w:val="auto"/>
        </w:rPr>
        <w:t>, changes to existing net deferred tax assets or valuation allowances or changes to uncertain tax benefits, are recorded to income tax expense/(benefit).</w:t>
      </w:r>
    </w:p>
    <w:p>
      <w:pPr>
        <w:spacing w:after="0" w:line="2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Contract and Emission Credit Amortization</w:t>
      </w:r>
    </w:p>
    <w:p>
      <w:pPr>
        <w:spacing w:after="0" w:line="13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Assets and liabilities recognized through acquisitions related to the purchase and sale of energy and energy-related products in future periods for which the fair value has been determined to be significantly less or more than market are amortized to revenues or cost of operations over the term of each underlying contract based on actual generation and/or contracted volumes.</w:t>
      </w:r>
    </w:p>
    <w:p>
      <w:pPr>
        <w:spacing w:after="0" w:line="8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Emission credits represent the right to emit a specified amount of certain pollutants, including sulfur dioxide, nitrogen oxides and carbon dioxide, over a compliance period. Emission credits held for use are amortized to cost of operations based on the weighted average cost of the allowances held.</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Gross Receipts and Sales Taxes</w:t>
      </w:r>
    </w:p>
    <w:p>
      <w:pPr>
        <w:spacing w:after="0" w:line="134"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8"/>
          <w:szCs w:val="18"/>
          <w:color w:val="auto"/>
        </w:rPr>
        <w:t>In connection with its retail sales, the Company records gross receipts taxes on a gross basis in revenues and cost of operations in its consolidated statements of operations. During the years ended December 31, 2024, 2023, and 2022, the Company's revenues and cost of operations included gross receipts taxes of $216 million, $212 million, and $218 million, respectively. Additionally, the Company records sales taxes collected from its taxable retail customers and remitted to the various governmental entities on a net basis; thus, there is no impact on the Company's consolidated statement of operations.</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Cost of Operations</w:t>
      </w:r>
    </w:p>
    <w:p>
      <w:pPr>
        <w:spacing w:after="0" w:line="134" w:lineRule="exact"/>
        <w:rPr>
          <w:sz w:val="20"/>
          <w:szCs w:val="20"/>
          <w:color w:val="auto"/>
        </w:rPr>
      </w:pPr>
    </w:p>
    <w:p>
      <w:pPr>
        <w:jc w:val="both"/>
        <w:ind w:firstLine="445"/>
        <w:spacing w:after="0" w:line="304" w:lineRule="auto"/>
        <w:rPr>
          <w:sz w:val="20"/>
          <w:szCs w:val="20"/>
          <w:color w:val="auto"/>
        </w:rPr>
      </w:pPr>
      <w:r>
        <w:rPr>
          <w:rFonts w:ascii="Arial" w:cs="Arial" w:eastAsia="Arial" w:hAnsi="Arial"/>
          <w:sz w:val="19"/>
          <w:szCs w:val="19"/>
          <w:color w:val="auto"/>
        </w:rPr>
        <w:t>Cost of operations includes cost of fuel, purchased energy and other costs of sales, mark-to-market for economic hedging activities, contract and emission credit amortization, operations and maintenance, and other cost of operations.</w:t>
      </w:r>
    </w:p>
    <w:p>
      <w:pPr>
        <w:spacing w:after="0" w:line="3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Cost of Fuel, Purchased Energy and Other Cost of Sales</w:t>
      </w:r>
    </w:p>
    <w:p>
      <w:pPr>
        <w:spacing w:after="0" w:line="134"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8"/>
          <w:szCs w:val="18"/>
          <w:color w:val="auto"/>
        </w:rPr>
        <w:t>Cost of fuel is primarily the costs associated with procurement, transportation and storage of natural gas, nuclear fuel, oil and coal to operate the generation portfolio, which is expensed as the fuel is consumed. Purchased energy primarily relates to purchases to supply the Company's customer base, which includes spot market purchases, as well as contracts of various quantities and durations, including Renewable PPAs with third-party developers, which are primarily accounted for as NPNS (see further discussion in Derivative Instruments below). Other cost of sales primarily consists of TDSP expenses.</w:t>
      </w:r>
    </w:p>
    <w:p>
      <w:pPr>
        <w:spacing w:after="0" w:line="5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The cost of fuel is based on actual and estimated fuel usage for the applicable reporting period. The cost to deliver energy and related services to customers is based on actual and estimated supply volumes for the applicable reporting period. A portion of the cost of energy, $284 million, $240 million, and $202 million as of December 31, 2024, 2023, and 2022, respectively, was accrued and consisted of estimated transmission and distribution charges not yet billed by the transmission and distribution utilities.</w:t>
      </w:r>
    </w:p>
    <w:p>
      <w:pPr>
        <w:spacing w:after="0" w:line="8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In estimating supply volumes, the Company considers the effects of historical customer volumes, weather factors and usage by customer class. Transmission and distribution delivery fees are estimated using the same method used for electricity sales and services to retail customers. In addition, ISO fees are estimated based on historical trends, estimated supply volumes and initial ISO settlements. Volume estimates are then multiplied by the supply rate and recorded as cost of operations in the applicable reporting period.</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Vivint Smart Home Flex Pay</w:t>
      </w:r>
    </w:p>
    <w:p>
      <w:pPr>
        <w:spacing w:after="0" w:line="134"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8"/>
          <w:szCs w:val="18"/>
          <w:color w:val="auto"/>
        </w:rPr>
        <w:t>Under the Flex Pay plan (“Flex Pay”), offered by Vivint Smart Home, customers pay separately for smart home products and services (smart home and security). The customer has the ability to pay for Vivint Smart Home products in the following three ways: (i) qualified customers may finance the purchase through third-party financing providers ("Consumer Financing Program" or “CFP”), (ii) Vivint Smart Home generally offers a limited number of customers not eligible for the CFP, but who qualify under Vivint Smart Home underwriting criteria, the option to enter into a retail installment contract directly with Vivint Smart Home or (iii) customers may conduct purchases by check, automatic clearing house payments, credit or debit card or by obtaining short-term financing (generally no more than six-month installment terms) through Vivint Smart Home.</w:t>
      </w:r>
    </w:p>
    <w:p>
      <w:pPr>
        <w:spacing w:after="0" w:line="6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Although customers pay separately for products and services under Flex Pay, the Company has determined that the sale of products and services are one single performance obligation resulting in deferred revenue for the gross amount of products sold. For products financed through the CFP, gross deferred revenues are reduced by (i) any fees the third-party financing provider (“Financing Provider”) is contractually entitled to receive at the time of loan origination, and (ii) the present value of expected future payments due to the Financing Providers</w:t>
      </w:r>
      <w:r>
        <w:rPr>
          <w:rFonts w:ascii="Arial" w:cs="Arial" w:eastAsia="Arial" w:hAnsi="Arial"/>
          <w:sz w:val="15"/>
          <w:szCs w:val="15"/>
          <w:b w:val="1"/>
          <w:bCs w:val="1"/>
          <w:color w:val="auto"/>
        </w:rPr>
        <w:t>.</w:t>
      </w:r>
      <w:r>
        <w:rPr>
          <w:rFonts w:ascii="Arial" w:cs="Arial" w:eastAsia="Arial" w:hAnsi="Arial"/>
          <w:sz w:val="20"/>
          <w:szCs w:val="20"/>
          <w:color w:val="auto"/>
        </w:rPr>
        <w:t xml:space="preserve"> Loans are issued on either an installment or revolving basis with repayment terms ranging from 6 to 60 months.</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880" w:h="15480" w:orient="portrait"/>
          <w:cols w:equalWidth="0" w:num="1">
            <w:col w:w="10160"/>
          </w:cols>
          <w:pgMar w:left="860" w:top="512" w:right="860" w:bottom="0" w:gutter="0" w:footer="0" w:header="0"/>
          <w:type w:val="continuous"/>
        </w:sectPr>
      </w:pPr>
    </w:p>
    <w:bookmarkStart w:id="102" w:name="page103"/>
    <w:bookmarkEnd w:id="102"/>
    <w:p>
      <w:pPr>
        <w:ind w:left="440"/>
        <w:spacing w:after="0"/>
        <w:rPr>
          <w:sz w:val="20"/>
          <w:szCs w:val="20"/>
          <w:color w:val="auto"/>
        </w:rPr>
      </w:pPr>
      <w:r>
        <w:rPr>
          <w:rFonts w:ascii="Arial" w:cs="Arial" w:eastAsia="Arial" w:hAnsi="Arial"/>
          <w:sz w:val="20"/>
          <w:szCs w:val="20"/>
          <w:color w:val="auto"/>
        </w:rPr>
        <w:t>For certain Financing Provider loans:</w:t>
      </w:r>
    </w:p>
    <w:p>
      <w:pPr>
        <w:spacing w:after="0" w:line="67" w:lineRule="exact"/>
        <w:rPr>
          <w:sz w:val="20"/>
          <w:szCs w:val="20"/>
          <w:color w:val="auto"/>
        </w:rPr>
      </w:pPr>
    </w:p>
    <w:p>
      <w:pPr>
        <w:ind w:left="540" w:hanging="360"/>
        <w:spacing w:after="0" w:line="277" w:lineRule="auto"/>
        <w:tabs>
          <w:tab w:leader="none" w:pos="5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Vivint Smart Home pays a monthly fee based on either the average daily outstanding balance of the installment loans, or the number of outstanding loans.</w:t>
      </w:r>
    </w:p>
    <w:p>
      <w:pPr>
        <w:spacing w:after="0" w:line="3" w:lineRule="exact"/>
        <w:rPr>
          <w:rFonts w:ascii="Arial" w:cs="Arial" w:eastAsia="Arial" w:hAnsi="Arial"/>
          <w:sz w:val="20"/>
          <w:szCs w:val="20"/>
          <w:color w:val="auto"/>
        </w:rPr>
      </w:pPr>
    </w:p>
    <w:p>
      <w:pPr>
        <w:ind w:left="540" w:hanging="360"/>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Vivint Smart Home incurs fees at the time of the loan origination and receives proceeds that are net of these fees.</w:t>
      </w:r>
    </w:p>
    <w:p>
      <w:pPr>
        <w:spacing w:after="0" w:line="78" w:lineRule="exact"/>
        <w:rPr>
          <w:rFonts w:ascii="Arial" w:cs="Arial" w:eastAsia="Arial" w:hAnsi="Arial"/>
          <w:sz w:val="19"/>
          <w:szCs w:val="19"/>
          <w:color w:val="auto"/>
        </w:rPr>
      </w:pPr>
    </w:p>
    <w:p>
      <w:pPr>
        <w:ind w:left="540" w:hanging="360"/>
        <w:spacing w:after="0"/>
        <w:tabs>
          <w:tab w:leader="none" w:pos="5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Vivint Smart Home also shares liability for credit losses.</w:t>
      </w:r>
    </w:p>
    <w:p>
      <w:pPr>
        <w:spacing w:after="0" w:line="67" w:lineRule="exact"/>
        <w:rPr>
          <w:rFonts w:ascii="Arial" w:cs="Arial" w:eastAsia="Arial" w:hAnsi="Arial"/>
          <w:sz w:val="20"/>
          <w:szCs w:val="20"/>
          <w:color w:val="auto"/>
        </w:rPr>
      </w:pPr>
    </w:p>
    <w:p>
      <w:pPr>
        <w:ind w:left="540" w:hanging="360"/>
        <w:spacing w:after="0" w:line="277" w:lineRule="auto"/>
        <w:tabs>
          <w:tab w:leader="none" w:pos="5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Vivint Smart Home is responsible for reimbursing certain Financing Providers for merchant transaction fees and other associated loan fees.</w:t>
      </w:r>
    </w:p>
    <w:p>
      <w:pPr>
        <w:spacing w:after="0" w:line="63"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 xml:space="preserve">Due to the nature of these provisions, the Company records a derivative liability ("CFP Derivative") at its fair value when the Financing Provider originates loans to customers, which reduces the amount of estimated revenue recognized on the provision of the services. The derivative liability is reduced as payments are made by Vivint Smart Home to the Financing Provider. Subsequent changes to the fair value of the derivative liability are realized through other income, net in the consolidated statements of operations. For further discussion, see Note 6, </w:t>
      </w:r>
      <w:r>
        <w:rPr>
          <w:rFonts w:ascii="Arial" w:cs="Arial" w:eastAsia="Arial" w:hAnsi="Arial"/>
          <w:sz w:val="20"/>
          <w:szCs w:val="20"/>
          <w:b w:val="1"/>
          <w:bCs w:val="1"/>
          <w:i w:val="1"/>
          <w:iCs w:val="1"/>
          <w:color w:val="auto"/>
        </w:rPr>
        <w:t>Accounting for Derivative Instruments and Hedging</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Activities</w:t>
      </w:r>
      <w:r>
        <w:rPr>
          <w:rFonts w:ascii="Arial" w:cs="Arial" w:eastAsia="Arial" w:hAnsi="Arial"/>
          <w:sz w:val="20"/>
          <w:szCs w:val="20"/>
          <w:color w:val="auto"/>
        </w:rPr>
        <w:t>.</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Derivative Instruments</w:t>
      </w:r>
    </w:p>
    <w:p>
      <w:pPr>
        <w:spacing w:after="0" w:line="134"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8"/>
          <w:szCs w:val="18"/>
          <w:color w:val="auto"/>
        </w:rPr>
        <w:t>The Company accounts for derivative instruments under ASC 815, which requires the Company to record all derivatives on the balance sheet at fair value and changes in fair value in earnings, unless they qualify for the NPNS exception. The Company's primary derivative instruments are power and natural gas purchase or sales contracts, fuels purchase contracts, the CFP and other energy related commodities used to mitigate variability in earnings due to fluctuation in market prices. In order to mitigate interest rate risk associated with the issuance of the Company's variable rate debt, NRG enters into interest rate swap agreements. In addition, in order to mitigate foreign exchange risk associated with the purchase of USD denominated natural gas for the Company's Canadian business, NRG enters into foreign exchange contract agreements.</w:t>
      </w:r>
    </w:p>
    <w:p>
      <w:pPr>
        <w:spacing w:after="0" w:line="6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As of December 31, 2024 and 2023, the Company did not have derivative instruments that were designated as cash flow or fair value hedges.</w:t>
      </w:r>
    </w:p>
    <w:p>
      <w:pPr>
        <w:spacing w:after="0" w:line="6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Revenues and expenses on contracts that qualify for the NPNS exception are recognized when the underlying physical transaction is delivered. While these contracts are considered derivative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8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NRG's trading activities are subject to limits in accordance with the Company's Risk Management Policy. These contracts are recognized on the balance sheet at fair value and changes in the fair value of these derivative instruments are recognized in earnings.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Mark-to-Market for Economic Hedging Activities</w:t>
      </w:r>
    </w:p>
    <w:p>
      <w:pPr>
        <w:spacing w:after="0" w:line="13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NRG enters into derivative instruments to manage price and delivery risk, optimize physical and contractual assets in the portfolio and manage working capital requirements. The mark-to-market for economic hedging activities are recognized to revenues or cost of operations during the reporting period.</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Operations and Maintenance and Other Cost of Operations</w:t>
      </w:r>
    </w:p>
    <w:p>
      <w:pPr>
        <w:spacing w:after="0" w:line="134"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8"/>
          <w:szCs w:val="18"/>
          <w:color w:val="auto"/>
        </w:rPr>
        <w:t>Operations and maintenance costs include major and other routine preventative (planned outage) and corrective (forced outage) maintenance activities to ensure the safe and reliable operation of the Company's generation portfolio in compliance with all local, state and federal requirements. Operations and maintenance costs are also costs associated with retaining and maintaining the Company's customer base, such as call center support, portfolio maintenance and data analytics. Other cost of operations primarily includes gross receipts taxes, insurance, property taxes and asset retirement obligation expense.</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Foreign Currency Translation and Transaction Gains and Losses</w:t>
      </w:r>
    </w:p>
    <w:p>
      <w:pPr>
        <w:spacing w:after="0" w:line="134"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8"/>
          <w:szCs w:val="18"/>
          <w:color w:val="auto"/>
        </w:rPr>
        <w:t>The local currencies are generally the functional currency of NRG's foreign operations. Foreign currency denominated assets and liabilities are translated at end-of-period rates of exchange. Revenues, expenses, and cash flows are translated at the weighted-average rates of exchange for the period. The resulting currency translation adjustments are not included in the Company's consolidated statements of operations for the period, but are accumulated and reported as a separate component of stockholders' equity until sale or complete or substantially complete liquidation of the net investment in the foreign entity takes place. Foreign currency transaction gains or losses are reported within other income, net in the Company's consolidated statements of operations. For the years ended December 31, 2024, 2023 and 2022, amounts recognized as foreign currency transaction gains/(losses) were immaterial. The Company's cumulative translation adjustment balances as of December 31, 2024, 2023, and 2022 were $(72) million, $(43) million, and $(55) million, respectively.</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ectPr>
          <w:pgSz w:w="11880" w:h="15480" w:orient="portrait"/>
          <w:cols w:equalWidth="0" w:num="1">
            <w:col w:w="10160"/>
          </w:cols>
          <w:pgMar w:left="860" w:top="512" w:right="860" w:bottom="0" w:gutter="0" w:footer="0" w:header="0"/>
          <w:type w:val="continuous"/>
        </w:sectPr>
      </w:pPr>
    </w:p>
    <w:bookmarkStart w:id="103" w:name="page104"/>
    <w:bookmarkEnd w:id="103"/>
    <w:p>
      <w:pPr>
        <w:ind w:left="440"/>
        <w:spacing w:after="0"/>
        <w:rPr>
          <w:sz w:val="20"/>
          <w:szCs w:val="20"/>
          <w:color w:val="auto"/>
        </w:rPr>
      </w:pPr>
      <w:r>
        <w:rPr>
          <w:rFonts w:ascii="Arial" w:cs="Arial" w:eastAsia="Arial" w:hAnsi="Arial"/>
          <w:sz w:val="20"/>
          <w:szCs w:val="20"/>
          <w:b w:val="1"/>
          <w:bCs w:val="1"/>
          <w:i w:val="1"/>
          <w:iCs w:val="1"/>
          <w:color w:val="auto"/>
        </w:rPr>
        <w:t>Concentrations of Credit Risk</w:t>
      </w:r>
    </w:p>
    <w:p>
      <w:pPr>
        <w:spacing w:after="0" w:line="134" w:lineRule="exact"/>
        <w:rPr>
          <w:sz w:val="20"/>
          <w:szCs w:val="20"/>
          <w:color w:val="auto"/>
        </w:rPr>
      </w:pPr>
    </w:p>
    <w:p>
      <w:pPr>
        <w:jc w:val="both"/>
        <w:ind w:firstLine="445"/>
        <w:spacing w:after="0" w:line="266" w:lineRule="auto"/>
        <w:rPr>
          <w:sz w:val="20"/>
          <w:szCs w:val="20"/>
          <w:color w:val="auto"/>
        </w:rPr>
      </w:pPr>
      <w:r>
        <w:rPr>
          <w:rFonts w:ascii="Arial" w:cs="Arial" w:eastAsia="Arial" w:hAnsi="Arial"/>
          <w:sz w:val="19"/>
          <w:szCs w:val="19"/>
          <w:color w:val="auto"/>
        </w:rPr>
        <w:t xml:space="preserve">Financial instruments that potentially subject the Company to concentrations of credit risk consist primarily of trust funds, accounts receivable, notes receivable, derivatives and investments in debt securities. Trust funds are held in accounts managed by experienced investment advisors. Certain accounts receivable, notes receivable, and derivative instruments are concentrated within entities engaged in the energy industry. These industry concentrations may impact the Company's overall exposure to credit risk, either positively or negatively, in that the customers may be similarly affected by changes in economic, industry or other conditions. Receivables and other contractual arrangements are subject to collateral requirements under the terms of enabling agreements. However, the Company believes that the credit risk posed by industry concentration is offset by the diversification and creditworthiness of its customer base. See Note 5, </w:t>
      </w:r>
      <w:r>
        <w:rPr>
          <w:rFonts w:ascii="Arial" w:cs="Arial" w:eastAsia="Arial" w:hAnsi="Arial"/>
          <w:sz w:val="19"/>
          <w:szCs w:val="19"/>
          <w:b w:val="1"/>
          <w:bCs w:val="1"/>
          <w:i w:val="1"/>
          <w:iCs w:val="1"/>
          <w:color w:val="auto"/>
        </w:rPr>
        <w:t>Fair Value of Financial Instruments,</w:t>
      </w:r>
      <w:r>
        <w:rPr>
          <w:rFonts w:ascii="Arial" w:cs="Arial" w:eastAsia="Arial" w:hAnsi="Arial"/>
          <w:sz w:val="19"/>
          <w:szCs w:val="19"/>
          <w:color w:val="auto"/>
        </w:rPr>
        <w:t xml:space="preserve"> for a further discussion of derivative concentrations.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Asset Retirement Obligations</w:t>
      </w:r>
    </w:p>
    <w:p>
      <w:pPr>
        <w:spacing w:after="0" w:line="13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20"/>
          <w:szCs w:val="20"/>
          <w:color w:val="auto"/>
        </w:rPr>
        <w:t xml:space="preserve">The Company accounts for AROs in accordance with ASC 410-20, </w:t>
      </w:r>
      <w:r>
        <w:rPr>
          <w:rFonts w:ascii="Arial" w:cs="Arial" w:eastAsia="Arial" w:hAnsi="Arial"/>
          <w:sz w:val="20"/>
          <w:szCs w:val="20"/>
          <w:b w:val="1"/>
          <w:bCs w:val="1"/>
          <w:i w:val="1"/>
          <w:iCs w:val="1"/>
          <w:color w:val="auto"/>
        </w:rPr>
        <w:t>Asset Retirement Obligations,</w:t>
      </w:r>
      <w:r>
        <w:rPr>
          <w:rFonts w:ascii="Arial" w:cs="Arial" w:eastAsia="Arial" w:hAnsi="Arial"/>
          <w:sz w:val="20"/>
          <w:szCs w:val="20"/>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8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 xml:space="preserve">Upon initial recognition of a liability for an ARO, the Company capitalizes the asset retirement cost by increasing the carrying amount of the related long-lived asset by the same amount. Over time, the liability is accreted to its future value, while the capitalized cost is depreciated over the useful life of the related asset. See Note 13, </w:t>
      </w:r>
      <w:r>
        <w:rPr>
          <w:rFonts w:ascii="Arial" w:cs="Arial" w:eastAsia="Arial" w:hAnsi="Arial"/>
          <w:sz w:val="20"/>
          <w:szCs w:val="20"/>
          <w:b w:val="1"/>
          <w:bCs w:val="1"/>
          <w:i w:val="1"/>
          <w:iCs w:val="1"/>
          <w:color w:val="auto"/>
        </w:rPr>
        <w:t>Asset Retirement Obligations,</w:t>
      </w:r>
      <w:r>
        <w:rPr>
          <w:rFonts w:ascii="Arial" w:cs="Arial" w:eastAsia="Arial" w:hAnsi="Arial"/>
          <w:sz w:val="20"/>
          <w:szCs w:val="20"/>
          <w:color w:val="auto"/>
        </w:rPr>
        <w:t xml:space="preserve"> for a further discussion of AROs.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Pensions and Other Postretirement Benefits</w:t>
      </w:r>
    </w:p>
    <w:p>
      <w:pPr>
        <w:spacing w:after="0" w:line="134"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8"/>
          <w:szCs w:val="18"/>
          <w:color w:val="auto"/>
        </w:rPr>
        <w:t xml:space="preserve">The Company offers pension benefits through a defined benefit pension plan. In addition, the Company provides postretirement health and welfare benefits for certain groups of employees. The Company accounts for pension and other postretirement benefits in accordance with ASC 715, </w:t>
      </w:r>
      <w:r>
        <w:rPr>
          <w:rFonts w:ascii="Arial" w:cs="Arial" w:eastAsia="Arial" w:hAnsi="Arial"/>
          <w:sz w:val="18"/>
          <w:szCs w:val="18"/>
          <w:b w:val="1"/>
          <w:bCs w:val="1"/>
          <w:i w:val="1"/>
          <w:iCs w:val="1"/>
          <w:color w:val="auto"/>
        </w:rPr>
        <w:t>Compensation — Retirement Benefits</w:t>
      </w:r>
      <w:r>
        <w:rPr>
          <w:rFonts w:ascii="Arial" w:cs="Arial" w:eastAsia="Arial" w:hAnsi="Arial"/>
          <w:sz w:val="18"/>
          <w:szCs w:val="18"/>
          <w:color w:val="auto"/>
        </w:rPr>
        <w:t>, or ASC 715</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Company recognizes the funded status of the Company's defined benefit plans in the statement of financial position and records an offset for gains and losses as well as all prior service costs that have not been included as part of the Company's net periodic benefit cost to other comprehensive income. The determination of the Company's obligation and expenses for pension benefits is dependent on the selection of certain assumptions. These assumptions determined by management include the discount rate, the expected rate of return on plan assets and the rate of future compensation increases. The Company's actuarial consultants assist in determining assumptions for such items as retirement age. The assumptions used may differ materially from actual results, which may result in a significant impact to the amount of pension obligation or expense recorded by the Company.</w:t>
      </w:r>
    </w:p>
    <w:p>
      <w:pPr>
        <w:spacing w:after="0" w:line="59" w:lineRule="exact"/>
        <w:rPr>
          <w:sz w:val="20"/>
          <w:szCs w:val="20"/>
          <w:color w:val="auto"/>
        </w:rPr>
      </w:pPr>
    </w:p>
    <w:p>
      <w:pPr>
        <w:jc w:val="both"/>
        <w:ind w:firstLine="445"/>
        <w:spacing w:after="0" w:line="339" w:lineRule="auto"/>
        <w:rPr>
          <w:sz w:val="20"/>
          <w:szCs w:val="20"/>
          <w:color w:val="auto"/>
        </w:rPr>
      </w:pPr>
      <w:r>
        <w:rPr>
          <w:rFonts w:ascii="Arial" w:cs="Arial" w:eastAsia="Arial" w:hAnsi="Arial"/>
          <w:sz w:val="18"/>
          <w:szCs w:val="18"/>
          <w:color w:val="auto"/>
        </w:rPr>
        <w:t xml:space="preserve">The Company measures the fair value of its pension assets in accordance with ASC 820, </w:t>
      </w:r>
      <w:r>
        <w:rPr>
          <w:rFonts w:ascii="Arial" w:cs="Arial" w:eastAsia="Arial" w:hAnsi="Arial"/>
          <w:sz w:val="18"/>
          <w:szCs w:val="18"/>
          <w:b w:val="1"/>
          <w:bCs w:val="1"/>
          <w:i w:val="1"/>
          <w:iCs w:val="1"/>
          <w:color w:val="auto"/>
        </w:rPr>
        <w:t>Fair Value Measurements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Disclosures, </w:t>
      </w:r>
      <w:r>
        <w:rPr>
          <w:rFonts w:ascii="Arial" w:cs="Arial" w:eastAsia="Arial" w:hAnsi="Arial"/>
          <w:sz w:val="18"/>
          <w:szCs w:val="18"/>
          <w:color w:val="auto"/>
        </w:rPr>
        <w:t>or ASC 820. For further discussion, see Note 14,</w:t>
      </w:r>
      <w:r>
        <w:rPr>
          <w:rFonts w:ascii="Arial" w:cs="Arial" w:eastAsia="Arial" w:hAnsi="Arial"/>
          <w:sz w:val="18"/>
          <w:szCs w:val="18"/>
          <w:b w:val="1"/>
          <w:bCs w:val="1"/>
          <w:i w:val="1"/>
          <w:iCs w:val="1"/>
          <w:color w:val="auto"/>
        </w:rPr>
        <w:t xml:space="preserve"> Benefit Plans and Other Postretirement Benefits</w:t>
      </w:r>
      <w:r>
        <w:rPr>
          <w:rFonts w:ascii="Arial" w:cs="Arial" w:eastAsia="Arial" w:hAnsi="Arial"/>
          <w:sz w:val="18"/>
          <w:szCs w:val="18"/>
          <w:color w:val="auto"/>
        </w:rPr>
        <w:t>.</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130"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 xml:space="preserve">The Company accounts for its stock-based compensation in accordance with ASC 718, </w:t>
      </w:r>
      <w:r>
        <w:rPr>
          <w:rFonts w:ascii="Arial" w:cs="Arial" w:eastAsia="Arial" w:hAnsi="Arial"/>
          <w:sz w:val="20"/>
          <w:szCs w:val="20"/>
          <w:b w:val="1"/>
          <w:bCs w:val="1"/>
          <w:i w:val="1"/>
          <w:iCs w:val="1"/>
          <w:color w:val="auto"/>
        </w:rPr>
        <w:t>Compensation — Stock</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Compensation, </w:t>
      </w:r>
      <w:r>
        <w:rPr>
          <w:rFonts w:ascii="Arial" w:cs="Arial" w:eastAsia="Arial" w:hAnsi="Arial"/>
          <w:sz w:val="20"/>
          <w:szCs w:val="20"/>
          <w:color w:val="auto"/>
        </w:rPr>
        <w:t>or ASC 718</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fair value of the Company's performance stock units is estimated on the date of grant using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Monte Carlo valuation model. NRG uses the Company's common stock price on the date of grant as the fair value of the Company's deferred stock units. Forfeiture rates are estimated based on an analysis of the Company's historical forfeitures, employment turnover, and expected future behavior. The Company recognizes compensation expense for both graded and cliff vesting awards on a straight-line basis over the requisite service period for the entire award. For further discussion, see Note 20, </w:t>
      </w:r>
      <w:r>
        <w:rPr>
          <w:rFonts w:ascii="Arial" w:cs="Arial" w:eastAsia="Arial" w:hAnsi="Arial"/>
          <w:sz w:val="20"/>
          <w:szCs w:val="20"/>
          <w:b w:val="1"/>
          <w:bCs w:val="1"/>
          <w:i w:val="1"/>
          <w:iCs w:val="1"/>
          <w:color w:val="auto"/>
        </w:rPr>
        <w:t>Stock-Based Compensation</w:t>
      </w:r>
      <w:r>
        <w:rPr>
          <w:rFonts w:ascii="Arial" w:cs="Arial" w:eastAsia="Arial" w:hAnsi="Arial"/>
          <w:sz w:val="20"/>
          <w:szCs w:val="20"/>
          <w:color w:val="auto"/>
        </w:rPr>
        <w:t>.</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Investments Accounted for by the Equity Method</w:t>
      </w:r>
    </w:p>
    <w:p>
      <w:pPr>
        <w:spacing w:after="0" w:line="134" w:lineRule="exact"/>
        <w:rPr>
          <w:sz w:val="20"/>
          <w:szCs w:val="20"/>
          <w:color w:val="auto"/>
        </w:rPr>
      </w:pPr>
    </w:p>
    <w:p>
      <w:pPr>
        <w:jc w:val="both"/>
        <w:ind w:firstLine="445"/>
        <w:spacing w:after="0" w:line="266" w:lineRule="auto"/>
        <w:rPr>
          <w:sz w:val="20"/>
          <w:szCs w:val="20"/>
          <w:color w:val="auto"/>
        </w:rPr>
      </w:pPr>
      <w:r>
        <w:rPr>
          <w:rFonts w:ascii="Arial" w:cs="Arial" w:eastAsia="Arial" w:hAnsi="Arial"/>
          <w:sz w:val="19"/>
          <w:szCs w:val="19"/>
          <w:color w:val="auto"/>
        </w:rPr>
        <w:t xml:space="preserve">The Company has investments in domestic energy projects, as well as one Australian project. The equity method of accounting is applied to such investments in affiliates, which include joint ventures and partnerships, because the ownership structure prevents the Company from exercising a controlling influence over the operating and financial policies of the projects. Under this method, equity in pre-tax income or losses of domestic partnerships and, generally, in the net income or losses of its Australian project, are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 For further discussion, see Note 16, </w:t>
      </w:r>
      <w:r>
        <w:rPr>
          <w:rFonts w:ascii="Arial" w:cs="Arial" w:eastAsia="Arial" w:hAnsi="Arial"/>
          <w:sz w:val="19"/>
          <w:szCs w:val="19"/>
          <w:b w:val="1"/>
          <w:bCs w:val="1"/>
          <w:i w:val="1"/>
          <w:iCs w:val="1"/>
          <w:color w:val="auto"/>
        </w:rPr>
        <w:t>Investments Accounted for by the Equity Method and Variable Interest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Entities</w:t>
      </w:r>
      <w:r>
        <w:rPr>
          <w:rFonts w:ascii="Arial" w:cs="Arial" w:eastAsia="Arial" w:hAnsi="Arial"/>
          <w:sz w:val="19"/>
          <w:szCs w:val="19"/>
          <w:color w:val="auto"/>
        </w:rPr>
        <w:t>.</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ectPr>
          <w:pgSz w:w="11880" w:h="15480" w:orient="portrait"/>
          <w:cols w:equalWidth="0" w:num="1">
            <w:col w:w="10160"/>
          </w:cols>
          <w:pgMar w:left="860" w:top="505" w:right="860" w:bottom="0" w:gutter="0" w:footer="0" w:header="0"/>
          <w:type w:val="continuous"/>
        </w:sectPr>
      </w:pPr>
    </w:p>
    <w:bookmarkStart w:id="104" w:name="page105"/>
    <w:bookmarkEnd w:id="104"/>
    <w:p>
      <w:pPr>
        <w:ind w:left="440"/>
        <w:spacing w:after="0"/>
        <w:rPr>
          <w:sz w:val="20"/>
          <w:szCs w:val="20"/>
          <w:color w:val="auto"/>
        </w:rPr>
      </w:pPr>
      <w:r>
        <w:rPr>
          <w:rFonts w:ascii="Arial" w:cs="Arial" w:eastAsia="Arial" w:hAnsi="Arial"/>
          <w:sz w:val="20"/>
          <w:szCs w:val="20"/>
          <w:b w:val="1"/>
          <w:bCs w:val="1"/>
          <w:i w:val="1"/>
          <w:iCs w:val="1"/>
          <w:color w:val="auto"/>
        </w:rPr>
        <w:t>Sale-Leaseback Arrangements</w:t>
      </w:r>
    </w:p>
    <w:p>
      <w:pPr>
        <w:spacing w:after="0" w:line="13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 xml:space="preserve">NRG is party to sale-leaseback arrangements that provide for the sale of certain assets to a third-party and simultaneously leases back the same asset to the Company. If the seller-lessee transfers control of the underlying assets to the buyer-lessor, the arrangement is accounted for under ASC 842-40, </w:t>
      </w:r>
      <w:r>
        <w:rPr>
          <w:rFonts w:ascii="Arial" w:cs="Arial" w:eastAsia="Arial" w:hAnsi="Arial"/>
          <w:sz w:val="20"/>
          <w:szCs w:val="20"/>
          <w:b w:val="1"/>
          <w:bCs w:val="1"/>
          <w:i w:val="1"/>
          <w:iCs w:val="1"/>
          <w:color w:val="auto"/>
        </w:rPr>
        <w:t>Sale-Leaseback Transactions</w:t>
      </w:r>
      <w:r>
        <w:rPr>
          <w:rFonts w:ascii="Arial" w:cs="Arial" w:eastAsia="Arial" w:hAnsi="Arial"/>
          <w:sz w:val="20"/>
          <w:szCs w:val="20"/>
          <w:color w:val="auto"/>
        </w:rPr>
        <w:t>. These arrangements are classified as operating leases on the Company's consolidated balance sheets.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Marketing and Advertising Costs</w:t>
      </w:r>
    </w:p>
    <w:p>
      <w:pPr>
        <w:spacing w:after="0" w:line="13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color w:val="auto"/>
        </w:rPr>
        <w:t>The Company expenses its marketing and advertising costs as incurred and includes them within selling, general and administrative costs. The costs of tangible assets used in advertising campaigns are recorded as fixed assets or deferred advertising costs and amortized as advertising costs over the shorter of the useful life of the asset or the advertising campaign. The Company has several long-term sponsorship arrangements. Payments related to these arrangements are deferred and expensed over the term of the arrangement. Advertising expenses for the years ended December 31, 2024, 2023, and 2022 were $215 million, $185 million, and $82 million, respectively.</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Business Combinations</w:t>
      </w:r>
    </w:p>
    <w:p>
      <w:pPr>
        <w:spacing w:after="0" w:line="130"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20"/>
          <w:szCs w:val="20"/>
          <w:color w:val="auto"/>
        </w:rPr>
        <w:t xml:space="preserve">The Company accounts for its business combinations in accordance with ASC 805, </w:t>
      </w:r>
      <w:r>
        <w:rPr>
          <w:rFonts w:ascii="Arial" w:cs="Arial" w:eastAsia="Arial" w:hAnsi="Arial"/>
          <w:sz w:val="20"/>
          <w:szCs w:val="20"/>
          <w:b w:val="1"/>
          <w:bCs w:val="1"/>
          <w:i w:val="1"/>
          <w:iCs w:val="1"/>
          <w:color w:val="auto"/>
        </w:rPr>
        <w:t>Business Combinations,</w:t>
      </w:r>
      <w:r>
        <w:rPr>
          <w:rFonts w:ascii="Arial" w:cs="Arial" w:eastAsia="Arial" w:hAnsi="Arial"/>
          <w:sz w:val="20"/>
          <w:szCs w:val="20"/>
          <w:color w:val="auto"/>
        </w:rPr>
        <w:t xml:space="preserve"> or ASC 805, which requires an acquirer to recognize and measure in its financial statements the identifiable assets acquired, the liabilities assumed, and any noncontrolling interest in the acquiree at fair value at the acquisition date. The Company also recognizes and measures the goodwill acquired or a gain from a bargain purchase in the business combination. In addition, transaction costs are expensed as incurred.</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Use of Estimates</w:t>
      </w:r>
    </w:p>
    <w:p>
      <w:pPr>
        <w:spacing w:after="0" w:line="134" w:lineRule="exact"/>
        <w:rPr>
          <w:sz w:val="20"/>
          <w:szCs w:val="20"/>
          <w:color w:val="auto"/>
        </w:rPr>
      </w:pPr>
    </w:p>
    <w:p>
      <w:pPr>
        <w:jc w:val="both"/>
        <w:ind w:firstLine="445"/>
        <w:spacing w:after="0" w:line="29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at the date of the financial statements, disclosure of contingent assets and liabilities at the date of the financial statements, and the reported amounts of revenues and expenses during the reporting period. Actual results could differ from these estimates.</w:t>
      </w:r>
    </w:p>
    <w:p>
      <w:pPr>
        <w:spacing w:after="0" w:line="52"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8"/>
          <w:szCs w:val="18"/>
          <w:color w:val="auto"/>
        </w:rPr>
        <w:t>In recording transactions and balances resulting from business operations, the Company uses estimates based on the best information available. Estimates are used for such items as plant depreciable lives, tax provisions, uncollectible accounts, actuarially determined benefit costs, the valuation of energy commodity contracts, environmental liabilities, legal costs incurred in connection with recorded loss contingencies, and assets acquired and liabilities assumed in business combinations, among others. In addition, estimates are used to test long-lived assets and goodwill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Reclassifications</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Certain prior period amounts have been reclassified for comparative purposes. The reclassifications did not affect results from operations, net assets or cash flows.</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Recent Accounting Developments - Guidance Adopted in 2024</w:t>
      </w:r>
    </w:p>
    <w:p>
      <w:pPr>
        <w:spacing w:after="0" w:line="130" w:lineRule="exact"/>
        <w:rPr>
          <w:sz w:val="20"/>
          <w:szCs w:val="20"/>
          <w:color w:val="auto"/>
        </w:rPr>
      </w:pPr>
    </w:p>
    <w:p>
      <w:pPr>
        <w:jc w:val="both"/>
        <w:ind w:firstLine="445"/>
        <w:spacing w:after="0" w:line="326" w:lineRule="auto"/>
        <w:rPr>
          <w:sz w:val="20"/>
          <w:szCs w:val="20"/>
          <w:color w:val="auto"/>
        </w:rPr>
      </w:pPr>
      <w:r>
        <w:rPr>
          <w:rFonts w:ascii="Arial" w:cs="Arial" w:eastAsia="Arial" w:hAnsi="Arial"/>
          <w:sz w:val="16"/>
          <w:szCs w:val="16"/>
          <w:b w:val="1"/>
          <w:bCs w:val="1"/>
          <w:i w:val="1"/>
          <w:iCs w:val="1"/>
          <w:color w:val="auto"/>
        </w:rPr>
        <w:t xml:space="preserve">ASU 2023-07 </w:t>
      </w:r>
      <w:r>
        <w:rPr>
          <w:rFonts w:ascii="Arial" w:cs="Arial" w:eastAsia="Arial" w:hAnsi="Arial"/>
          <w:sz w:val="16"/>
          <w:szCs w:val="16"/>
          <w:color w:val="auto"/>
        </w:rPr>
        <w:t>– In November 2023, the FASB issued ASU No. 2023-07,</w:t>
      </w:r>
      <w:r>
        <w:rPr>
          <w:rFonts w:ascii="Arial" w:cs="Arial" w:eastAsia="Arial" w:hAnsi="Arial"/>
          <w:sz w:val="16"/>
          <w:szCs w:val="16"/>
          <w:b w:val="1"/>
          <w:bCs w:val="1"/>
          <w:i w:val="1"/>
          <w:iCs w:val="1"/>
          <w:color w:val="auto"/>
        </w:rPr>
        <w:t xml:space="preserve"> Segment Reporting (Topic 280) – Improvements to Reportable Segment Disclosures</w:t>
      </w:r>
      <w:r>
        <w:rPr>
          <w:rFonts w:ascii="Arial" w:cs="Arial" w:eastAsia="Arial" w:hAnsi="Arial"/>
          <w:sz w:val="16"/>
          <w:szCs w:val="16"/>
          <w:color w:val="auto"/>
        </w:rPr>
        <w:t>, or ASU 2023-07. The guidance in ASU 2023-07 enhances reportable segment disclosure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requirements by requiring disclosure of significant segment expenses that are regularly provided to the chief operating decision maker and included within each reported measure of segment profit and loss, an amount and description of its composition for other segment items and interim disclosures of a reportable segment’s profit or loss and assets. The Company adopted the amendments effective December 31, 2024. Because the amendments update disclosure requirements only, it did not have an impact on the Company's results of operations, cash flows, or statement of financial position.</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Recent Accounting Developments - Guidance Not Yet Adopted</w:t>
      </w:r>
    </w:p>
    <w:p>
      <w:pPr>
        <w:spacing w:after="0" w:line="130"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b w:val="1"/>
          <w:bCs w:val="1"/>
          <w:i w:val="1"/>
          <w:iCs w:val="1"/>
          <w:color w:val="auto"/>
        </w:rPr>
        <w:t xml:space="preserve">ASU 2023-09 </w:t>
      </w:r>
      <w:r>
        <w:rPr>
          <w:rFonts w:ascii="Arial" w:cs="Arial" w:eastAsia="Arial" w:hAnsi="Arial"/>
          <w:sz w:val="19"/>
          <w:szCs w:val="19"/>
          <w:color w:val="auto"/>
        </w:rPr>
        <w:t>– In December 2023, the FASB issued ASU No. 2023-09,</w:t>
      </w:r>
      <w:r>
        <w:rPr>
          <w:rFonts w:ascii="Arial" w:cs="Arial" w:eastAsia="Arial" w:hAnsi="Arial"/>
          <w:sz w:val="19"/>
          <w:szCs w:val="19"/>
          <w:b w:val="1"/>
          <w:bCs w:val="1"/>
          <w:i w:val="1"/>
          <w:iCs w:val="1"/>
          <w:color w:val="auto"/>
        </w:rPr>
        <w:t xml:space="preserve"> Income Taxes (Topic 740) – Improvements to Income Tax Disclosures</w:t>
      </w:r>
      <w:r>
        <w:rPr>
          <w:rFonts w:ascii="Arial" w:cs="Arial" w:eastAsia="Arial" w:hAnsi="Arial"/>
          <w:sz w:val="19"/>
          <w:szCs w:val="19"/>
          <w:color w:val="auto"/>
        </w:rPr>
        <w:t>, or ASU 2023-09. The guidance in ASU 2023-09 enhances income tax disclosures by requiring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disclosure of specific categories in the effective tax rate reconciliation and additional information for reconciling items that meet a quantitative threshold. Further, the amendments of ASU 2023-09 require certain disclosures on income tax expense and income taxes paid. ASU 2023-09 is effective for annual periods beginning after December 15, 2024, with early adoption permitted. The amendments of ASU 2023-09 may be applied on a prospective or retrospective basis. The Company is currently evaluating the impact of adopting ASU 2023-09 on its disclosures.</w:t>
      </w:r>
    </w:p>
    <w:p>
      <w:pPr>
        <w:spacing w:after="0" w:line="68" w:lineRule="exact"/>
        <w:rPr>
          <w:sz w:val="20"/>
          <w:szCs w:val="20"/>
          <w:color w:val="auto"/>
        </w:rPr>
      </w:pPr>
    </w:p>
    <w:p>
      <w:pPr>
        <w:jc w:val="both"/>
        <w:ind w:firstLine="445"/>
        <w:spacing w:after="0" w:line="412" w:lineRule="auto"/>
        <w:rPr>
          <w:sz w:val="20"/>
          <w:szCs w:val="20"/>
          <w:color w:val="auto"/>
        </w:rPr>
      </w:pPr>
      <w:r>
        <w:rPr>
          <w:rFonts w:ascii="Arial" w:cs="Arial" w:eastAsia="Arial" w:hAnsi="Arial"/>
          <w:sz w:val="16"/>
          <w:szCs w:val="16"/>
          <w:b w:val="1"/>
          <w:bCs w:val="1"/>
          <w:i w:val="1"/>
          <w:iCs w:val="1"/>
          <w:color w:val="auto"/>
        </w:rPr>
        <w:t xml:space="preserve">ASU 2024-03 </w:t>
      </w:r>
      <w:r>
        <w:rPr>
          <w:rFonts w:ascii="Arial" w:cs="Arial" w:eastAsia="Arial" w:hAnsi="Arial"/>
          <w:sz w:val="16"/>
          <w:szCs w:val="16"/>
          <w:color w:val="auto"/>
        </w:rPr>
        <w:t>– In November 2024, the FASB issued ASU No. 2024-03,</w:t>
      </w:r>
      <w:r>
        <w:rPr>
          <w:rFonts w:ascii="Arial" w:cs="Arial" w:eastAsia="Arial" w:hAnsi="Arial"/>
          <w:sz w:val="16"/>
          <w:szCs w:val="16"/>
          <w:b w:val="1"/>
          <w:bCs w:val="1"/>
          <w:i w:val="1"/>
          <w:iCs w:val="1"/>
          <w:color w:val="auto"/>
        </w:rPr>
        <w:t xml:space="preserve"> Income Statement—Reporting Comprehensive Income—Expense Disaggregation Disclosures (Subtopic 220-40) – Disaggregation of Income Statement Expenses</w:t>
      </w:r>
      <w:r>
        <w:rPr>
          <w:rFonts w:ascii="Arial" w:cs="Arial" w:eastAsia="Arial" w:hAnsi="Arial"/>
          <w:sz w:val="16"/>
          <w:szCs w:val="16"/>
          <w:color w:val="auto"/>
        </w:rPr>
        <w:t>, or ASU</w:t>
      </w:r>
    </w:p>
    <w:p>
      <w:pPr>
        <w:sectPr>
          <w:pgSz w:w="11880" w:h="15480" w:orient="portrait"/>
          <w:cols w:equalWidth="0" w:num="1">
            <w:col w:w="10160"/>
          </w:cols>
          <w:pgMar w:left="860" w:top="505" w:right="860" w:bottom="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880" w:h="15480" w:orient="portrait"/>
          <w:cols w:equalWidth="0" w:num="1">
            <w:col w:w="10160"/>
          </w:cols>
          <w:pgMar w:left="860" w:top="505" w:right="860" w:bottom="0" w:gutter="0" w:footer="0" w:header="0"/>
          <w:type w:val="continuous"/>
        </w:sectPr>
      </w:pPr>
    </w:p>
    <w:bookmarkStart w:id="105" w:name="page106"/>
    <w:bookmarkEnd w:id="105"/>
    <w:p>
      <w:pPr>
        <w:jc w:val="both"/>
        <w:spacing w:after="0" w:line="253" w:lineRule="auto"/>
        <w:rPr>
          <w:sz w:val="20"/>
          <w:szCs w:val="20"/>
          <w:color w:val="auto"/>
        </w:rPr>
      </w:pPr>
      <w:r>
        <w:rPr>
          <w:rFonts w:ascii="Arial" w:cs="Arial" w:eastAsia="Arial" w:hAnsi="Arial"/>
          <w:sz w:val="20"/>
          <w:szCs w:val="20"/>
          <w:color w:val="auto"/>
        </w:rPr>
        <w:t>2024-03. The guidance in ASU 2024-03 requires more detailed information about specified categories of expenses included in certain captions presented on the face of the income statement. This ASU is effective for annual periods beginning after December 15, 2026, and interim periods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the impact of adopting ASU 2024-03 on its disclosures.</w:t>
      </w:r>
    </w:p>
    <w:p>
      <w:pPr>
        <w:spacing w:after="0" w:line="86"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9"/>
          <w:szCs w:val="19"/>
          <w:b w:val="1"/>
          <w:bCs w:val="1"/>
          <w:i w:val="1"/>
          <w:iCs w:val="1"/>
          <w:color w:val="auto"/>
        </w:rPr>
        <w:t xml:space="preserve">ASU 2024-04 </w:t>
      </w:r>
      <w:r>
        <w:rPr>
          <w:rFonts w:ascii="Arial" w:cs="Arial" w:eastAsia="Arial" w:hAnsi="Arial"/>
          <w:sz w:val="19"/>
          <w:szCs w:val="19"/>
          <w:color w:val="auto"/>
        </w:rPr>
        <w:t>– In November 2024, the FASB issued ASU No. 2024-04,</w:t>
      </w:r>
      <w:r>
        <w:rPr>
          <w:rFonts w:ascii="Arial" w:cs="Arial" w:eastAsia="Arial" w:hAnsi="Arial"/>
          <w:sz w:val="19"/>
          <w:szCs w:val="19"/>
          <w:b w:val="1"/>
          <w:bCs w:val="1"/>
          <w:i w:val="1"/>
          <w:iCs w:val="1"/>
          <w:color w:val="auto"/>
        </w:rPr>
        <w:t xml:space="preserve"> Debt—Debt with Conversion and Other Options (Subtopic 470-20) – Induced Conversions of Convertible Debt Instruments</w:t>
      </w:r>
      <w:r>
        <w:rPr>
          <w:rFonts w:ascii="Arial" w:cs="Arial" w:eastAsia="Arial" w:hAnsi="Arial"/>
          <w:sz w:val="19"/>
          <w:szCs w:val="19"/>
          <w:color w:val="auto"/>
        </w:rPr>
        <w:t>, or ASU 2024-04. The guidance in ASU 2024-04</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clarifies the requirements related to accounting for the settlement of a debt instrument as an induced conversion when changes are made to conversion features as part of an offer to settle the instrument. This ASU is effective for annual periods beginning after December 15, 2025, with early adoption permitted. The amendments may be applied either (1) prospectively to any settlements of convertible debt instruments that occur after the effective date of this ASU or (2) retrospectively to all prior periods presented in the financial statements, with a cumulative adjustment-effect adjustment to equity. The Company is currently evaluating the impact of adopting ASU 2024-04 on its disclosures.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3 — </w:t>
      </w:r>
      <w:r>
        <w:rPr>
          <w:rFonts w:ascii="Arial" w:cs="Arial" w:eastAsia="Arial" w:hAnsi="Arial"/>
          <w:sz w:val="20"/>
          <w:szCs w:val="20"/>
          <w:b w:val="1"/>
          <w:bCs w:val="1"/>
          <w:i w:val="1"/>
          <w:iCs w:val="1"/>
          <w:color w:val="auto"/>
        </w:rPr>
        <w:t>Revenue Recognition</w:t>
      </w:r>
    </w:p>
    <w:p>
      <w:pPr>
        <w:spacing w:after="0" w:line="130"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Company's policies with respect to its various revenue streams are detailed below. The Company generally applies the invoicing practical expedient to recognize revenue for the revenue streams detailed below, except in circumstances where the invoiced amount does not represent the value transferred to the customer.</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Retail Revenue</w:t>
      </w:r>
    </w:p>
    <w:p>
      <w:pPr>
        <w:spacing w:after="0" w:line="134"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20"/>
          <w:szCs w:val="20"/>
          <w:color w:val="auto"/>
        </w:rPr>
        <w:t>Gross revenues for energy sales and services to retail customers are recognized as the Company transfers the promised goods and services to the customer. Payment terms are generally 15 to 60 days. For the majority of its electricity and natural gas contracts, the Company’s performance obligation with the customer is satisfied over time and performance obligations for its electricity and natural gas products are recognized as the customer takes possession of the product. The Company also allocates the contract consideration to distinct performance obligations in a contract for which the timing of the revenue recognized is different. Additionally, customer discounts and incentives reduce the contract consideration and are recognized over the term of the contract.</w:t>
      </w:r>
    </w:p>
    <w:p>
      <w:pPr>
        <w:spacing w:after="0" w:line="92"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8"/>
          <w:szCs w:val="18"/>
          <w:color w:val="auto"/>
        </w:rPr>
        <w:t>Energy sales and services that have been delivered but not billed by period end are estimated. Accrued unbilled revenues are based on estimates of customer usage since the date of the last meter reading provided by the independent system operators, utilities, or electric distribution companies. Volume estimates are based on daily forecasted volumes and estimated customer usage by class. Unbilled revenues are calculated by multiplying these volume estimates by the applicable rate by customer class. Estimated amounts are adjusted when actual usage is known and billed.</w:t>
      </w:r>
    </w:p>
    <w:p>
      <w:pPr>
        <w:spacing w:after="0" w:line="56" w:lineRule="exact"/>
        <w:rPr>
          <w:sz w:val="20"/>
          <w:szCs w:val="20"/>
          <w:color w:val="auto"/>
        </w:rPr>
      </w:pPr>
    </w:p>
    <w:p>
      <w:pPr>
        <w:jc w:val="both"/>
        <w:ind w:firstLine="445"/>
        <w:spacing w:after="0" w:line="334" w:lineRule="auto"/>
        <w:rPr>
          <w:sz w:val="20"/>
          <w:szCs w:val="20"/>
          <w:color w:val="auto"/>
        </w:rPr>
      </w:pPr>
      <w:r>
        <w:rPr>
          <w:rFonts w:ascii="Arial" w:cs="Arial" w:eastAsia="Arial" w:hAnsi="Arial"/>
          <w:sz w:val="16"/>
          <w:szCs w:val="16"/>
          <w:color w:val="auto"/>
        </w:rPr>
        <w:t>As contracts for retail electricity and natural gas can be for multi-year periods,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amount of any unsatisfied performance obligations will vary based on customer usage, which will depend on factors such as weather and customer activity and therefore it is not practicable to estimate such amounts.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Vivint Smart Home Retail Revenue</w:t>
      </w:r>
    </w:p>
    <w:p>
      <w:pPr>
        <w:spacing w:after="0" w:line="13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8"/>
          <w:szCs w:val="18"/>
          <w:color w:val="auto"/>
        </w:rPr>
        <w:t>Vivint Smart Home offers its customers combinations of smart home products and services, which together create an integrated smart home system that allows the Company's customers to monitor, control and protect their homes. As the products and services included in the customer's contract are integrated and highly interdependent, and because the products (including installation) and services must work together to deliver the monitoring, controlling and protection of their home, the Company has concluded that the products and services contracted for by the customer are generally not distinct within the context of the contract and, therefore, constitute a single, combined performance obligation. Revenues for this single, combined performance obligation are recognized on a straight-line basis over the customer's contract term, which is the period in which the parties to the contract have enforceable rights and obligations. The Company has determined that certain contracts that do not require a long-term commitment for monitoring services by the customer contain a material right to renew the contract, because the customer does not have to purchase the products upon renewal. Proceeds allocated to the material right are recognized over the expected period of benefit. The majority of Vivint Smart Home's subscription contracts are five years and are generally non-cancelable. These contracts generally convert into month-to-month agreements at the end of the initial term, while some customers are month-to-month from inception. Payment for Vivint Smart Home services is generally due in advance on a monthly basis, with payment terms up to 30 days. Product sales and other one-time fees are invoiced to customers at time of sale. Revenues for any products or services that are considered separate performance obligations are recognized upon delivery. Payments received or billed in advance are reported as deferred revenues.</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880" w:h="15480" w:orient="portrait"/>
          <w:cols w:equalWidth="0" w:num="1">
            <w:col w:w="10160"/>
          </w:cols>
          <w:pgMar w:left="860" w:top="512" w:right="860" w:bottom="0" w:gutter="0" w:footer="0" w:header="0"/>
          <w:type w:val="continuous"/>
        </w:sectPr>
      </w:pPr>
    </w:p>
    <w:bookmarkStart w:id="106" w:name="page107"/>
    <w:bookmarkEnd w:id="106"/>
    <w:p>
      <w:pPr>
        <w:ind w:left="440"/>
        <w:spacing w:after="0"/>
        <w:rPr>
          <w:sz w:val="20"/>
          <w:szCs w:val="20"/>
          <w:color w:val="auto"/>
        </w:rPr>
      </w:pPr>
      <w:r>
        <w:rPr>
          <w:rFonts w:ascii="Arial" w:cs="Arial" w:eastAsia="Arial" w:hAnsi="Arial"/>
          <w:sz w:val="20"/>
          <w:szCs w:val="20"/>
          <w:b w:val="1"/>
          <w:bCs w:val="1"/>
          <w:i w:val="1"/>
          <w:iCs w:val="1"/>
          <w:color w:val="auto"/>
        </w:rPr>
        <w:t>Energy Revenue</w:t>
      </w:r>
    </w:p>
    <w:p>
      <w:pPr>
        <w:spacing w:after="0" w:line="134" w:lineRule="exact"/>
        <w:rPr>
          <w:sz w:val="20"/>
          <w:szCs w:val="20"/>
          <w:color w:val="auto"/>
        </w:rPr>
      </w:pPr>
    </w:p>
    <w:p>
      <w:pPr>
        <w:jc w:val="both"/>
        <w:ind w:firstLine="445"/>
        <w:spacing w:after="0" w:line="266" w:lineRule="auto"/>
        <w:rPr>
          <w:sz w:val="20"/>
          <w:szCs w:val="20"/>
          <w:color w:val="auto"/>
        </w:rPr>
      </w:pPr>
      <w:r>
        <w:rPr>
          <w:rFonts w:ascii="Arial" w:cs="Arial" w:eastAsia="Arial" w:hAnsi="Arial"/>
          <w:sz w:val="19"/>
          <w:szCs w:val="19"/>
          <w:color w:val="auto"/>
        </w:rPr>
        <w:t>Both physical and financial transactions consist of revenues billed to a third-party at either market or negotiated contract terms to optimize the financial performance of the Company's generating facilities. Payment terms vary from 5 to 55 days. Electric energy revenue is recognized upon transmission to the customer over time, using the output method for measuring progress of satisfaction of performance obligations. Physical transactions, or the sale of generated electricity to meet supply and demand, are recorded on a gross basis in the Company's consolidated statements of operations. The Company applies the invoicing practical expedient in recognizing energy revenue. Under the practical expedient, revenue is recognized based on the invoiced amount which is equal to the value to the customer of NRG’s performance obligation completed to date. Financial transactions used to hedge the sale of electricity are recorded net within revenues in the consolidated statements of operations in accordance with ASC 815.</w:t>
      </w:r>
    </w:p>
    <w:p>
      <w:pPr>
        <w:spacing w:after="0" w:line="7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Ancillary revenues, included in Other revenue, are recognized over time as the obligation is fulfilled, using the output method for measuring progress of satisfaction of performance obligations.</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Capacity Revenue</w:t>
      </w:r>
    </w:p>
    <w:p>
      <w:pPr>
        <w:spacing w:after="0" w:line="134"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9"/>
          <w:szCs w:val="19"/>
          <w:color w:val="auto"/>
        </w:rPr>
        <w:t>The Company's largest sources of capacity revenues are capacity auctions in PJM and NYISO. Capacity revenues also include revenues billed to a third-party at either market or negotiated contract terms for making installed generation and demand response capacity available in order to satisfy system integrity and reliability requirements. Payment terms vary from 15 to 55 days. Capacity revenues are recognized over time, using the output method for measuring progress of satisfaction of performance obligations. The Company applies the invoicing practical expedient in recognizing capacity revenue. Under the practical expedient, revenue is recognized based on the invoiced amount which is equal to the value to the customer of NRG’s performance obligation completed to date.</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Performance Obligations</w:t>
      </w:r>
    </w:p>
    <w:p>
      <w:pPr>
        <w:spacing w:after="0" w:line="134"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9"/>
          <w:szCs w:val="19"/>
          <w:color w:val="auto"/>
        </w:rPr>
        <w:t>As of December 31, 2024, estimated future fixed fee performance obligations are $1.6 billion, $1.2 billion, $796 million, $489 million and $219 million for the fiscal years 2025, 2026, 2027, 2028 and 2029, respectively. These performance obligations include Vivint Smart Home products and services, as well as cleared auction MWs in the PJM, ISO-NE, NYISO and MISO capacity auctions. The cleared auction MWs are subject to penalties for non-performance.</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880" w:h="15480" w:orient="portrait"/>
          <w:cols w:equalWidth="0" w:num="1">
            <w:col w:w="10160"/>
          </w:cols>
          <w:pgMar w:left="860" w:top="505" w:right="860" w:bottom="0" w:gutter="0" w:footer="0" w:header="0"/>
          <w:type w:val="continuous"/>
        </w:sectPr>
      </w:pPr>
    </w:p>
    <w:bookmarkStart w:id="107" w:name="page108"/>
    <w:bookmarkEnd w:id="107"/>
    <w:p>
      <w:pPr>
        <w:ind w:left="440"/>
        <w:spacing w:after="0"/>
        <w:rPr>
          <w:sz w:val="20"/>
          <w:szCs w:val="20"/>
          <w:color w:val="auto"/>
        </w:rPr>
      </w:pPr>
      <w:r>
        <w:rPr>
          <w:rFonts w:ascii="Arial" w:cs="Arial" w:eastAsia="Arial" w:hAnsi="Arial"/>
          <w:sz w:val="20"/>
          <w:szCs w:val="20"/>
          <w:b w:val="1"/>
          <w:bCs w:val="1"/>
          <w:i w:val="1"/>
          <w:iCs w:val="1"/>
          <w:color w:val="auto"/>
        </w:rPr>
        <w:t>Disaggregated Revenues</w:t>
      </w:r>
    </w:p>
    <w:p>
      <w:pPr>
        <w:spacing w:after="0" w:line="134" w:lineRule="exact"/>
        <w:rPr>
          <w:sz w:val="20"/>
          <w:szCs w:val="20"/>
          <w:color w:val="auto"/>
        </w:rPr>
      </w:pPr>
    </w:p>
    <w:p>
      <w:pPr>
        <w:ind w:firstLine="445"/>
        <w:spacing w:after="0" w:line="277" w:lineRule="auto"/>
        <w:rPr>
          <w:sz w:val="20"/>
          <w:szCs w:val="20"/>
          <w:color w:val="auto"/>
        </w:rPr>
      </w:pPr>
      <w:r>
        <w:rPr>
          <w:rFonts w:ascii="Arial" w:cs="Arial" w:eastAsia="Arial" w:hAnsi="Arial"/>
          <w:sz w:val="20"/>
          <w:szCs w:val="20"/>
          <w:color w:val="auto"/>
        </w:rPr>
        <w:t>The following tables represent the Company’s disaggregation of revenue from contracts with customers for the years ended December 31, 2024, 2023, and 2022:</w:t>
      </w:r>
    </w:p>
    <w:p>
      <w:pPr>
        <w:spacing w:after="0" w:line="3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3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9"/>
          </w:tcPr>
          <w:p>
            <w:pPr>
              <w:ind w:left="420"/>
              <w:spacing w:after="0"/>
              <w:rPr>
                <w:sz w:val="20"/>
                <w:szCs w:val="20"/>
                <w:color w:val="auto"/>
              </w:rPr>
            </w:pPr>
            <w:r>
              <w:rPr>
                <w:rFonts w:ascii="Arial" w:cs="Arial" w:eastAsia="Arial" w:hAnsi="Arial"/>
                <w:sz w:val="18"/>
                <w:szCs w:val="18"/>
                <w:b w:val="1"/>
                <w:bCs w:val="1"/>
                <w:color w:val="auto"/>
                <w:w w:val="93"/>
              </w:rPr>
              <w:t>For the Year Ended December 31, 2024</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720" w:type="dxa"/>
            <w:vAlign w:val="bottom"/>
            <w:vMerge w:val="restart"/>
          </w:tcPr>
          <w:p>
            <w:pPr>
              <w:jc w:val="right"/>
              <w:ind w:right="2802"/>
              <w:spacing w:after="0"/>
              <w:rPr>
                <w:sz w:val="20"/>
                <w:szCs w:val="20"/>
                <w:color w:val="auto"/>
              </w:rPr>
            </w:pPr>
            <w:r>
              <w:rPr>
                <w:rFonts w:ascii="Arial" w:cs="Arial" w:eastAsia="Arial" w:hAnsi="Arial"/>
                <w:sz w:val="16"/>
                <w:szCs w:val="16"/>
                <w:b w:val="1"/>
                <w:bCs w:val="1"/>
                <w:color w:val="auto"/>
                <w:w w:val="89"/>
              </w:rPr>
              <w:t>(In millions)</w:t>
            </w:r>
          </w:p>
        </w:tc>
        <w:tc>
          <w:tcPr>
            <w:tcW w:w="220" w:type="dxa"/>
            <w:vAlign w:val="bottom"/>
          </w:tcPr>
          <w:p>
            <w:pPr>
              <w:spacing w:after="0"/>
              <w:rPr>
                <w:sz w:val="15"/>
                <w:szCs w:val="15"/>
                <w:color w:val="auto"/>
              </w:rPr>
            </w:pPr>
          </w:p>
        </w:tc>
        <w:tc>
          <w:tcPr>
            <w:tcW w:w="760" w:type="dxa"/>
            <w:vAlign w:val="bottom"/>
            <w:vMerge w:val="restart"/>
          </w:tcPr>
          <w:p>
            <w:pPr>
              <w:jc w:val="right"/>
              <w:ind w:right="203"/>
              <w:spacing w:after="0"/>
              <w:rPr>
                <w:sz w:val="20"/>
                <w:szCs w:val="20"/>
                <w:color w:val="auto"/>
              </w:rPr>
            </w:pPr>
            <w:r>
              <w:rPr>
                <w:rFonts w:ascii="Arial" w:cs="Arial" w:eastAsia="Arial" w:hAnsi="Arial"/>
                <w:sz w:val="16"/>
                <w:szCs w:val="16"/>
                <w:b w:val="1"/>
                <w:bCs w:val="1"/>
                <w:color w:val="auto"/>
                <w:w w:val="96"/>
              </w:rPr>
              <w:t>Texas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ind w:right="243"/>
              <w:spacing w:after="0"/>
              <w:rPr>
                <w:sz w:val="20"/>
                <w:szCs w:val="20"/>
                <w:color w:val="auto"/>
              </w:rPr>
            </w:pPr>
            <w:r>
              <w:rPr>
                <w:rFonts w:ascii="Arial" w:cs="Arial" w:eastAsia="Arial" w:hAnsi="Arial"/>
                <w:sz w:val="16"/>
                <w:szCs w:val="16"/>
                <w:b w:val="1"/>
                <w:bCs w:val="1"/>
                <w:color w:val="auto"/>
              </w:rPr>
              <w:t>East</w:t>
            </w:r>
          </w:p>
        </w:tc>
        <w:tc>
          <w:tcPr>
            <w:tcW w:w="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w w:val="90"/>
              </w:rPr>
              <w:t>West/Services/</w:t>
            </w:r>
          </w:p>
        </w:tc>
        <w:tc>
          <w:tcPr>
            <w:tcW w:w="8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w w:val="98"/>
              </w:rPr>
              <w:t>Vivint Smart</w:t>
            </w:r>
          </w:p>
        </w:tc>
        <w:tc>
          <w:tcPr>
            <w:tcW w:w="60" w:type="dxa"/>
            <w:vAlign w:val="bottom"/>
          </w:tcPr>
          <w:p>
            <w:pPr>
              <w:spacing w:after="0"/>
              <w:rPr>
                <w:sz w:val="15"/>
                <w:szCs w:val="15"/>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Corporate/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ind w:right="20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7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Other</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b w:val="1"/>
                <w:bCs w:val="1"/>
                <w:color w:val="auto"/>
              </w:rPr>
              <w:t>Home</w:t>
            </w:r>
          </w:p>
        </w:tc>
        <w:tc>
          <w:tcPr>
            <w:tcW w:w="60" w:type="dxa"/>
            <w:vAlign w:val="bottom"/>
          </w:tcPr>
          <w:p>
            <w:pPr>
              <w:spacing w:after="0"/>
              <w:rPr>
                <w:sz w:val="18"/>
                <w:szCs w:val="18"/>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4"/>
              </w:rPr>
              <w:t>Eliminations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720" w:type="dxa"/>
            <w:vAlign w:val="bottom"/>
          </w:tcPr>
          <w:p>
            <w:pPr>
              <w:ind w:left="120"/>
              <w:spacing w:after="0"/>
              <w:rPr>
                <w:sz w:val="20"/>
                <w:szCs w:val="20"/>
                <w:color w:val="auto"/>
              </w:rPr>
            </w:pPr>
            <w:r>
              <w:rPr>
                <w:rFonts w:ascii="Arial" w:cs="Arial" w:eastAsia="Arial" w:hAnsi="Arial"/>
                <w:sz w:val="20"/>
                <w:szCs w:val="20"/>
                <w:color w:val="auto"/>
              </w:rPr>
              <w:t>Retail revenue:</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720" w:type="dxa"/>
            <w:vAlign w:val="bottom"/>
          </w:tcPr>
          <w:p>
            <w:pPr>
              <w:jc w:val="right"/>
              <w:spacing w:after="0"/>
              <w:rPr>
                <w:sz w:val="20"/>
                <w:szCs w:val="20"/>
                <w:color w:val="auto"/>
              </w:rPr>
            </w:pPr>
            <w:r>
              <w:rPr>
                <w:rFonts w:ascii="Arial" w:cs="Arial" w:eastAsia="Arial" w:hAnsi="Arial"/>
                <w:sz w:val="20"/>
                <w:szCs w:val="20"/>
                <w:color w:val="auto"/>
                <w:w w:val="99"/>
              </w:rPr>
              <w:t xml:space="preserve">Home </w:t>
            </w:r>
            <w:r>
              <w:rPr>
                <w:rFonts w:ascii="Arial" w:cs="Arial" w:eastAsia="Arial" w:hAnsi="Arial"/>
                <w:sz w:val="20"/>
                <w:szCs w:val="20"/>
                <w:color w:val="B4B4B4"/>
                <w:w w:val="99"/>
              </w:rPr>
              <w:t>. . . . . . . . . . . . . . . . . . . . . . .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6,836</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2,453</w:t>
            </w:r>
          </w:p>
        </w:tc>
        <w:tc>
          <w:tcPr>
            <w:tcW w:w="3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1,750</w:t>
            </w:r>
          </w:p>
        </w:tc>
        <w:tc>
          <w:tcPr>
            <w:tcW w:w="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3"/>
              <w:spacing w:after="0"/>
              <w:rPr>
                <w:sz w:val="20"/>
                <w:szCs w:val="20"/>
                <w:color w:val="auto"/>
              </w:rPr>
            </w:pPr>
            <w:r>
              <w:rPr>
                <w:rFonts w:ascii="Arial" w:cs="Arial" w:eastAsia="Arial" w:hAnsi="Arial"/>
                <w:sz w:val="20"/>
                <w:szCs w:val="20"/>
                <w:color w:val="auto"/>
              </w:rPr>
              <w:t>1,932</w:t>
            </w:r>
          </w:p>
        </w:tc>
        <w:tc>
          <w:tcPr>
            <w:tcW w:w="56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500" w:type="dxa"/>
            <w:vAlign w:val="bottom"/>
          </w:tcPr>
          <w:p>
            <w:pPr>
              <w:jc w:val="right"/>
              <w:spacing w:after="0"/>
              <w:rPr>
                <w:sz w:val="20"/>
                <w:szCs w:val="20"/>
                <w:color w:val="auto"/>
              </w:rPr>
            </w:pPr>
            <w:r>
              <w:rPr>
                <w:rFonts w:ascii="Arial" w:cs="Arial" w:eastAsia="Arial" w:hAnsi="Arial"/>
                <w:sz w:val="20"/>
                <w:szCs w:val="20"/>
                <w:color w:val="auto"/>
              </w:rPr>
              <w:t>(25)</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12,946</w:t>
            </w:r>
          </w:p>
        </w:tc>
        <w:tc>
          <w:tcPr>
            <w:tcW w:w="0" w:type="dxa"/>
            <w:vAlign w:val="bottom"/>
          </w:tcPr>
          <w:p>
            <w:pPr>
              <w:spacing w:after="0"/>
              <w:rPr>
                <w:sz w:val="1"/>
                <w:szCs w:val="1"/>
                <w:color w:val="auto"/>
              </w:rPr>
            </w:pPr>
          </w:p>
        </w:tc>
      </w:tr>
      <w:tr>
        <w:trPr>
          <w:trHeight w:val="299"/>
        </w:trPr>
        <w:tc>
          <w:tcPr>
            <w:tcW w:w="3720" w:type="dxa"/>
            <w:vAlign w:val="bottom"/>
          </w:tcPr>
          <w:p>
            <w:pPr>
              <w:jc w:val="right"/>
              <w:spacing w:after="0"/>
              <w:rPr>
                <w:sz w:val="20"/>
                <w:szCs w:val="20"/>
                <w:color w:val="auto"/>
              </w:rPr>
            </w:pPr>
            <w:r>
              <w:rPr>
                <w:rFonts w:ascii="Arial" w:cs="Arial" w:eastAsia="Arial" w:hAnsi="Arial"/>
                <w:sz w:val="20"/>
                <w:szCs w:val="20"/>
                <w:color w:val="auto"/>
                <w:w w:val="98"/>
              </w:rPr>
              <w:t xml:space="preserve">Business </w:t>
            </w:r>
            <w:r>
              <w:rPr>
                <w:rFonts w:ascii="Arial" w:cs="Arial" w:eastAsia="Arial" w:hAnsi="Arial"/>
                <w:sz w:val="20"/>
                <w:szCs w:val="20"/>
                <w:color w:val="B4B4B4"/>
                <w:w w:val="98"/>
              </w:rPr>
              <w:t>. . . . . . . . . . . . . . . . . . . . . . . . . .</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3,564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8,794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1,845</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14,203</w:t>
            </w:r>
          </w:p>
        </w:tc>
        <w:tc>
          <w:tcPr>
            <w:tcW w:w="0" w:type="dxa"/>
            <w:vAlign w:val="bottom"/>
          </w:tcPr>
          <w:p>
            <w:pPr>
              <w:spacing w:after="0"/>
              <w:rPr>
                <w:sz w:val="1"/>
                <w:szCs w:val="1"/>
                <w:color w:val="auto"/>
              </w:rPr>
            </w:pPr>
          </w:p>
        </w:tc>
      </w:tr>
      <w:tr>
        <w:trPr>
          <w:trHeight w:val="277"/>
        </w:trPr>
        <w:tc>
          <w:tcPr>
            <w:tcW w:w="3720" w:type="dxa"/>
            <w:vAlign w:val="bottom"/>
          </w:tcPr>
          <w:p>
            <w:pPr>
              <w:jc w:val="right"/>
              <w:spacing w:after="0" w:line="277" w:lineRule="exact"/>
              <w:rPr>
                <w:sz w:val="20"/>
                <w:szCs w:val="20"/>
                <w:color w:val="auto"/>
              </w:rPr>
            </w:pPr>
            <w:r>
              <w:rPr>
                <w:rFonts w:ascii="Arial" w:cs="Arial" w:eastAsia="Arial" w:hAnsi="Arial"/>
                <w:sz w:val="20"/>
                <w:szCs w:val="20"/>
                <w:color w:val="B4B4B4"/>
              </w:rPr>
              <w:t>. . . . . . . . . . . . . .</w:t>
            </w:r>
            <w:r>
              <w:rPr>
                <w:rFonts w:ascii="Arial" w:cs="Arial" w:eastAsia="Arial" w:hAnsi="Arial"/>
                <w:sz w:val="20"/>
                <w:szCs w:val="20"/>
                <w:color w:val="000000"/>
              </w:rPr>
              <w:t>Totalretailrevenue</w:t>
            </w:r>
            <w:r>
              <w:rPr>
                <w:rFonts w:ascii="Arial" w:cs="Arial" w:eastAsia="Arial" w:hAnsi="Arial"/>
                <w:sz w:val="25"/>
                <w:szCs w:val="25"/>
                <w:color w:val="000000"/>
                <w:vertAlign w:val="superscript"/>
              </w:rPr>
              <w:t>(a)</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10,400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11,247</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3,595</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1,932</w:t>
            </w: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27,149</w:t>
            </w:r>
          </w:p>
        </w:tc>
        <w:tc>
          <w:tcPr>
            <w:tcW w:w="0" w:type="dxa"/>
            <w:vAlign w:val="bottom"/>
          </w:tcPr>
          <w:p>
            <w:pPr>
              <w:spacing w:after="0"/>
              <w:rPr>
                <w:sz w:val="1"/>
                <w:szCs w:val="1"/>
                <w:color w:val="auto"/>
              </w:rPr>
            </w:pPr>
          </w:p>
        </w:tc>
      </w:tr>
      <w:tr>
        <w:trPr>
          <w:trHeight w:val="295"/>
        </w:trPr>
        <w:tc>
          <w:tcPr>
            <w:tcW w:w="3720" w:type="dxa"/>
            <w:vAlign w:val="bottom"/>
          </w:tcPr>
          <w:p>
            <w:pPr>
              <w:jc w:val="right"/>
              <w:spacing w:after="0"/>
              <w:rPr>
                <w:sz w:val="20"/>
                <w:szCs w:val="20"/>
                <w:color w:val="auto"/>
              </w:rPr>
            </w:pPr>
            <w:r>
              <w:rPr>
                <w:rFonts w:ascii="Arial" w:cs="Arial" w:eastAsia="Arial" w:hAnsi="Arial"/>
                <w:sz w:val="20"/>
                <w:szCs w:val="20"/>
                <w:color w:val="B4B4B4"/>
                <w:w w:val="94"/>
              </w:rPr>
              <w:t>. . . . . . . . . . . . . . . . . . . . .</w:t>
            </w:r>
            <w:r>
              <w:rPr>
                <w:rFonts w:ascii="Arial" w:cs="Arial" w:eastAsia="Arial" w:hAnsi="Arial"/>
                <w:sz w:val="20"/>
                <w:szCs w:val="20"/>
                <w:color w:val="000000"/>
                <w:w w:val="94"/>
              </w:rPr>
              <w:t>Energyrevenue</w:t>
            </w:r>
            <w:r>
              <w:rPr>
                <w:rFonts w:ascii="Arial" w:cs="Arial" w:eastAsia="Arial" w:hAnsi="Arial"/>
                <w:sz w:val="25"/>
                <w:szCs w:val="25"/>
                <w:color w:val="000000"/>
                <w:w w:val="94"/>
                <w:vertAlign w:val="superscript"/>
              </w:rPr>
              <w:t>(a)</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242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229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500</w:t>
            </w:r>
          </w:p>
        </w:tc>
        <w:tc>
          <w:tcPr>
            <w:tcW w:w="0" w:type="dxa"/>
            <w:vAlign w:val="bottom"/>
          </w:tcPr>
          <w:p>
            <w:pPr>
              <w:spacing w:after="0"/>
              <w:rPr>
                <w:sz w:val="1"/>
                <w:szCs w:val="1"/>
                <w:color w:val="auto"/>
              </w:rPr>
            </w:pPr>
          </w:p>
        </w:tc>
      </w:tr>
      <w:tr>
        <w:trPr>
          <w:trHeight w:val="311"/>
        </w:trPr>
        <w:tc>
          <w:tcPr>
            <w:tcW w:w="3720" w:type="dxa"/>
            <w:vAlign w:val="bottom"/>
          </w:tcPr>
          <w:p>
            <w:pPr>
              <w:jc w:val="right"/>
              <w:spacing w:after="0"/>
              <w:rPr>
                <w:sz w:val="20"/>
                <w:szCs w:val="20"/>
                <w:color w:val="auto"/>
              </w:rPr>
            </w:pPr>
            <w:r>
              <w:rPr>
                <w:rFonts w:ascii="Arial" w:cs="Arial" w:eastAsia="Arial" w:hAnsi="Arial"/>
                <w:sz w:val="20"/>
                <w:szCs w:val="20"/>
                <w:color w:val="auto"/>
                <w:w w:val="90"/>
              </w:rPr>
              <w:t>Capacity revenue</w:t>
            </w:r>
            <w:r>
              <w:rPr>
                <w:rFonts w:ascii="Arial" w:cs="Arial" w:eastAsia="Arial" w:hAnsi="Arial"/>
                <w:sz w:val="25"/>
                <w:szCs w:val="25"/>
                <w:color w:val="auto"/>
                <w:w w:val="90"/>
                <w:vertAlign w:val="superscript"/>
              </w:rPr>
              <w:t>(a)</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156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177</w:t>
            </w:r>
          </w:p>
        </w:tc>
        <w:tc>
          <w:tcPr>
            <w:tcW w:w="0" w:type="dxa"/>
            <w:vAlign w:val="bottom"/>
          </w:tcPr>
          <w:p>
            <w:pPr>
              <w:spacing w:after="0"/>
              <w:rPr>
                <w:sz w:val="1"/>
                <w:szCs w:val="1"/>
                <w:color w:val="auto"/>
              </w:rPr>
            </w:pPr>
          </w:p>
        </w:tc>
      </w:tr>
      <w:tr>
        <w:trPr>
          <w:trHeight w:val="198"/>
        </w:trPr>
        <w:tc>
          <w:tcPr>
            <w:tcW w:w="3720" w:type="dxa"/>
            <w:vAlign w:val="bottom"/>
          </w:tcPr>
          <w:p>
            <w:pPr>
              <w:ind w:left="120"/>
              <w:spacing w:after="0" w:line="199" w:lineRule="exact"/>
              <w:rPr>
                <w:sz w:val="20"/>
                <w:szCs w:val="20"/>
                <w:color w:val="auto"/>
              </w:rPr>
            </w:pPr>
            <w:r>
              <w:rPr>
                <w:rFonts w:ascii="Arial" w:cs="Arial" w:eastAsia="Arial" w:hAnsi="Arial"/>
                <w:sz w:val="20"/>
                <w:szCs w:val="20"/>
                <w:color w:val="auto"/>
              </w:rPr>
              <w:t>Mark-to-market for economic hedging</w:t>
            </w:r>
          </w:p>
        </w:tc>
        <w:tc>
          <w:tcPr>
            <w:tcW w:w="2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(23)</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16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restart"/>
          </w:tcPr>
          <w:p>
            <w:pPr>
              <w:jc w:val="right"/>
              <w:ind w:right="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97"/>
        </w:trPr>
        <w:tc>
          <w:tcPr>
            <w:tcW w:w="3720" w:type="dxa"/>
            <w:vAlign w:val="bottom"/>
          </w:tcPr>
          <w:p>
            <w:pPr>
              <w:jc w:val="right"/>
              <w:spacing w:after="0"/>
              <w:rPr>
                <w:sz w:val="20"/>
                <w:szCs w:val="20"/>
                <w:color w:val="auto"/>
              </w:rPr>
            </w:pPr>
            <w:r>
              <w:rPr>
                <w:rFonts w:ascii="Arial" w:cs="Arial" w:eastAsia="Arial" w:hAnsi="Arial"/>
                <w:sz w:val="20"/>
                <w:szCs w:val="20"/>
                <w:color w:val="auto"/>
                <w:w w:val="92"/>
              </w:rPr>
              <w:t>activities</w:t>
            </w:r>
            <w:r>
              <w:rPr>
                <w:rFonts w:ascii="Arial" w:cs="Arial" w:eastAsia="Arial" w:hAnsi="Arial"/>
                <w:sz w:val="25"/>
                <w:szCs w:val="25"/>
                <w:color w:val="auto"/>
                <w:w w:val="92"/>
                <w:vertAlign w:val="superscript"/>
              </w:rPr>
              <w:t>(b)</w:t>
            </w:r>
            <w:r>
              <w:rPr>
                <w:rFonts w:ascii="Arial" w:cs="Arial" w:eastAsia="Arial" w:hAnsi="Arial"/>
                <w:sz w:val="20"/>
                <w:szCs w:val="20"/>
                <w:color w:val="auto"/>
                <w:w w:val="92"/>
              </w:rPr>
              <w:t xml:space="preserve"> </w:t>
            </w:r>
            <w:r>
              <w:rPr>
                <w:rFonts w:ascii="Arial" w:cs="Arial" w:eastAsia="Arial" w:hAnsi="Arial"/>
                <w:sz w:val="20"/>
                <w:szCs w:val="20"/>
                <w:color w:val="B4B4B4"/>
                <w:w w:val="92"/>
              </w:rPr>
              <w:t>. . . . . . . . . . . . . . . . . . . . . . . . . . .</w:t>
            </w:r>
          </w:p>
        </w:tc>
        <w:tc>
          <w:tcPr>
            <w:tcW w:w="2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720" w:type="dxa"/>
            <w:vAlign w:val="bottom"/>
          </w:tcPr>
          <w:p>
            <w:pPr>
              <w:jc w:val="right"/>
              <w:spacing w:after="0"/>
              <w:rPr>
                <w:sz w:val="20"/>
                <w:szCs w:val="20"/>
                <w:color w:val="auto"/>
              </w:rPr>
            </w:pPr>
            <w:r>
              <w:rPr>
                <w:rFonts w:ascii="Arial" w:cs="Arial" w:eastAsia="Arial" w:hAnsi="Arial"/>
                <w:sz w:val="20"/>
                <w:szCs w:val="20"/>
                <w:color w:val="auto"/>
                <w:w w:val="93"/>
              </w:rPr>
              <w:t xml:space="preserve">Contract amortization </w:t>
            </w:r>
            <w:r>
              <w:rPr>
                <w:rFonts w:ascii="Arial" w:cs="Arial" w:eastAsia="Arial" w:hAnsi="Arial"/>
                <w:sz w:val="20"/>
                <w:szCs w:val="20"/>
                <w:color w:val="B4B4B4"/>
                <w:w w:val="93"/>
              </w:rPr>
              <w:t>. . . . . . . . . . . . . . . . . .</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99"/>
        </w:trPr>
        <w:tc>
          <w:tcPr>
            <w:tcW w:w="3720" w:type="dxa"/>
            <w:vAlign w:val="bottom"/>
          </w:tcPr>
          <w:p>
            <w:pPr>
              <w:jc w:val="right"/>
              <w:spacing w:after="0"/>
              <w:rPr>
                <w:sz w:val="20"/>
                <w:szCs w:val="20"/>
                <w:color w:val="auto"/>
              </w:rPr>
            </w:pPr>
            <w:r>
              <w:rPr>
                <w:rFonts w:ascii="Arial" w:cs="Arial" w:eastAsia="Arial" w:hAnsi="Arial"/>
                <w:sz w:val="20"/>
                <w:szCs w:val="20"/>
                <w:color w:val="auto"/>
                <w:w w:val="90"/>
              </w:rPr>
              <w:t>Other revenue</w:t>
            </w:r>
            <w:r>
              <w:rPr>
                <w:rFonts w:ascii="Arial" w:cs="Arial" w:eastAsia="Arial" w:hAnsi="Arial"/>
                <w:sz w:val="25"/>
                <w:szCs w:val="25"/>
                <w:color w:val="auto"/>
                <w:w w:val="90"/>
                <w:vertAlign w:val="superscript"/>
              </w:rPr>
              <w:t>(a)</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336</w:t>
            </w:r>
          </w:p>
        </w:tc>
        <w:tc>
          <w:tcPr>
            <w:tcW w:w="0" w:type="dxa"/>
            <w:vAlign w:val="bottom"/>
          </w:tcPr>
          <w:p>
            <w:pPr>
              <w:spacing w:after="0"/>
              <w:rPr>
                <w:sz w:val="1"/>
                <w:szCs w:val="1"/>
                <w:color w:val="auto"/>
              </w:rPr>
            </w:pPr>
          </w:p>
        </w:tc>
      </w:tr>
      <w:tr>
        <w:trPr>
          <w:trHeight w:val="277"/>
        </w:trPr>
        <w:tc>
          <w:tcPr>
            <w:tcW w:w="3720" w:type="dxa"/>
            <w:vAlign w:val="bottom"/>
          </w:tcPr>
          <w:p>
            <w:pPr>
              <w:jc w:val="right"/>
              <w:spacing w:after="0"/>
              <w:rPr>
                <w:sz w:val="20"/>
                <w:szCs w:val="20"/>
                <w:color w:val="auto"/>
              </w:rPr>
            </w:pPr>
            <w:r>
              <w:rPr>
                <w:rFonts w:ascii="Arial" w:cs="Arial" w:eastAsia="Arial" w:hAnsi="Arial"/>
                <w:sz w:val="20"/>
                <w:szCs w:val="20"/>
                <w:color w:val="auto"/>
                <w:w w:val="93"/>
              </w:rPr>
              <w:t xml:space="preserve">Total revenue </w:t>
            </w:r>
            <w:r>
              <w:rPr>
                <w:rFonts w:ascii="Arial" w:cs="Arial" w:eastAsia="Arial" w:hAnsi="Arial"/>
                <w:sz w:val="20"/>
                <w:szCs w:val="20"/>
                <w:color w:val="B4B4B4"/>
                <w:w w:val="93"/>
              </w:rPr>
              <w:t>. . . . . . . . . . . . . . . . . . . . . . . .</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10,653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11,707</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3,886</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1,932</w:t>
            </w: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28,130</w:t>
            </w:r>
          </w:p>
        </w:tc>
        <w:tc>
          <w:tcPr>
            <w:tcW w:w="0" w:type="dxa"/>
            <w:vAlign w:val="bottom"/>
          </w:tcPr>
          <w:p>
            <w:pPr>
              <w:spacing w:after="0"/>
              <w:rPr>
                <w:sz w:val="1"/>
                <w:szCs w:val="1"/>
                <w:color w:val="auto"/>
              </w:rPr>
            </w:pPr>
          </w:p>
        </w:tc>
      </w:tr>
      <w:tr>
        <w:trPr>
          <w:trHeight w:val="210"/>
        </w:trPr>
        <w:tc>
          <w:tcPr>
            <w:tcW w:w="3720" w:type="dxa"/>
            <w:vAlign w:val="bottom"/>
          </w:tcPr>
          <w:p>
            <w:pPr>
              <w:ind w:left="120"/>
              <w:spacing w:after="0" w:line="209" w:lineRule="exact"/>
              <w:rPr>
                <w:sz w:val="20"/>
                <w:szCs w:val="20"/>
                <w:color w:val="auto"/>
              </w:rPr>
            </w:pPr>
            <w:r>
              <w:rPr>
                <w:rFonts w:ascii="Arial" w:cs="Arial" w:eastAsia="Arial" w:hAnsi="Arial"/>
                <w:sz w:val="20"/>
                <w:szCs w:val="20"/>
                <w:color w:val="auto"/>
                <w:w w:val="93"/>
              </w:rPr>
              <w:t>Less: Revenues accounted for under topics</w:t>
            </w:r>
          </w:p>
        </w:tc>
        <w:tc>
          <w:tcPr>
            <w:tcW w:w="22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57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restart"/>
          </w:tcPr>
          <w:p>
            <w:pPr>
              <w:jc w:val="right"/>
              <w:ind w:right="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258"/>
        </w:trPr>
        <w:tc>
          <w:tcPr>
            <w:tcW w:w="3720" w:type="dxa"/>
            <w:vAlign w:val="bottom"/>
          </w:tcPr>
          <w:p>
            <w:pPr>
              <w:jc w:val="right"/>
              <w:spacing w:after="0"/>
              <w:rPr>
                <w:sz w:val="20"/>
                <w:szCs w:val="20"/>
                <w:color w:val="auto"/>
              </w:rPr>
            </w:pPr>
            <w:r>
              <w:rPr>
                <w:rFonts w:ascii="Arial" w:cs="Arial" w:eastAsia="Arial" w:hAnsi="Arial"/>
                <w:sz w:val="20"/>
                <w:szCs w:val="20"/>
                <w:color w:val="auto"/>
                <w:w w:val="93"/>
              </w:rPr>
              <w:t xml:space="preserve">other than ASC 606 and ASC 815 </w:t>
            </w:r>
            <w:r>
              <w:rPr>
                <w:rFonts w:ascii="Arial" w:cs="Arial" w:eastAsia="Arial" w:hAnsi="Arial"/>
                <w:sz w:val="20"/>
                <w:szCs w:val="20"/>
                <w:color w:val="B4B4B4"/>
                <w:w w:val="93"/>
              </w:rPr>
              <w:t>. . . . . . . .</w:t>
            </w:r>
          </w:p>
        </w:tc>
        <w:tc>
          <w:tcPr>
            <w:tcW w:w="22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720" w:type="dxa"/>
            <w:vAlign w:val="bottom"/>
          </w:tcPr>
          <w:p>
            <w:pPr>
              <w:ind w:left="120"/>
              <w:spacing w:after="0"/>
              <w:rPr>
                <w:sz w:val="20"/>
                <w:szCs w:val="20"/>
                <w:color w:val="auto"/>
              </w:rPr>
            </w:pPr>
            <w:r>
              <w:rPr>
                <w:rFonts w:ascii="Arial" w:cs="Arial" w:eastAsia="Arial" w:hAnsi="Arial"/>
                <w:sz w:val="20"/>
                <w:szCs w:val="20"/>
                <w:color w:val="auto"/>
              </w:rPr>
              <w:t>Less: Realized and unrealized ASC 815</w:t>
            </w:r>
          </w:p>
        </w:tc>
        <w:tc>
          <w:tcPr>
            <w:tcW w:w="22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30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168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75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vMerge w:val="restart"/>
          </w:tcPr>
          <w:p>
            <w:pPr>
              <w:jc w:val="right"/>
              <w:ind w:right="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265</w:t>
            </w:r>
          </w:p>
        </w:tc>
        <w:tc>
          <w:tcPr>
            <w:tcW w:w="0" w:type="dxa"/>
            <w:vAlign w:val="bottom"/>
          </w:tcPr>
          <w:p>
            <w:pPr>
              <w:spacing w:after="0"/>
              <w:rPr>
                <w:sz w:val="1"/>
                <w:szCs w:val="1"/>
                <w:color w:val="auto"/>
              </w:rPr>
            </w:pPr>
          </w:p>
        </w:tc>
      </w:tr>
      <w:tr>
        <w:trPr>
          <w:trHeight w:val="260"/>
        </w:trPr>
        <w:tc>
          <w:tcPr>
            <w:tcW w:w="3720" w:type="dxa"/>
            <w:vAlign w:val="bottom"/>
          </w:tcPr>
          <w:p>
            <w:pPr>
              <w:jc w:val="right"/>
              <w:spacing w:after="0"/>
              <w:rPr>
                <w:sz w:val="20"/>
                <w:szCs w:val="20"/>
                <w:color w:val="auto"/>
              </w:rPr>
            </w:pPr>
            <w:r>
              <w:rPr>
                <w:rFonts w:ascii="Arial" w:cs="Arial" w:eastAsia="Arial" w:hAnsi="Arial"/>
                <w:sz w:val="20"/>
                <w:szCs w:val="20"/>
                <w:color w:val="auto"/>
                <w:w w:val="92"/>
              </w:rPr>
              <w:t xml:space="preserve">revenue </w:t>
            </w:r>
            <w:r>
              <w:rPr>
                <w:rFonts w:ascii="Arial" w:cs="Arial" w:eastAsia="Arial" w:hAnsi="Arial"/>
                <w:sz w:val="20"/>
                <w:szCs w:val="20"/>
                <w:color w:val="B4B4B4"/>
                <w:w w:val="92"/>
              </w:rPr>
              <w:t>. . . . . . . . . . . . . . . . . . . . . . . . . . . . .</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720" w:type="dxa"/>
            <w:vAlign w:val="bottom"/>
          </w:tcPr>
          <w:p>
            <w:pPr>
              <w:jc w:val="right"/>
              <w:ind w:right="582"/>
              <w:spacing w:after="0" w:line="209" w:lineRule="exact"/>
              <w:rPr>
                <w:sz w:val="20"/>
                <w:szCs w:val="20"/>
                <w:color w:val="auto"/>
              </w:rPr>
            </w:pPr>
            <w:r>
              <w:rPr>
                <w:rFonts w:ascii="Arial" w:cs="Arial" w:eastAsia="Arial" w:hAnsi="Arial"/>
                <w:sz w:val="20"/>
                <w:szCs w:val="20"/>
                <w:color w:val="auto"/>
              </w:rPr>
              <w:t>Total revenue from contracts with</w:t>
            </w: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10,623</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11,482</w:t>
            </w:r>
          </w:p>
        </w:tc>
        <w:tc>
          <w:tcPr>
            <w:tcW w:w="320" w:type="dxa"/>
            <w:vAlign w:val="bottom"/>
            <w:gridSpan w:val="2"/>
            <w:vMerge w:val="restart"/>
          </w:tcPr>
          <w:p>
            <w:pPr>
              <w:ind w:left="120"/>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3,750</w:t>
            </w:r>
          </w:p>
        </w:tc>
        <w:tc>
          <w:tcPr>
            <w:tcW w:w="300" w:type="dxa"/>
            <w:vAlign w:val="bottom"/>
            <w:gridSpan w:val="2"/>
            <w:vMerge w:val="restart"/>
          </w:tcPr>
          <w:p>
            <w:pPr>
              <w:ind w:left="120"/>
              <w:spacing w:after="0"/>
              <w:rPr>
                <w:sz w:val="20"/>
                <w:szCs w:val="20"/>
                <w:color w:val="auto"/>
              </w:rPr>
            </w:pPr>
            <w:r>
              <w:rPr>
                <w:rFonts w:ascii="Arial" w:cs="Arial" w:eastAsia="Arial" w:hAnsi="Arial"/>
                <w:sz w:val="20"/>
                <w:szCs w:val="20"/>
                <w:color w:val="auto"/>
              </w:rPr>
              <w:t>$</w:t>
            </w:r>
          </w:p>
        </w:tc>
        <w:tc>
          <w:tcPr>
            <w:tcW w:w="780" w:type="dxa"/>
            <w:vAlign w:val="bottom"/>
            <w:vMerge w:val="restart"/>
          </w:tcPr>
          <w:p>
            <w:pPr>
              <w:jc w:val="right"/>
              <w:ind w:right="3"/>
              <w:spacing w:after="0"/>
              <w:rPr>
                <w:sz w:val="20"/>
                <w:szCs w:val="20"/>
                <w:color w:val="auto"/>
              </w:rPr>
            </w:pPr>
            <w:r>
              <w:rPr>
                <w:rFonts w:ascii="Arial" w:cs="Arial" w:eastAsia="Arial" w:hAnsi="Arial"/>
                <w:sz w:val="20"/>
                <w:szCs w:val="20"/>
                <w:color w:val="auto"/>
              </w:rPr>
              <w:t>1,932</w:t>
            </w:r>
          </w:p>
        </w:tc>
        <w:tc>
          <w:tcPr>
            <w:tcW w:w="560" w:type="dxa"/>
            <w:vAlign w:val="bottom"/>
            <w:gridSpan w:val="2"/>
            <w:vMerge w:val="restart"/>
          </w:tcPr>
          <w:p>
            <w:pPr>
              <w:ind w:left="120"/>
              <w:spacing w:after="0"/>
              <w:rPr>
                <w:sz w:val="20"/>
                <w:szCs w:val="20"/>
                <w:color w:val="auto"/>
              </w:rPr>
            </w:pPr>
            <w:r>
              <w:rPr>
                <w:rFonts w:ascii="Arial" w:cs="Arial" w:eastAsia="Arial" w:hAnsi="Arial"/>
                <w:sz w:val="20"/>
                <w:szCs w:val="20"/>
                <w:color w:val="auto"/>
              </w:rPr>
              <w:t>$</w:t>
            </w:r>
          </w:p>
        </w:tc>
        <w:tc>
          <w:tcPr>
            <w:tcW w:w="500" w:type="dxa"/>
            <w:vAlign w:val="bottom"/>
            <w:vMerge w:val="restart"/>
          </w:tcPr>
          <w:p>
            <w:pPr>
              <w:jc w:val="right"/>
              <w:spacing w:after="0"/>
              <w:rPr>
                <w:sz w:val="20"/>
                <w:szCs w:val="20"/>
                <w:color w:val="auto"/>
              </w:rPr>
            </w:pPr>
            <w:r>
              <w:rPr>
                <w:rFonts w:ascii="Arial" w:cs="Arial" w:eastAsia="Arial" w:hAnsi="Arial"/>
                <w:sz w:val="20"/>
                <w:szCs w:val="20"/>
                <w:color w:val="auto"/>
              </w:rPr>
              <w:t>(39)</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27,748</w:t>
            </w:r>
          </w:p>
        </w:tc>
        <w:tc>
          <w:tcPr>
            <w:tcW w:w="0" w:type="dxa"/>
            <w:vAlign w:val="bottom"/>
          </w:tcPr>
          <w:p>
            <w:pPr>
              <w:spacing w:after="0"/>
              <w:rPr>
                <w:sz w:val="1"/>
                <w:szCs w:val="1"/>
                <w:color w:val="auto"/>
              </w:rPr>
            </w:pPr>
          </w:p>
        </w:tc>
      </w:tr>
      <w:tr>
        <w:trPr>
          <w:trHeight w:val="258"/>
        </w:trPr>
        <w:tc>
          <w:tcPr>
            <w:tcW w:w="3720" w:type="dxa"/>
            <w:vAlign w:val="bottom"/>
          </w:tcPr>
          <w:p>
            <w:pPr>
              <w:jc w:val="right"/>
              <w:spacing w:after="0"/>
              <w:rPr>
                <w:sz w:val="20"/>
                <w:szCs w:val="20"/>
                <w:color w:val="auto"/>
              </w:rPr>
            </w:pPr>
            <w:r>
              <w:rPr>
                <w:rFonts w:ascii="Arial" w:cs="Arial" w:eastAsia="Arial" w:hAnsi="Arial"/>
                <w:sz w:val="20"/>
                <w:szCs w:val="20"/>
                <w:color w:val="auto"/>
                <w:w w:val="98"/>
              </w:rPr>
              <w:t xml:space="preserve">customers </w:t>
            </w:r>
            <w:r>
              <w:rPr>
                <w:rFonts w:ascii="Arial" w:cs="Arial" w:eastAsia="Arial" w:hAnsi="Arial"/>
                <w:sz w:val="20"/>
                <w:szCs w:val="20"/>
                <w:color w:val="B4B4B4"/>
                <w:w w:val="98"/>
              </w:rPr>
              <w:t>. . . . . . . . . . . . . . . . . . . . . . . . .</w:t>
            </w:r>
          </w:p>
        </w:tc>
        <w:tc>
          <w:tcPr>
            <w:tcW w:w="22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560" w:type="dxa"/>
            <w:vAlign w:val="bottom"/>
            <w:gridSpan w:val="2"/>
            <w:vMerge w:val="continue"/>
          </w:tcPr>
          <w:p>
            <w:pPr>
              <w:spacing w:after="0"/>
              <w:rPr>
                <w:sz w:val="22"/>
                <w:szCs w:val="22"/>
                <w:color w:val="auto"/>
              </w:rPr>
            </w:pPr>
          </w:p>
        </w:tc>
        <w:tc>
          <w:tcPr>
            <w:tcW w:w="50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-2946400</wp:posOffset>
            </wp:positionV>
            <wp:extent cx="6475095" cy="2967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2">
                      <a:extLst>
                        <a:ext uri="{28A0092B-C50C-407E-A947-70E740481C1C}"/>
                      </a:extLst>
                    </a:blip>
                    <a:srcRect/>
                    <a:stretch>
                      <a:fillRect/>
                    </a:stretch>
                  </pic:blipFill>
                  <pic:spPr bwMode="auto">
                    <a:xfrm>
                      <a:off x="0" y="0"/>
                      <a:ext cx="6475095" cy="2967355"/>
                    </a:xfrm>
                    <a:prstGeom prst="rect">
                      <a:avLst/>
                    </a:prstGeom>
                    <a:noFill/>
                  </pic:spPr>
                </pic:pic>
              </a:graphicData>
            </a:graphic>
          </wp:anchor>
        </w:drawing>
      </w:r>
    </w:p>
    <w:p>
      <w:pPr>
        <w:spacing w:after="0" w:line="34" w:lineRule="exact"/>
        <w:rPr>
          <w:sz w:val="20"/>
          <w:szCs w:val="20"/>
          <w:color w:val="auto"/>
        </w:rPr>
      </w:pPr>
    </w:p>
    <w:p>
      <w:pPr>
        <w:ind w:left="60"/>
        <w:spacing w:after="0"/>
        <w:rPr>
          <w:sz w:val="20"/>
          <w:szCs w:val="20"/>
          <w:color w:val="auto"/>
        </w:rPr>
      </w:pPr>
      <w:r>
        <w:rPr>
          <w:rFonts w:ascii="Arial" w:cs="Arial" w:eastAsia="Arial" w:hAnsi="Arial"/>
          <w:sz w:val="13"/>
          <w:szCs w:val="13"/>
          <w:color w:val="auto"/>
        </w:rPr>
        <w:t>(a) The following table represents the realized revenues related to derivative instruments that are accounted for under ASC 815 and included in the amounts above:</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72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6"/>
                <w:szCs w:val="16"/>
                <w:color w:val="auto"/>
              </w:rPr>
            </w:pPr>
          </w:p>
        </w:tc>
        <w:tc>
          <w:tcPr>
            <w:tcW w:w="7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Texas</w:t>
            </w:r>
          </w:p>
        </w:tc>
        <w:tc>
          <w:tcPr>
            <w:tcW w:w="6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740" w:type="dxa"/>
            <w:vAlign w:val="bottom"/>
            <w:vMerge w:val="restart"/>
          </w:tcPr>
          <w:p>
            <w:pPr>
              <w:jc w:val="right"/>
              <w:ind w:right="245"/>
              <w:spacing w:after="0"/>
              <w:rPr>
                <w:sz w:val="20"/>
                <w:szCs w:val="20"/>
                <w:color w:val="auto"/>
              </w:rPr>
            </w:pPr>
            <w:r>
              <w:rPr>
                <w:rFonts w:ascii="Arial" w:cs="Arial" w:eastAsia="Arial" w:hAnsi="Arial"/>
                <w:sz w:val="16"/>
                <w:szCs w:val="16"/>
                <w:b w:val="1"/>
                <w:bCs w:val="1"/>
                <w:color w:val="auto"/>
              </w:rPr>
              <w:t>East</w:t>
            </w:r>
          </w:p>
        </w:tc>
        <w:tc>
          <w:tcPr>
            <w:tcW w:w="6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w w:val="90"/>
              </w:rPr>
              <w:t>West/Services/</w:t>
            </w:r>
          </w:p>
        </w:tc>
        <w:tc>
          <w:tcPr>
            <w:tcW w:w="8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w w:val="98"/>
              </w:rPr>
              <w:t>Vivint Smart</w:t>
            </w:r>
          </w:p>
        </w:tc>
        <w:tc>
          <w:tcPr>
            <w:tcW w:w="60" w:type="dxa"/>
            <w:vAlign w:val="bottom"/>
          </w:tcPr>
          <w:p>
            <w:pPr>
              <w:spacing w:after="0"/>
              <w:rPr>
                <w:sz w:val="16"/>
                <w:szCs w:val="16"/>
                <w:color w:val="auto"/>
              </w:rPr>
            </w:pPr>
          </w:p>
        </w:tc>
        <w:tc>
          <w:tcPr>
            <w:tcW w:w="1300" w:type="dxa"/>
            <w:vAlign w:val="bottom"/>
            <w:gridSpan w:val="4"/>
          </w:tcPr>
          <w:p>
            <w:pPr>
              <w:ind w:left="120"/>
              <w:spacing w:after="0"/>
              <w:rPr>
                <w:sz w:val="20"/>
                <w:szCs w:val="20"/>
                <w:color w:val="auto"/>
              </w:rPr>
            </w:pPr>
            <w:r>
              <w:rPr>
                <w:rFonts w:ascii="Arial" w:cs="Arial" w:eastAsia="Arial" w:hAnsi="Arial"/>
                <w:sz w:val="16"/>
                <w:szCs w:val="16"/>
                <w:b w:val="1"/>
                <w:bCs w:val="1"/>
                <w:color w:val="auto"/>
              </w:rPr>
              <w:t>Corporate/</w:t>
            </w:r>
          </w:p>
        </w:tc>
        <w:tc>
          <w:tcPr>
            <w:tcW w:w="740" w:type="dxa"/>
            <w:vAlign w:val="bottom"/>
            <w:vMerge w:val="restart"/>
          </w:tcPr>
          <w:p>
            <w:pPr>
              <w:jc w:val="right"/>
              <w:ind w:right="20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7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Other</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Home</w:t>
            </w:r>
          </w:p>
        </w:tc>
        <w:tc>
          <w:tcPr>
            <w:tcW w:w="60" w:type="dxa"/>
            <w:vAlign w:val="bottom"/>
          </w:tcPr>
          <w:p>
            <w:pPr>
              <w:spacing w:after="0"/>
              <w:rPr>
                <w:sz w:val="18"/>
                <w:szCs w:val="18"/>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4"/>
              </w:rPr>
              <w:t>Eliminations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720" w:type="dxa"/>
            <w:vAlign w:val="bottom"/>
          </w:tcPr>
          <w:p>
            <w:pPr>
              <w:ind w:left="340"/>
              <w:spacing w:after="0"/>
              <w:rPr>
                <w:sz w:val="20"/>
                <w:szCs w:val="20"/>
                <w:color w:val="auto"/>
              </w:rPr>
            </w:pPr>
            <w:r>
              <w:rPr>
                <w:rFonts w:ascii="Arial" w:cs="Arial" w:eastAsia="Arial" w:hAnsi="Arial"/>
                <w:sz w:val="20"/>
                <w:szCs w:val="20"/>
                <w:color w:val="auto"/>
                <w:w w:val="89"/>
              </w:rPr>
              <w:t xml:space="preserve">Retail revenue </w:t>
            </w:r>
            <w:r>
              <w:rPr>
                <w:rFonts w:ascii="Arial" w:cs="Arial" w:eastAsia="Arial" w:hAnsi="Arial"/>
                <w:sz w:val="20"/>
                <w:szCs w:val="20"/>
                <w:color w:val="B4B4B4"/>
                <w:w w:val="89"/>
              </w:rPr>
              <w:t>. . . . . . . . . . . . . . . . .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gridSpan w:val="3"/>
          </w:tcPr>
          <w:p>
            <w:pPr>
              <w:ind w:left="480"/>
              <w:spacing w:after="0"/>
              <w:rPr>
                <w:sz w:val="20"/>
                <w:szCs w:val="20"/>
                <w:color w:val="auto"/>
              </w:rPr>
            </w:pPr>
            <w:r>
              <w:rPr>
                <w:rFonts w:ascii="Arial" w:cs="Arial" w:eastAsia="Arial" w:hAnsi="Arial"/>
                <w:sz w:val="20"/>
                <w:szCs w:val="20"/>
                <w:color w:val="auto"/>
              </w:rPr>
              <w:t>—  $</w:t>
            </w:r>
          </w:p>
        </w:tc>
        <w:tc>
          <w:tcPr>
            <w:tcW w:w="740" w:type="dxa"/>
            <w:vAlign w:val="bottom"/>
          </w:tcPr>
          <w:p>
            <w:pPr>
              <w:jc w:val="right"/>
              <w:spacing w:after="0"/>
              <w:rPr>
                <w:sz w:val="20"/>
                <w:szCs w:val="20"/>
                <w:color w:val="auto"/>
              </w:rPr>
            </w:pPr>
            <w:r>
              <w:rPr>
                <w:rFonts w:ascii="Arial" w:cs="Arial" w:eastAsia="Arial" w:hAnsi="Arial"/>
                <w:sz w:val="20"/>
                <w:szCs w:val="20"/>
                <w:color w:val="auto"/>
              </w:rPr>
              <w:t>36</w:t>
            </w:r>
          </w:p>
        </w:tc>
        <w:tc>
          <w:tcPr>
            <w:tcW w:w="3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780" w:type="dxa"/>
            <w:vAlign w:val="bottom"/>
          </w:tcPr>
          <w:p>
            <w:pPr>
              <w:ind w:left="500"/>
              <w:spacing w:after="0"/>
              <w:rPr>
                <w:sz w:val="20"/>
                <w:szCs w:val="20"/>
                <w:color w:val="auto"/>
              </w:rPr>
            </w:pPr>
            <w:r>
              <w:rPr>
                <w:rFonts w:ascii="Arial" w:cs="Arial" w:eastAsia="Arial" w:hAnsi="Arial"/>
                <w:sz w:val="20"/>
                <w:szCs w:val="20"/>
                <w:color w:val="auto"/>
              </w:rPr>
              <w:t>—</w:t>
            </w:r>
          </w:p>
        </w:tc>
        <w:tc>
          <w:tcPr>
            <w:tcW w:w="46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00" w:type="dxa"/>
            <w:vAlign w:val="bottom"/>
            <w:gridSpan w:val="3"/>
          </w:tcPr>
          <w:p>
            <w:pPr>
              <w:ind w:left="320"/>
              <w:spacing w:after="0"/>
              <w:rPr>
                <w:sz w:val="20"/>
                <w:szCs w:val="20"/>
                <w:color w:val="auto"/>
              </w:rPr>
            </w:pPr>
            <w:r>
              <w:rPr>
                <w:rFonts w:ascii="Arial" w:cs="Arial" w:eastAsia="Arial" w:hAnsi="Arial"/>
                <w:sz w:val="20"/>
                <w:szCs w:val="20"/>
                <w:color w:val="auto"/>
              </w:rPr>
              <w:t>—  $</w:t>
            </w:r>
          </w:p>
        </w:tc>
        <w:tc>
          <w:tcPr>
            <w:tcW w:w="740" w:type="dxa"/>
            <w:vAlign w:val="bottom"/>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97"/>
        </w:trPr>
        <w:tc>
          <w:tcPr>
            <w:tcW w:w="3720" w:type="dxa"/>
            <w:vAlign w:val="bottom"/>
          </w:tcPr>
          <w:p>
            <w:pPr>
              <w:ind w:left="340"/>
              <w:spacing w:after="0"/>
              <w:rPr>
                <w:sz w:val="20"/>
                <w:szCs w:val="20"/>
                <w:color w:val="auto"/>
              </w:rPr>
            </w:pPr>
            <w:r>
              <w:rPr>
                <w:rFonts w:ascii="Arial" w:cs="Arial" w:eastAsia="Arial" w:hAnsi="Arial"/>
                <w:sz w:val="20"/>
                <w:szCs w:val="20"/>
                <w:color w:val="auto"/>
                <w:w w:val="89"/>
              </w:rPr>
              <w:t xml:space="preserve">Energy revenue </w:t>
            </w:r>
            <w:r>
              <w:rPr>
                <w:rFonts w:ascii="Arial" w:cs="Arial" w:eastAsia="Arial" w:hAnsi="Arial"/>
                <w:sz w:val="20"/>
                <w:szCs w:val="20"/>
                <w:color w:val="B4B4B4"/>
                <w:w w:val="89"/>
              </w:rPr>
              <w:t>. . . . . . . . . . . . . . . . . . . . .</w:t>
            </w:r>
          </w:p>
        </w:tc>
        <w:tc>
          <w:tcPr>
            <w:tcW w:w="220" w:type="dxa"/>
            <w:vAlign w:val="bottom"/>
          </w:tcPr>
          <w:p>
            <w:pPr>
              <w:spacing w:after="0"/>
              <w:rPr>
                <w:sz w:val="24"/>
                <w:szCs w:val="24"/>
                <w:color w:val="auto"/>
              </w:rPr>
            </w:pPr>
          </w:p>
        </w:tc>
        <w:tc>
          <w:tcPr>
            <w:tcW w:w="1060" w:type="dxa"/>
            <w:vAlign w:val="bottom"/>
            <w:gridSpan w:val="3"/>
          </w:tcPr>
          <w:p>
            <w:pPr>
              <w:ind w:left="48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79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ind w:left="5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130</w:t>
            </w:r>
          </w:p>
        </w:tc>
        <w:tc>
          <w:tcPr>
            <w:tcW w:w="0" w:type="dxa"/>
            <w:vAlign w:val="bottom"/>
          </w:tcPr>
          <w:p>
            <w:pPr>
              <w:spacing w:after="0"/>
              <w:rPr>
                <w:sz w:val="1"/>
                <w:szCs w:val="1"/>
                <w:color w:val="auto"/>
              </w:rPr>
            </w:pPr>
          </w:p>
        </w:tc>
      </w:tr>
      <w:tr>
        <w:trPr>
          <w:trHeight w:val="297"/>
        </w:trPr>
        <w:tc>
          <w:tcPr>
            <w:tcW w:w="3720" w:type="dxa"/>
            <w:vAlign w:val="bottom"/>
          </w:tcPr>
          <w:p>
            <w:pPr>
              <w:ind w:left="340"/>
              <w:spacing w:after="0"/>
              <w:rPr>
                <w:sz w:val="20"/>
                <w:szCs w:val="20"/>
                <w:color w:val="auto"/>
              </w:rPr>
            </w:pPr>
            <w:r>
              <w:rPr>
                <w:rFonts w:ascii="Arial" w:cs="Arial" w:eastAsia="Arial" w:hAnsi="Arial"/>
                <w:sz w:val="20"/>
                <w:szCs w:val="20"/>
                <w:color w:val="auto"/>
                <w:w w:val="91"/>
              </w:rPr>
              <w:t xml:space="preserve">Capacity revenue </w:t>
            </w:r>
            <w:r>
              <w:rPr>
                <w:rFonts w:ascii="Arial" w:cs="Arial" w:eastAsia="Arial" w:hAnsi="Arial"/>
                <w:sz w:val="20"/>
                <w:szCs w:val="20"/>
                <w:color w:val="B4B4B4"/>
                <w:w w:val="91"/>
              </w:rPr>
              <w:t>. . . . . . . . . . . . . . . . . . .</w:t>
            </w:r>
          </w:p>
        </w:tc>
        <w:tc>
          <w:tcPr>
            <w:tcW w:w="220" w:type="dxa"/>
            <w:vAlign w:val="bottom"/>
          </w:tcPr>
          <w:p>
            <w:pPr>
              <w:spacing w:after="0"/>
              <w:rPr>
                <w:sz w:val="24"/>
                <w:szCs w:val="24"/>
                <w:color w:val="auto"/>
              </w:rPr>
            </w:pPr>
          </w:p>
        </w:tc>
        <w:tc>
          <w:tcPr>
            <w:tcW w:w="1060" w:type="dxa"/>
            <w:vAlign w:val="bottom"/>
            <w:gridSpan w:val="3"/>
          </w:tcPr>
          <w:p>
            <w:pPr>
              <w:ind w:left="48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76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ind w:left="5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76</w:t>
            </w:r>
          </w:p>
        </w:tc>
        <w:tc>
          <w:tcPr>
            <w:tcW w:w="0" w:type="dxa"/>
            <w:vAlign w:val="bottom"/>
          </w:tcPr>
          <w:p>
            <w:pPr>
              <w:spacing w:after="0"/>
              <w:rPr>
                <w:sz w:val="1"/>
                <w:szCs w:val="1"/>
                <w:color w:val="auto"/>
              </w:rPr>
            </w:pPr>
          </w:p>
        </w:tc>
      </w:tr>
      <w:tr>
        <w:trPr>
          <w:trHeight w:val="297"/>
        </w:trPr>
        <w:tc>
          <w:tcPr>
            <w:tcW w:w="3720" w:type="dxa"/>
            <w:vAlign w:val="bottom"/>
          </w:tcPr>
          <w:p>
            <w:pPr>
              <w:ind w:left="340"/>
              <w:spacing w:after="0"/>
              <w:rPr>
                <w:sz w:val="20"/>
                <w:szCs w:val="20"/>
                <w:color w:val="auto"/>
              </w:rPr>
            </w:pPr>
            <w:r>
              <w:rPr>
                <w:rFonts w:ascii="Arial" w:cs="Arial" w:eastAsia="Arial" w:hAnsi="Arial"/>
                <w:sz w:val="20"/>
                <w:szCs w:val="20"/>
                <w:color w:val="auto"/>
                <w:w w:val="90"/>
              </w:rPr>
              <w:t xml:space="preserve">Other revenue </w:t>
            </w:r>
            <w:r>
              <w:rPr>
                <w:rFonts w:ascii="Arial" w:cs="Arial" w:eastAsia="Arial" w:hAnsi="Arial"/>
                <w:sz w:val="20"/>
                <w:szCs w:val="20"/>
                <w:color w:val="B4B4B4"/>
                <w:w w:val="90"/>
              </w:rPr>
              <w:t>. . . . . . . . . . . . . . . . . . . . . .</w:t>
            </w:r>
          </w:p>
        </w:tc>
        <w:tc>
          <w:tcPr>
            <w:tcW w:w="220" w:type="dxa"/>
            <w:vAlign w:val="bottom"/>
          </w:tcPr>
          <w:p>
            <w:pPr>
              <w:spacing w:after="0"/>
              <w:rPr>
                <w:sz w:val="24"/>
                <w:szCs w:val="24"/>
                <w:color w:val="auto"/>
              </w:rPr>
            </w:pPr>
          </w:p>
        </w:tc>
        <w:tc>
          <w:tcPr>
            <w:tcW w:w="760" w:type="dxa"/>
            <w:vAlign w:val="bottom"/>
          </w:tcPr>
          <w:p>
            <w:pPr>
              <w:ind w:left="480"/>
              <w:spacing w:after="0"/>
              <w:rPr>
                <w:sz w:val="20"/>
                <w:szCs w:val="20"/>
                <w:color w:val="auto"/>
              </w:rPr>
            </w:pPr>
            <w:r>
              <w:rPr>
                <w:rFonts w:ascii="Arial" w:cs="Arial" w:eastAsia="Arial" w:hAnsi="Arial"/>
                <w:sz w:val="20"/>
                <w:szCs w:val="20"/>
                <w:color w:val="auto"/>
              </w:rPr>
              <w:t>30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ind w:left="5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-758825</wp:posOffset>
            </wp:positionV>
            <wp:extent cx="6475095" cy="7797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3">
                      <a:extLst>
                        <a:ext uri="{28A0092B-C50C-407E-A947-70E740481C1C}"/>
                      </a:extLst>
                    </a:blip>
                    <a:srcRect/>
                    <a:stretch>
                      <a:fillRect/>
                    </a:stretch>
                  </pic:blipFill>
                  <pic:spPr bwMode="auto">
                    <a:xfrm>
                      <a:off x="0" y="0"/>
                      <a:ext cx="6475095" cy="779780"/>
                    </a:xfrm>
                    <a:prstGeom prst="rect">
                      <a:avLst/>
                    </a:prstGeom>
                    <a:noFill/>
                  </pic:spPr>
                </pic:pic>
              </a:graphicData>
            </a:graphic>
          </wp:anchor>
        </w:drawing>
      </w:r>
    </w:p>
    <w:p>
      <w:pPr>
        <w:spacing w:after="0" w:line="35" w:lineRule="exact"/>
        <w:rPr>
          <w:sz w:val="20"/>
          <w:szCs w:val="20"/>
          <w:color w:val="auto"/>
        </w:rPr>
      </w:pPr>
    </w:p>
    <w:p>
      <w:pPr>
        <w:ind w:left="60"/>
        <w:spacing w:after="0"/>
        <w:rPr>
          <w:sz w:val="20"/>
          <w:szCs w:val="20"/>
          <w:color w:val="auto"/>
        </w:rPr>
      </w:pPr>
      <w:r>
        <w:rPr>
          <w:rFonts w:ascii="Arial" w:cs="Arial" w:eastAsia="Arial" w:hAnsi="Arial"/>
          <w:sz w:val="15"/>
          <w:szCs w:val="15"/>
          <w:color w:val="auto"/>
        </w:rPr>
        <w:t>(b) Revenue relates entirely to unrealized gains and losses on derivative instruments accounted for under ASC 815</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ectPr>
          <w:pgSz w:w="11880" w:h="15480" w:orient="portrait"/>
          <w:cols w:equalWidth="0" w:num="1">
            <w:col w:w="10160"/>
          </w:cols>
          <w:pgMar w:left="860" w:top="505" w:right="860" w:bottom="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41"/>
        </w:trPr>
        <w:tc>
          <w:tcPr>
            <w:tcW w:w="3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9"/>
          </w:tcPr>
          <w:p>
            <w:pPr>
              <w:ind w:left="400"/>
              <w:spacing w:after="0"/>
              <w:rPr>
                <w:sz w:val="20"/>
                <w:szCs w:val="20"/>
                <w:color w:val="auto"/>
              </w:rPr>
            </w:pPr>
            <w:r>
              <w:rPr>
                <w:rFonts w:ascii="Arial" w:cs="Arial" w:eastAsia="Arial" w:hAnsi="Arial"/>
                <w:sz w:val="18"/>
                <w:szCs w:val="18"/>
                <w:b w:val="1"/>
                <w:bCs w:val="1"/>
                <w:color w:val="auto"/>
                <w:w w:val="93"/>
              </w:rPr>
              <w:t>For the Year Ended December 31, 2023</w:t>
            </w:r>
          </w:p>
        </w:tc>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740" w:type="dxa"/>
            <w:vAlign w:val="bottom"/>
            <w:vMerge w:val="restart"/>
          </w:tcPr>
          <w:p>
            <w:pPr>
              <w:jc w:val="right"/>
              <w:ind w:right="2802"/>
              <w:spacing w:after="0"/>
              <w:rPr>
                <w:sz w:val="20"/>
                <w:szCs w:val="20"/>
                <w:color w:val="auto"/>
              </w:rPr>
            </w:pPr>
            <w:r>
              <w:rPr>
                <w:rFonts w:ascii="Arial" w:cs="Arial" w:eastAsia="Arial" w:hAnsi="Arial"/>
                <w:sz w:val="16"/>
                <w:szCs w:val="16"/>
                <w:b w:val="1"/>
                <w:bCs w:val="1"/>
                <w:color w:val="auto"/>
                <w:w w:val="91"/>
              </w:rPr>
              <w:t>(In millions)</w:t>
            </w:r>
          </w:p>
        </w:tc>
        <w:tc>
          <w:tcPr>
            <w:tcW w:w="220" w:type="dxa"/>
            <w:vAlign w:val="bottom"/>
          </w:tcPr>
          <w:p>
            <w:pPr>
              <w:spacing w:after="0"/>
              <w:rPr>
                <w:sz w:val="15"/>
                <w:szCs w:val="15"/>
                <w:color w:val="auto"/>
              </w:rPr>
            </w:pPr>
          </w:p>
        </w:tc>
        <w:tc>
          <w:tcPr>
            <w:tcW w:w="740" w:type="dxa"/>
            <w:vAlign w:val="bottom"/>
            <w:vMerge w:val="restart"/>
          </w:tcPr>
          <w:p>
            <w:pPr>
              <w:jc w:val="right"/>
              <w:ind w:right="183"/>
              <w:spacing w:after="0"/>
              <w:rPr>
                <w:sz w:val="20"/>
                <w:szCs w:val="20"/>
                <w:color w:val="auto"/>
              </w:rPr>
            </w:pPr>
            <w:r>
              <w:rPr>
                <w:rFonts w:ascii="Arial" w:cs="Arial" w:eastAsia="Arial" w:hAnsi="Arial"/>
                <w:sz w:val="16"/>
                <w:szCs w:val="16"/>
                <w:b w:val="1"/>
                <w:bCs w:val="1"/>
                <w:color w:val="auto"/>
                <w:w w:val="96"/>
              </w:rPr>
              <w:t>Texas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jc w:val="right"/>
              <w:ind w:right="243"/>
              <w:spacing w:after="0"/>
              <w:rPr>
                <w:sz w:val="20"/>
                <w:szCs w:val="20"/>
                <w:color w:val="auto"/>
              </w:rPr>
            </w:pPr>
            <w:r>
              <w:rPr>
                <w:rFonts w:ascii="Arial" w:cs="Arial" w:eastAsia="Arial" w:hAnsi="Arial"/>
                <w:sz w:val="16"/>
                <w:szCs w:val="16"/>
                <w:b w:val="1"/>
                <w:bCs w:val="1"/>
                <w:color w:val="auto"/>
              </w:rPr>
              <w:t>East</w:t>
            </w:r>
          </w:p>
        </w:tc>
        <w:tc>
          <w:tcPr>
            <w:tcW w:w="8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w w:val="90"/>
              </w:rPr>
              <w:t>West/Services/</w:t>
            </w:r>
          </w:p>
        </w:tc>
        <w:tc>
          <w:tcPr>
            <w:tcW w:w="8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w w:val="98"/>
              </w:rPr>
              <w:t>Vivint Smart</w:t>
            </w:r>
          </w:p>
        </w:tc>
        <w:tc>
          <w:tcPr>
            <w:tcW w:w="80" w:type="dxa"/>
            <w:vAlign w:val="bottom"/>
          </w:tcPr>
          <w:p>
            <w:pPr>
              <w:spacing w:after="0"/>
              <w:rPr>
                <w:sz w:val="15"/>
                <w:szCs w:val="15"/>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Corporate/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ind w:right="22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74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b w:val="1"/>
                <w:bCs w:val="1"/>
                <w:color w:val="auto"/>
              </w:rPr>
              <w:t>Other</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3"/>
              <w:spacing w:after="0" w:line="212" w:lineRule="exact"/>
              <w:rPr>
                <w:sz w:val="20"/>
                <w:szCs w:val="20"/>
                <w:color w:val="auto"/>
              </w:rPr>
            </w:pPr>
            <w:r>
              <w:rPr>
                <w:rFonts w:ascii="Arial" w:cs="Arial" w:eastAsia="Arial" w:hAnsi="Arial"/>
                <w:sz w:val="16"/>
                <w:szCs w:val="16"/>
                <w:b w:val="1"/>
                <w:bCs w:val="1"/>
                <w:color w:val="auto"/>
                <w:w w:val="88"/>
              </w:rPr>
              <w:t>Home</w:t>
            </w:r>
            <w:r>
              <w:rPr>
                <w:rFonts w:ascii="Arial" w:cs="Arial" w:eastAsia="Arial" w:hAnsi="Arial"/>
                <w:sz w:val="20"/>
                <w:szCs w:val="20"/>
                <w:b w:val="1"/>
                <w:bCs w:val="1"/>
                <w:color w:val="auto"/>
                <w:w w:val="88"/>
                <w:vertAlign w:val="superscript"/>
              </w:rPr>
              <w:t>(a)</w:t>
            </w:r>
          </w:p>
        </w:tc>
        <w:tc>
          <w:tcPr>
            <w:tcW w:w="80" w:type="dxa"/>
            <w:vAlign w:val="bottom"/>
          </w:tcPr>
          <w:p>
            <w:pPr>
              <w:spacing w:after="0"/>
              <w:rPr>
                <w:sz w:val="18"/>
                <w:szCs w:val="18"/>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4"/>
              </w:rPr>
              <w:t>Eliminations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740" w:type="dxa"/>
            <w:vAlign w:val="bottom"/>
          </w:tcPr>
          <w:p>
            <w:pPr>
              <w:ind w:left="140"/>
              <w:spacing w:after="0"/>
              <w:rPr>
                <w:sz w:val="20"/>
                <w:szCs w:val="20"/>
                <w:color w:val="auto"/>
              </w:rPr>
            </w:pPr>
            <w:r>
              <w:rPr>
                <w:rFonts w:ascii="Arial" w:cs="Arial" w:eastAsia="Arial" w:hAnsi="Arial"/>
                <w:sz w:val="20"/>
                <w:szCs w:val="20"/>
                <w:color w:val="auto"/>
              </w:rPr>
              <w:t>Retail revenue:</w:t>
            </w: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740" w:type="dxa"/>
            <w:vAlign w:val="bottom"/>
          </w:tcPr>
          <w:p>
            <w:pPr>
              <w:jc w:val="right"/>
              <w:spacing w:after="0"/>
              <w:rPr>
                <w:sz w:val="20"/>
                <w:szCs w:val="20"/>
                <w:color w:val="auto"/>
              </w:rPr>
            </w:pPr>
            <w:r>
              <w:rPr>
                <w:rFonts w:ascii="Arial" w:cs="Arial" w:eastAsia="Arial" w:hAnsi="Arial"/>
                <w:sz w:val="20"/>
                <w:szCs w:val="20"/>
                <w:color w:val="auto"/>
              </w:rPr>
              <w:t xml:space="preserve">Home </w:t>
            </w:r>
            <w:r>
              <w:rPr>
                <w:rFonts w:ascii="Arial" w:cs="Arial" w:eastAsia="Arial" w:hAnsi="Arial"/>
                <w:sz w:val="20"/>
                <w:szCs w:val="20"/>
                <w:color w:val="B4B4B4"/>
              </w:rPr>
              <w:t>. . . . . . . . . . . . . . . . . . . . . . .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6,538</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2,195</w:t>
            </w:r>
          </w:p>
        </w:tc>
        <w:tc>
          <w:tcPr>
            <w:tcW w:w="3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1,890</w:t>
            </w:r>
          </w:p>
        </w:tc>
        <w:tc>
          <w:tcPr>
            <w:tcW w:w="28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1,549</w:t>
            </w:r>
          </w:p>
        </w:tc>
        <w:tc>
          <w:tcPr>
            <w:tcW w:w="56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500" w:type="dxa"/>
            <w:vAlign w:val="bottom"/>
          </w:tcPr>
          <w:p>
            <w:pPr>
              <w:jc w:val="right"/>
              <w:spacing w:after="0"/>
              <w:rPr>
                <w:sz w:val="20"/>
                <w:szCs w:val="20"/>
                <w:color w:val="auto"/>
              </w:rPr>
            </w:pPr>
            <w:r>
              <w:rPr>
                <w:rFonts w:ascii="Arial" w:cs="Arial" w:eastAsia="Arial" w:hAnsi="Arial"/>
                <w:sz w:val="20"/>
                <w:szCs w:val="20"/>
                <w:color w:val="auto"/>
              </w:rPr>
              <w:t>(1)</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12,171</w:t>
            </w:r>
          </w:p>
        </w:tc>
        <w:tc>
          <w:tcPr>
            <w:tcW w:w="0" w:type="dxa"/>
            <w:vAlign w:val="bottom"/>
          </w:tcPr>
          <w:p>
            <w:pPr>
              <w:spacing w:after="0"/>
              <w:rPr>
                <w:sz w:val="1"/>
                <w:szCs w:val="1"/>
                <w:color w:val="auto"/>
              </w:rPr>
            </w:pPr>
          </w:p>
        </w:tc>
      </w:tr>
      <w:tr>
        <w:trPr>
          <w:trHeight w:val="299"/>
        </w:trPr>
        <w:tc>
          <w:tcPr>
            <w:tcW w:w="3740" w:type="dxa"/>
            <w:vAlign w:val="bottom"/>
          </w:tcPr>
          <w:p>
            <w:pPr>
              <w:jc w:val="right"/>
              <w:spacing w:after="0"/>
              <w:rPr>
                <w:sz w:val="20"/>
                <w:szCs w:val="20"/>
                <w:color w:val="auto"/>
              </w:rPr>
            </w:pPr>
            <w:r>
              <w:rPr>
                <w:rFonts w:ascii="Arial" w:cs="Arial" w:eastAsia="Arial" w:hAnsi="Arial"/>
                <w:sz w:val="20"/>
                <w:szCs w:val="20"/>
                <w:color w:val="auto"/>
                <w:w w:val="98"/>
              </w:rPr>
              <w:t xml:space="preserve">Business </w:t>
            </w:r>
            <w:r>
              <w:rPr>
                <w:rFonts w:ascii="Arial" w:cs="Arial" w:eastAsia="Arial" w:hAnsi="Arial"/>
                <w:sz w:val="20"/>
                <w:szCs w:val="20"/>
                <w:color w:val="B4B4B4"/>
                <w:w w:val="98"/>
              </w:rPr>
              <w:t>. . . . . . . . . . . . . . . . . . . . . . . . . .</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3,492</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9,751</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2,053</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15,296</w:t>
            </w:r>
          </w:p>
        </w:tc>
        <w:tc>
          <w:tcPr>
            <w:tcW w:w="0" w:type="dxa"/>
            <w:vAlign w:val="bottom"/>
          </w:tcPr>
          <w:p>
            <w:pPr>
              <w:spacing w:after="0"/>
              <w:rPr>
                <w:sz w:val="1"/>
                <w:szCs w:val="1"/>
                <w:color w:val="auto"/>
              </w:rPr>
            </w:pPr>
          </w:p>
        </w:tc>
      </w:tr>
      <w:tr>
        <w:trPr>
          <w:trHeight w:val="295"/>
        </w:trPr>
        <w:tc>
          <w:tcPr>
            <w:tcW w:w="3740" w:type="dxa"/>
            <w:vAlign w:val="bottom"/>
          </w:tcPr>
          <w:p>
            <w:pPr>
              <w:jc w:val="right"/>
              <w:spacing w:after="0"/>
              <w:rPr>
                <w:sz w:val="20"/>
                <w:szCs w:val="20"/>
                <w:color w:val="auto"/>
              </w:rPr>
            </w:pPr>
            <w:r>
              <w:rPr>
                <w:rFonts w:ascii="Arial" w:cs="Arial" w:eastAsia="Arial" w:hAnsi="Arial"/>
                <w:sz w:val="20"/>
                <w:szCs w:val="20"/>
                <w:color w:val="B4B4B4"/>
              </w:rPr>
              <w:t>. . . . . . . . . . . . . .</w:t>
            </w:r>
            <w:r>
              <w:rPr>
                <w:rFonts w:ascii="Arial" w:cs="Arial" w:eastAsia="Arial" w:hAnsi="Arial"/>
                <w:sz w:val="20"/>
                <w:szCs w:val="20"/>
                <w:color w:val="000000"/>
              </w:rPr>
              <w:t>Totalretailrevenue</w:t>
            </w:r>
            <w:r>
              <w:rPr>
                <w:rFonts w:ascii="Arial" w:cs="Arial" w:eastAsia="Arial" w:hAnsi="Arial"/>
                <w:sz w:val="25"/>
                <w:szCs w:val="25"/>
                <w:color w:val="000000"/>
                <w:vertAlign w:val="superscript"/>
              </w:rPr>
              <w:t>(b)</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10,030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11,946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3,943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1,549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27,467</w:t>
            </w:r>
          </w:p>
        </w:tc>
        <w:tc>
          <w:tcPr>
            <w:tcW w:w="0" w:type="dxa"/>
            <w:vAlign w:val="bottom"/>
          </w:tcPr>
          <w:p>
            <w:pPr>
              <w:spacing w:after="0"/>
              <w:rPr>
                <w:sz w:val="1"/>
                <w:szCs w:val="1"/>
                <w:color w:val="auto"/>
              </w:rPr>
            </w:pPr>
          </w:p>
        </w:tc>
      </w:tr>
      <w:tr>
        <w:trPr>
          <w:trHeight w:val="297"/>
        </w:trPr>
        <w:tc>
          <w:tcPr>
            <w:tcW w:w="3740" w:type="dxa"/>
            <w:vAlign w:val="bottom"/>
          </w:tcPr>
          <w:p>
            <w:pPr>
              <w:jc w:val="right"/>
              <w:spacing w:after="0"/>
              <w:rPr>
                <w:sz w:val="20"/>
                <w:szCs w:val="20"/>
                <w:color w:val="auto"/>
              </w:rPr>
            </w:pPr>
            <w:r>
              <w:rPr>
                <w:rFonts w:ascii="Arial" w:cs="Arial" w:eastAsia="Arial" w:hAnsi="Arial"/>
                <w:sz w:val="20"/>
                <w:szCs w:val="20"/>
                <w:color w:val="auto"/>
                <w:w w:val="91"/>
              </w:rPr>
              <w:t>Energy revenue</w:t>
            </w:r>
            <w:r>
              <w:rPr>
                <w:rFonts w:ascii="Arial" w:cs="Arial" w:eastAsia="Arial" w:hAnsi="Arial"/>
                <w:sz w:val="25"/>
                <w:szCs w:val="25"/>
                <w:color w:val="auto"/>
                <w:w w:val="91"/>
                <w:vertAlign w:val="superscript"/>
              </w:rPr>
              <w:t>(b)</w:t>
            </w:r>
            <w:r>
              <w:rPr>
                <w:rFonts w:ascii="Arial" w:cs="Arial" w:eastAsia="Arial" w:hAnsi="Arial"/>
                <w:sz w:val="20"/>
                <w:szCs w:val="20"/>
                <w:color w:val="auto"/>
                <w:w w:val="91"/>
              </w:rPr>
              <w:t xml:space="preserve">  </w:t>
            </w:r>
            <w:r>
              <w:rPr>
                <w:rFonts w:ascii="Arial" w:cs="Arial" w:eastAsia="Arial" w:hAnsi="Arial"/>
                <w:sz w:val="20"/>
                <w:szCs w:val="20"/>
                <w:color w:val="B4B4B4"/>
                <w:w w:val="91"/>
              </w:rPr>
              <w:t>. . . . . . . . . . . . . . . . . . . . .</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77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291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185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553</w:t>
            </w:r>
          </w:p>
        </w:tc>
        <w:tc>
          <w:tcPr>
            <w:tcW w:w="0" w:type="dxa"/>
            <w:vAlign w:val="bottom"/>
          </w:tcPr>
          <w:p>
            <w:pPr>
              <w:spacing w:after="0"/>
              <w:rPr>
                <w:sz w:val="1"/>
                <w:szCs w:val="1"/>
                <w:color w:val="auto"/>
              </w:rPr>
            </w:pPr>
          </w:p>
        </w:tc>
      </w:tr>
      <w:tr>
        <w:trPr>
          <w:trHeight w:val="311"/>
        </w:trPr>
        <w:tc>
          <w:tcPr>
            <w:tcW w:w="3740" w:type="dxa"/>
            <w:vAlign w:val="bottom"/>
          </w:tcPr>
          <w:p>
            <w:pPr>
              <w:jc w:val="right"/>
              <w:spacing w:after="0"/>
              <w:rPr>
                <w:sz w:val="20"/>
                <w:szCs w:val="20"/>
                <w:color w:val="auto"/>
              </w:rPr>
            </w:pPr>
            <w:r>
              <w:rPr>
                <w:rFonts w:ascii="Arial" w:cs="Arial" w:eastAsia="Arial" w:hAnsi="Arial"/>
                <w:sz w:val="20"/>
                <w:szCs w:val="20"/>
                <w:color w:val="auto"/>
                <w:w w:val="90"/>
              </w:rPr>
              <w:t>Capacity revenue</w:t>
            </w:r>
            <w:r>
              <w:rPr>
                <w:rFonts w:ascii="Arial" w:cs="Arial" w:eastAsia="Arial" w:hAnsi="Arial"/>
                <w:sz w:val="25"/>
                <w:szCs w:val="25"/>
                <w:color w:val="auto"/>
                <w:w w:val="90"/>
                <w:vertAlign w:val="superscript"/>
              </w:rPr>
              <w:t>(b)</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197</w:t>
            </w:r>
          </w:p>
        </w:tc>
        <w:tc>
          <w:tcPr>
            <w:tcW w:w="0" w:type="dxa"/>
            <w:vAlign w:val="bottom"/>
          </w:tcPr>
          <w:p>
            <w:pPr>
              <w:spacing w:after="0"/>
              <w:rPr>
                <w:sz w:val="1"/>
                <w:szCs w:val="1"/>
                <w:color w:val="auto"/>
              </w:rPr>
            </w:pPr>
          </w:p>
        </w:tc>
      </w:tr>
      <w:tr>
        <w:trPr>
          <w:trHeight w:val="198"/>
        </w:trPr>
        <w:tc>
          <w:tcPr>
            <w:tcW w:w="3740" w:type="dxa"/>
            <w:vAlign w:val="bottom"/>
          </w:tcPr>
          <w:p>
            <w:pPr>
              <w:ind w:left="140"/>
              <w:spacing w:after="0" w:line="199" w:lineRule="exact"/>
              <w:rPr>
                <w:sz w:val="20"/>
                <w:szCs w:val="20"/>
                <w:color w:val="auto"/>
              </w:rPr>
            </w:pPr>
            <w:r>
              <w:rPr>
                <w:rFonts w:ascii="Arial" w:cs="Arial" w:eastAsia="Arial" w:hAnsi="Arial"/>
                <w:sz w:val="20"/>
                <w:szCs w:val="20"/>
                <w:color w:val="auto"/>
              </w:rPr>
              <w:t>Mark-to-market for economic hedging</w:t>
            </w: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57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103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20"/>
                <w:szCs w:val="20"/>
                <w:color w:val="auto"/>
              </w:rPr>
              <w:t>(16)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144</w:t>
            </w:r>
          </w:p>
        </w:tc>
        <w:tc>
          <w:tcPr>
            <w:tcW w:w="0" w:type="dxa"/>
            <w:vAlign w:val="bottom"/>
          </w:tcPr>
          <w:p>
            <w:pPr>
              <w:spacing w:after="0"/>
              <w:rPr>
                <w:sz w:val="1"/>
                <w:szCs w:val="1"/>
                <w:color w:val="auto"/>
              </w:rPr>
            </w:pPr>
          </w:p>
        </w:tc>
      </w:tr>
      <w:tr>
        <w:trPr>
          <w:trHeight w:val="297"/>
        </w:trPr>
        <w:tc>
          <w:tcPr>
            <w:tcW w:w="3740" w:type="dxa"/>
            <w:vAlign w:val="bottom"/>
          </w:tcPr>
          <w:p>
            <w:pPr>
              <w:jc w:val="right"/>
              <w:spacing w:after="0"/>
              <w:rPr>
                <w:sz w:val="20"/>
                <w:szCs w:val="20"/>
                <w:color w:val="auto"/>
              </w:rPr>
            </w:pPr>
            <w:r>
              <w:rPr>
                <w:rFonts w:ascii="Arial" w:cs="Arial" w:eastAsia="Arial" w:hAnsi="Arial"/>
                <w:sz w:val="20"/>
                <w:szCs w:val="20"/>
                <w:color w:val="auto"/>
                <w:w w:val="92"/>
              </w:rPr>
              <w:t>activities</w:t>
            </w:r>
            <w:r>
              <w:rPr>
                <w:rFonts w:ascii="Arial" w:cs="Arial" w:eastAsia="Arial" w:hAnsi="Arial"/>
                <w:sz w:val="25"/>
                <w:szCs w:val="25"/>
                <w:color w:val="auto"/>
                <w:w w:val="92"/>
                <w:vertAlign w:val="superscript"/>
              </w:rPr>
              <w:t>(c)</w:t>
            </w:r>
            <w:r>
              <w:rPr>
                <w:rFonts w:ascii="Arial" w:cs="Arial" w:eastAsia="Arial" w:hAnsi="Arial"/>
                <w:sz w:val="20"/>
                <w:szCs w:val="20"/>
                <w:color w:val="auto"/>
                <w:w w:val="92"/>
              </w:rPr>
              <w:t xml:space="preserve"> </w:t>
            </w:r>
            <w:r>
              <w:rPr>
                <w:rFonts w:ascii="Arial" w:cs="Arial" w:eastAsia="Arial" w:hAnsi="Arial"/>
                <w:sz w:val="20"/>
                <w:szCs w:val="20"/>
                <w:color w:val="B4B4B4"/>
                <w:w w:val="92"/>
              </w:rPr>
              <w:t>. . . . . . . . . . . . . . . . . . . . . . . . . . .</w:t>
            </w:r>
          </w:p>
        </w:tc>
        <w:tc>
          <w:tcPr>
            <w:tcW w:w="22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740" w:type="dxa"/>
            <w:vAlign w:val="bottom"/>
          </w:tcPr>
          <w:p>
            <w:pPr>
              <w:jc w:val="right"/>
              <w:spacing w:after="0"/>
              <w:rPr>
                <w:sz w:val="20"/>
                <w:szCs w:val="20"/>
                <w:color w:val="auto"/>
              </w:rPr>
            </w:pPr>
            <w:r>
              <w:rPr>
                <w:rFonts w:ascii="Arial" w:cs="Arial" w:eastAsia="Arial" w:hAnsi="Arial"/>
                <w:sz w:val="20"/>
                <w:szCs w:val="20"/>
                <w:color w:val="auto"/>
                <w:w w:val="93"/>
              </w:rPr>
              <w:t xml:space="preserve">Contract amortization </w:t>
            </w:r>
            <w:r>
              <w:rPr>
                <w:rFonts w:ascii="Arial" w:cs="Arial" w:eastAsia="Arial" w:hAnsi="Arial"/>
                <w:sz w:val="20"/>
                <w:szCs w:val="20"/>
                <w:color w:val="B4B4B4"/>
                <w:w w:val="93"/>
              </w:rPr>
              <w:t>. . . . . . . . . . . . . . . . . .</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99"/>
        </w:trPr>
        <w:tc>
          <w:tcPr>
            <w:tcW w:w="3740" w:type="dxa"/>
            <w:vAlign w:val="bottom"/>
          </w:tcPr>
          <w:p>
            <w:pPr>
              <w:jc w:val="right"/>
              <w:spacing w:after="0"/>
              <w:rPr>
                <w:sz w:val="20"/>
                <w:szCs w:val="20"/>
                <w:color w:val="auto"/>
              </w:rPr>
            </w:pPr>
            <w:r>
              <w:rPr>
                <w:rFonts w:ascii="Arial" w:cs="Arial" w:eastAsia="Arial" w:hAnsi="Arial"/>
                <w:sz w:val="20"/>
                <w:szCs w:val="20"/>
                <w:color w:val="auto"/>
                <w:w w:val="91"/>
              </w:rPr>
              <w:t>Other revenue</w:t>
            </w:r>
            <w:r>
              <w:rPr>
                <w:rFonts w:ascii="Arial" w:cs="Arial" w:eastAsia="Arial" w:hAnsi="Arial"/>
                <w:sz w:val="25"/>
                <w:szCs w:val="25"/>
                <w:color w:val="auto"/>
                <w:w w:val="91"/>
                <w:vertAlign w:val="superscript"/>
              </w:rPr>
              <w:t>(b)</w:t>
            </w:r>
            <w:r>
              <w:rPr>
                <w:rFonts w:ascii="Arial" w:cs="Arial" w:eastAsia="Arial" w:hAnsi="Arial"/>
                <w:sz w:val="20"/>
                <w:szCs w:val="20"/>
                <w:color w:val="auto"/>
                <w:w w:val="91"/>
              </w:rPr>
              <w:t xml:space="preserve">  </w:t>
            </w:r>
            <w:r>
              <w:rPr>
                <w:rFonts w:ascii="Arial" w:cs="Arial" w:eastAsia="Arial" w:hAnsi="Arial"/>
                <w:sz w:val="20"/>
                <w:szCs w:val="20"/>
                <w:color w:val="B4B4B4"/>
                <w:w w:val="91"/>
              </w:rPr>
              <w:t>. . . . . . . . . . . . . . . . . . . . . .</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369</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494</w:t>
            </w:r>
          </w:p>
        </w:tc>
        <w:tc>
          <w:tcPr>
            <w:tcW w:w="0" w:type="dxa"/>
            <w:vAlign w:val="bottom"/>
          </w:tcPr>
          <w:p>
            <w:pPr>
              <w:spacing w:after="0"/>
              <w:rPr>
                <w:sz w:val="1"/>
                <w:szCs w:val="1"/>
                <w:color w:val="auto"/>
              </w:rPr>
            </w:pPr>
          </w:p>
        </w:tc>
      </w:tr>
      <w:tr>
        <w:trPr>
          <w:trHeight w:val="277"/>
        </w:trPr>
        <w:tc>
          <w:tcPr>
            <w:tcW w:w="3740" w:type="dxa"/>
            <w:vAlign w:val="bottom"/>
          </w:tcPr>
          <w:p>
            <w:pPr>
              <w:jc w:val="right"/>
              <w:spacing w:after="0"/>
              <w:rPr>
                <w:sz w:val="20"/>
                <w:szCs w:val="20"/>
                <w:color w:val="auto"/>
              </w:rPr>
            </w:pPr>
            <w:r>
              <w:rPr>
                <w:rFonts w:ascii="Arial" w:cs="Arial" w:eastAsia="Arial" w:hAnsi="Arial"/>
                <w:sz w:val="20"/>
                <w:szCs w:val="20"/>
                <w:color w:val="auto"/>
                <w:w w:val="94"/>
              </w:rPr>
              <w:t xml:space="preserve">Total revenue </w:t>
            </w:r>
            <w:r>
              <w:rPr>
                <w:rFonts w:ascii="Arial" w:cs="Arial" w:eastAsia="Arial" w:hAnsi="Arial"/>
                <w:sz w:val="20"/>
                <w:szCs w:val="20"/>
                <w:color w:val="B4B4B4"/>
                <w:w w:val="94"/>
              </w:rPr>
              <w:t>. . . . . . . . . . . . . . . . . . . . . . . .</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10,476</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12,547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4,281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1,549</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28,823</w:t>
            </w:r>
          </w:p>
        </w:tc>
        <w:tc>
          <w:tcPr>
            <w:tcW w:w="0" w:type="dxa"/>
            <w:vAlign w:val="bottom"/>
          </w:tcPr>
          <w:p>
            <w:pPr>
              <w:spacing w:after="0"/>
              <w:rPr>
                <w:sz w:val="1"/>
                <w:szCs w:val="1"/>
                <w:color w:val="auto"/>
              </w:rPr>
            </w:pPr>
          </w:p>
        </w:tc>
      </w:tr>
      <w:tr>
        <w:trPr>
          <w:trHeight w:val="210"/>
        </w:trPr>
        <w:tc>
          <w:tcPr>
            <w:tcW w:w="3740" w:type="dxa"/>
            <w:vAlign w:val="bottom"/>
          </w:tcPr>
          <w:p>
            <w:pPr>
              <w:ind w:left="140"/>
              <w:spacing w:after="0" w:line="209" w:lineRule="exact"/>
              <w:rPr>
                <w:sz w:val="20"/>
                <w:szCs w:val="20"/>
                <w:color w:val="auto"/>
              </w:rPr>
            </w:pPr>
            <w:r>
              <w:rPr>
                <w:rFonts w:ascii="Arial" w:cs="Arial" w:eastAsia="Arial" w:hAnsi="Arial"/>
                <w:sz w:val="20"/>
                <w:szCs w:val="20"/>
                <w:color w:val="auto"/>
                <w:w w:val="93"/>
              </w:rPr>
              <w:t>Less: Revenues accounted for under topics</w:t>
            </w:r>
          </w:p>
        </w:tc>
        <w:tc>
          <w:tcPr>
            <w:tcW w:w="22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58"/>
        </w:trPr>
        <w:tc>
          <w:tcPr>
            <w:tcW w:w="3740" w:type="dxa"/>
            <w:vAlign w:val="bottom"/>
          </w:tcPr>
          <w:p>
            <w:pPr>
              <w:jc w:val="right"/>
              <w:spacing w:after="0"/>
              <w:rPr>
                <w:sz w:val="20"/>
                <w:szCs w:val="20"/>
                <w:color w:val="auto"/>
              </w:rPr>
            </w:pPr>
            <w:r>
              <w:rPr>
                <w:rFonts w:ascii="Arial" w:cs="Arial" w:eastAsia="Arial" w:hAnsi="Arial"/>
                <w:sz w:val="20"/>
                <w:szCs w:val="20"/>
                <w:color w:val="auto"/>
                <w:w w:val="94"/>
              </w:rPr>
              <w:t xml:space="preserve">other than ASC 606 and ASC 815 </w:t>
            </w:r>
            <w:r>
              <w:rPr>
                <w:rFonts w:ascii="Arial" w:cs="Arial" w:eastAsia="Arial" w:hAnsi="Arial"/>
                <w:sz w:val="20"/>
                <w:szCs w:val="20"/>
                <w:color w:val="B4B4B4"/>
                <w:w w:val="94"/>
              </w:rPr>
              <w:t>. . . . . . . .</w:t>
            </w:r>
          </w:p>
        </w:tc>
        <w:tc>
          <w:tcPr>
            <w:tcW w:w="22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740" w:type="dxa"/>
            <w:vAlign w:val="bottom"/>
          </w:tcPr>
          <w:p>
            <w:pPr>
              <w:ind w:left="140"/>
              <w:spacing w:after="0"/>
              <w:rPr>
                <w:sz w:val="20"/>
                <w:szCs w:val="20"/>
                <w:color w:val="auto"/>
              </w:rPr>
            </w:pPr>
            <w:r>
              <w:rPr>
                <w:rFonts w:ascii="Arial" w:cs="Arial" w:eastAsia="Arial" w:hAnsi="Arial"/>
                <w:sz w:val="20"/>
                <w:szCs w:val="20"/>
                <w:color w:val="auto"/>
              </w:rPr>
              <w:t>Less: Realized and unrealized ASC 815</w:t>
            </w:r>
          </w:p>
        </w:tc>
        <w:tc>
          <w:tcPr>
            <w:tcW w:w="22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364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138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vMerge w:val="restart"/>
          </w:tcPr>
          <w:p>
            <w:pPr>
              <w:jc w:val="right"/>
              <w:spacing w:after="0"/>
              <w:rPr>
                <w:sz w:val="20"/>
                <w:szCs w:val="20"/>
                <w:color w:val="auto"/>
              </w:rPr>
            </w:pPr>
            <w:r>
              <w:rPr>
                <w:rFonts w:ascii="Arial" w:cs="Arial" w:eastAsia="Arial" w:hAnsi="Arial"/>
                <w:sz w:val="20"/>
                <w:szCs w:val="20"/>
                <w:color w:val="auto"/>
              </w:rPr>
              <w:t>(16)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515</w:t>
            </w:r>
          </w:p>
        </w:tc>
        <w:tc>
          <w:tcPr>
            <w:tcW w:w="0" w:type="dxa"/>
            <w:vAlign w:val="bottom"/>
          </w:tcPr>
          <w:p>
            <w:pPr>
              <w:spacing w:after="0"/>
              <w:rPr>
                <w:sz w:val="1"/>
                <w:szCs w:val="1"/>
                <w:color w:val="auto"/>
              </w:rPr>
            </w:pPr>
          </w:p>
        </w:tc>
      </w:tr>
      <w:tr>
        <w:trPr>
          <w:trHeight w:val="260"/>
        </w:trPr>
        <w:tc>
          <w:tcPr>
            <w:tcW w:w="3740" w:type="dxa"/>
            <w:vAlign w:val="bottom"/>
          </w:tcPr>
          <w:p>
            <w:pPr>
              <w:jc w:val="right"/>
              <w:spacing w:after="0"/>
              <w:rPr>
                <w:sz w:val="20"/>
                <w:szCs w:val="20"/>
                <w:color w:val="auto"/>
              </w:rPr>
            </w:pPr>
            <w:r>
              <w:rPr>
                <w:rFonts w:ascii="Arial" w:cs="Arial" w:eastAsia="Arial" w:hAnsi="Arial"/>
                <w:sz w:val="20"/>
                <w:szCs w:val="20"/>
                <w:color w:val="auto"/>
                <w:w w:val="92"/>
              </w:rPr>
              <w:t xml:space="preserve">revenue </w:t>
            </w:r>
            <w:r>
              <w:rPr>
                <w:rFonts w:ascii="Arial" w:cs="Arial" w:eastAsia="Arial" w:hAnsi="Arial"/>
                <w:sz w:val="20"/>
                <w:szCs w:val="20"/>
                <w:color w:val="B4B4B4"/>
                <w:w w:val="92"/>
              </w:rPr>
              <w:t>. . . . . . . . . . . . . . . . . . . . . . . . . . . . .</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740" w:type="dxa"/>
            <w:vAlign w:val="bottom"/>
          </w:tcPr>
          <w:p>
            <w:pPr>
              <w:jc w:val="right"/>
              <w:ind w:right="602"/>
              <w:spacing w:after="0" w:line="209" w:lineRule="exact"/>
              <w:rPr>
                <w:sz w:val="20"/>
                <w:szCs w:val="20"/>
                <w:color w:val="auto"/>
              </w:rPr>
            </w:pPr>
            <w:r>
              <w:rPr>
                <w:rFonts w:ascii="Arial" w:cs="Arial" w:eastAsia="Arial" w:hAnsi="Arial"/>
                <w:sz w:val="20"/>
                <w:szCs w:val="20"/>
                <w:color w:val="auto"/>
              </w:rPr>
              <w:t>Total revenue from contracts with</w:t>
            </w: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10,447</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12,166</w:t>
            </w:r>
          </w:p>
        </w:tc>
        <w:tc>
          <w:tcPr>
            <w:tcW w:w="320" w:type="dxa"/>
            <w:vAlign w:val="bottom"/>
            <w:gridSpan w:val="2"/>
            <w:vMerge w:val="restart"/>
          </w:tcPr>
          <w:p>
            <w:pPr>
              <w:ind w:left="120"/>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4,108</w:t>
            </w:r>
          </w:p>
        </w:tc>
        <w:tc>
          <w:tcPr>
            <w:tcW w:w="280" w:type="dxa"/>
            <w:vAlign w:val="bottom"/>
            <w:gridSpan w:val="2"/>
            <w:vMerge w:val="restart"/>
          </w:tcPr>
          <w:p>
            <w:pPr>
              <w:ind w:left="140"/>
              <w:spacing w:after="0"/>
              <w:rPr>
                <w:sz w:val="20"/>
                <w:szCs w:val="20"/>
                <w:color w:val="auto"/>
              </w:rPr>
            </w:pPr>
            <w:r>
              <w:rPr>
                <w:rFonts w:ascii="Arial" w:cs="Arial" w:eastAsia="Arial" w:hAnsi="Arial"/>
                <w:sz w:val="20"/>
                <w:szCs w:val="20"/>
                <w:color w:val="auto"/>
              </w:rPr>
              <w:t>$</w:t>
            </w: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1,549</w:t>
            </w:r>
          </w:p>
        </w:tc>
        <w:tc>
          <w:tcPr>
            <w:tcW w:w="560" w:type="dxa"/>
            <w:vAlign w:val="bottom"/>
            <w:gridSpan w:val="2"/>
            <w:vMerge w:val="restart"/>
          </w:tcPr>
          <w:p>
            <w:pPr>
              <w:ind w:left="120"/>
              <w:spacing w:after="0"/>
              <w:rPr>
                <w:sz w:val="20"/>
                <w:szCs w:val="20"/>
                <w:color w:val="auto"/>
              </w:rPr>
            </w:pPr>
            <w:r>
              <w:rPr>
                <w:rFonts w:ascii="Arial" w:cs="Arial" w:eastAsia="Arial" w:hAnsi="Arial"/>
                <w:sz w:val="20"/>
                <w:szCs w:val="20"/>
                <w:color w:val="auto"/>
              </w:rPr>
              <w:t>$</w:t>
            </w:r>
          </w:p>
        </w:tc>
        <w:tc>
          <w:tcPr>
            <w:tcW w:w="500" w:type="dxa"/>
            <w:vAlign w:val="bottom"/>
            <w:vMerge w:val="restart"/>
          </w:tcPr>
          <w:p>
            <w:pPr>
              <w:jc w:val="right"/>
              <w:spacing w:after="0"/>
              <w:rPr>
                <w:sz w:val="20"/>
                <w:szCs w:val="20"/>
                <w:color w:val="auto"/>
              </w:rPr>
            </w:pPr>
            <w:r>
              <w:rPr>
                <w:rFonts w:ascii="Arial" w:cs="Arial" w:eastAsia="Arial" w:hAnsi="Arial"/>
                <w:sz w:val="20"/>
                <w:szCs w:val="20"/>
                <w:color w:val="auto"/>
              </w:rPr>
              <w:t>(14)</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28,256</w:t>
            </w:r>
          </w:p>
        </w:tc>
        <w:tc>
          <w:tcPr>
            <w:tcW w:w="0" w:type="dxa"/>
            <w:vAlign w:val="bottom"/>
          </w:tcPr>
          <w:p>
            <w:pPr>
              <w:spacing w:after="0"/>
              <w:rPr>
                <w:sz w:val="1"/>
                <w:szCs w:val="1"/>
                <w:color w:val="auto"/>
              </w:rPr>
            </w:pPr>
          </w:p>
        </w:tc>
      </w:tr>
      <w:tr>
        <w:trPr>
          <w:trHeight w:val="258"/>
        </w:trPr>
        <w:tc>
          <w:tcPr>
            <w:tcW w:w="3740" w:type="dxa"/>
            <w:vAlign w:val="bottom"/>
          </w:tcPr>
          <w:p>
            <w:pPr>
              <w:jc w:val="right"/>
              <w:spacing w:after="0"/>
              <w:rPr>
                <w:sz w:val="20"/>
                <w:szCs w:val="20"/>
                <w:color w:val="auto"/>
              </w:rPr>
            </w:pPr>
            <w:r>
              <w:rPr>
                <w:rFonts w:ascii="Arial" w:cs="Arial" w:eastAsia="Arial" w:hAnsi="Arial"/>
                <w:sz w:val="20"/>
                <w:szCs w:val="20"/>
                <w:color w:val="auto"/>
                <w:w w:val="98"/>
              </w:rPr>
              <w:t xml:space="preserve">customers </w:t>
            </w:r>
            <w:r>
              <w:rPr>
                <w:rFonts w:ascii="Arial" w:cs="Arial" w:eastAsia="Arial" w:hAnsi="Arial"/>
                <w:sz w:val="20"/>
                <w:szCs w:val="20"/>
                <w:color w:val="B4B4B4"/>
                <w:w w:val="98"/>
              </w:rPr>
              <w:t>. . . . . . . . . . . . . . . . . . . . . . . . .</w:t>
            </w:r>
          </w:p>
        </w:tc>
        <w:tc>
          <w:tcPr>
            <w:tcW w:w="22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560" w:type="dxa"/>
            <w:vAlign w:val="bottom"/>
            <w:gridSpan w:val="2"/>
            <w:vMerge w:val="continue"/>
          </w:tcPr>
          <w:p>
            <w:pPr>
              <w:spacing w:after="0"/>
              <w:rPr>
                <w:sz w:val="22"/>
                <w:szCs w:val="22"/>
                <w:color w:val="auto"/>
              </w:rPr>
            </w:pPr>
          </w:p>
        </w:tc>
        <w:tc>
          <w:tcPr>
            <w:tcW w:w="50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-2946400</wp:posOffset>
            </wp:positionV>
            <wp:extent cx="6466205" cy="29673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4">
                      <a:extLst>
                        <a:ext uri="{28A0092B-C50C-407E-A947-70E740481C1C}"/>
                      </a:extLst>
                    </a:blip>
                    <a:srcRect/>
                    <a:stretch>
                      <a:fillRect/>
                    </a:stretch>
                  </pic:blipFill>
                  <pic:spPr bwMode="auto">
                    <a:xfrm>
                      <a:off x="0" y="0"/>
                      <a:ext cx="6466205" cy="2967355"/>
                    </a:xfrm>
                    <a:prstGeom prst="rect">
                      <a:avLst/>
                    </a:prstGeom>
                    <a:noFill/>
                  </pic:spPr>
                </pic:pic>
              </a:graphicData>
            </a:graphic>
          </wp:anchor>
        </w:drawing>
      </w:r>
    </w:p>
    <w:p>
      <w:pPr>
        <w:spacing w:after="0" w:line="34" w:lineRule="exact"/>
        <w:rPr>
          <w:sz w:val="20"/>
          <w:szCs w:val="20"/>
          <w:color w:val="auto"/>
        </w:rPr>
      </w:pPr>
    </w:p>
    <w:p>
      <w:pPr>
        <w:ind w:left="240" w:hanging="239"/>
        <w:spacing w:after="0"/>
        <w:tabs>
          <w:tab w:leader="none" w:pos="2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Includes results of operations following the acquisition date of March 10, 2023</w:t>
      </w:r>
    </w:p>
    <w:p>
      <w:pPr>
        <w:spacing w:after="0" w:line="79" w:lineRule="exact"/>
        <w:rPr>
          <w:rFonts w:ascii="Arial" w:cs="Arial" w:eastAsia="Arial" w:hAnsi="Arial"/>
          <w:sz w:val="15"/>
          <w:szCs w:val="15"/>
          <w:color w:val="auto"/>
        </w:rPr>
      </w:pPr>
    </w:p>
    <w:p>
      <w:pPr>
        <w:ind w:left="220" w:hanging="219"/>
        <w:spacing w:after="0"/>
        <w:tabs>
          <w:tab w:leader="none" w:pos="2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following table represents the realized revenues related to derivative instruments that are accounted for under ASC 815 and included in the amounts above: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6"/>
                <w:szCs w:val="16"/>
                <w:color w:val="auto"/>
              </w:rPr>
            </w:pPr>
          </w:p>
        </w:tc>
        <w:tc>
          <w:tcPr>
            <w:tcW w:w="7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Texas</w:t>
            </w:r>
          </w:p>
        </w:tc>
        <w:tc>
          <w:tcPr>
            <w:tcW w:w="8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720" w:type="dxa"/>
            <w:vAlign w:val="bottom"/>
            <w:vMerge w:val="restart"/>
          </w:tcPr>
          <w:p>
            <w:pPr>
              <w:jc w:val="right"/>
              <w:ind w:right="245"/>
              <w:spacing w:after="0"/>
              <w:rPr>
                <w:sz w:val="20"/>
                <w:szCs w:val="20"/>
                <w:color w:val="auto"/>
              </w:rPr>
            </w:pPr>
            <w:r>
              <w:rPr>
                <w:rFonts w:ascii="Arial" w:cs="Arial" w:eastAsia="Arial" w:hAnsi="Arial"/>
                <w:sz w:val="16"/>
                <w:szCs w:val="16"/>
                <w:b w:val="1"/>
                <w:bCs w:val="1"/>
                <w:color w:val="auto"/>
              </w:rPr>
              <w:t>East</w:t>
            </w:r>
          </w:p>
        </w:tc>
        <w:tc>
          <w:tcPr>
            <w:tcW w:w="8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w w:val="90"/>
              </w:rPr>
              <w:t>West/Services/</w:t>
            </w:r>
          </w:p>
        </w:tc>
        <w:tc>
          <w:tcPr>
            <w:tcW w:w="8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w w:val="98"/>
              </w:rPr>
              <w:t>Vivint Smart</w:t>
            </w:r>
          </w:p>
        </w:tc>
        <w:tc>
          <w:tcPr>
            <w:tcW w:w="80" w:type="dxa"/>
            <w:vAlign w:val="bottom"/>
          </w:tcPr>
          <w:p>
            <w:pPr>
              <w:spacing w:after="0"/>
              <w:rPr>
                <w:sz w:val="16"/>
                <w:szCs w:val="16"/>
                <w:color w:val="auto"/>
              </w:rPr>
            </w:pPr>
          </w:p>
        </w:tc>
        <w:tc>
          <w:tcPr>
            <w:tcW w:w="1280" w:type="dxa"/>
            <w:vAlign w:val="bottom"/>
            <w:gridSpan w:val="4"/>
          </w:tcPr>
          <w:p>
            <w:pPr>
              <w:ind w:left="100"/>
              <w:spacing w:after="0"/>
              <w:rPr>
                <w:sz w:val="20"/>
                <w:szCs w:val="20"/>
                <w:color w:val="auto"/>
              </w:rPr>
            </w:pPr>
            <w:r>
              <w:rPr>
                <w:rFonts w:ascii="Arial" w:cs="Arial" w:eastAsia="Arial" w:hAnsi="Arial"/>
                <w:sz w:val="16"/>
                <w:szCs w:val="16"/>
                <w:b w:val="1"/>
                <w:bCs w:val="1"/>
                <w:color w:val="auto"/>
              </w:rPr>
              <w:t>Corporate/</w:t>
            </w:r>
          </w:p>
        </w:tc>
        <w:tc>
          <w:tcPr>
            <w:tcW w:w="740" w:type="dxa"/>
            <w:vAlign w:val="bottom"/>
            <w:vMerge w:val="restart"/>
          </w:tcPr>
          <w:p>
            <w:pPr>
              <w:jc w:val="right"/>
              <w:ind w:right="22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74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Other</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Home</w:t>
            </w:r>
          </w:p>
        </w:tc>
        <w:tc>
          <w:tcPr>
            <w:tcW w:w="80" w:type="dxa"/>
            <w:vAlign w:val="bottom"/>
          </w:tcPr>
          <w:p>
            <w:pPr>
              <w:spacing w:after="0"/>
              <w:rPr>
                <w:sz w:val="18"/>
                <w:szCs w:val="18"/>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4"/>
              </w:rPr>
              <w:t>Eliminations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740" w:type="dxa"/>
            <w:vAlign w:val="bottom"/>
          </w:tcPr>
          <w:p>
            <w:pPr>
              <w:ind w:left="360"/>
              <w:spacing w:after="0"/>
              <w:rPr>
                <w:sz w:val="20"/>
                <w:szCs w:val="20"/>
                <w:color w:val="auto"/>
              </w:rPr>
            </w:pPr>
            <w:r>
              <w:rPr>
                <w:rFonts w:ascii="Arial" w:cs="Arial" w:eastAsia="Arial" w:hAnsi="Arial"/>
                <w:sz w:val="20"/>
                <w:szCs w:val="20"/>
                <w:color w:val="auto"/>
                <w:w w:val="89"/>
              </w:rPr>
              <w:t xml:space="preserve">Retail revenue </w:t>
            </w:r>
            <w:r>
              <w:rPr>
                <w:rFonts w:ascii="Arial" w:cs="Arial" w:eastAsia="Arial" w:hAnsi="Arial"/>
                <w:sz w:val="20"/>
                <w:szCs w:val="20"/>
                <w:color w:val="B4B4B4"/>
                <w:w w:val="89"/>
              </w:rPr>
              <w:t>. . . . . . . . . . . . . . . . .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gridSpan w:val="3"/>
          </w:tcPr>
          <w:p>
            <w:pPr>
              <w:ind w:left="460"/>
              <w:spacing w:after="0"/>
              <w:rPr>
                <w:sz w:val="20"/>
                <w:szCs w:val="20"/>
                <w:color w:val="auto"/>
              </w:rPr>
            </w:pPr>
            <w:r>
              <w:rPr>
                <w:rFonts w:ascii="Arial" w:cs="Arial" w:eastAsia="Arial" w:hAnsi="Arial"/>
                <w:sz w:val="20"/>
                <w:szCs w:val="20"/>
                <w:color w:val="auto"/>
              </w:rPr>
              <w:t>—  $</w:t>
            </w:r>
          </w:p>
        </w:tc>
        <w:tc>
          <w:tcPr>
            <w:tcW w:w="720" w:type="dxa"/>
            <w:vAlign w:val="bottom"/>
          </w:tcPr>
          <w:p>
            <w:pPr>
              <w:jc w:val="right"/>
              <w:spacing w:after="0"/>
              <w:rPr>
                <w:sz w:val="20"/>
                <w:szCs w:val="20"/>
                <w:color w:val="auto"/>
              </w:rPr>
            </w:pPr>
            <w:r>
              <w:rPr>
                <w:rFonts w:ascii="Arial" w:cs="Arial" w:eastAsia="Arial" w:hAnsi="Arial"/>
                <w:sz w:val="20"/>
                <w:szCs w:val="20"/>
                <w:color w:val="auto"/>
              </w:rPr>
              <w:t>74</w:t>
            </w:r>
          </w:p>
        </w:tc>
        <w:tc>
          <w:tcPr>
            <w:tcW w:w="3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860" w:type="dxa"/>
            <w:vAlign w:val="bottom"/>
          </w:tcPr>
          <w:p>
            <w:pPr>
              <w:ind w:left="580"/>
              <w:spacing w:after="0"/>
              <w:rPr>
                <w:sz w:val="20"/>
                <w:szCs w:val="20"/>
                <w:color w:val="auto"/>
              </w:rPr>
            </w:pPr>
            <w:r>
              <w:rPr>
                <w:rFonts w:ascii="Arial" w:cs="Arial" w:eastAsia="Arial" w:hAnsi="Arial"/>
                <w:sz w:val="20"/>
                <w:szCs w:val="20"/>
                <w:color w:val="auto"/>
              </w:rPr>
              <w:t>—</w:t>
            </w:r>
          </w:p>
        </w:tc>
        <w:tc>
          <w:tcPr>
            <w:tcW w:w="30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80" w:type="dxa"/>
            <w:vAlign w:val="bottom"/>
          </w:tcPr>
          <w:p>
            <w:pPr>
              <w:ind w:left="500"/>
              <w:spacing w:after="0"/>
              <w:rPr>
                <w:sz w:val="20"/>
                <w:szCs w:val="20"/>
                <w:color w:val="auto"/>
              </w:rPr>
            </w:pPr>
            <w:r>
              <w:rPr>
                <w:rFonts w:ascii="Arial" w:cs="Arial" w:eastAsia="Arial" w:hAnsi="Arial"/>
                <w:sz w:val="20"/>
                <w:szCs w:val="20"/>
                <w:color w:val="auto"/>
              </w:rPr>
              <w:t>—</w:t>
            </w:r>
          </w:p>
        </w:tc>
        <w:tc>
          <w:tcPr>
            <w:tcW w:w="5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860" w:type="dxa"/>
            <w:vAlign w:val="bottom"/>
            <w:gridSpan w:val="3"/>
          </w:tcPr>
          <w:p>
            <w:pPr>
              <w:ind w:left="280"/>
              <w:spacing w:after="0"/>
              <w:rPr>
                <w:sz w:val="20"/>
                <w:szCs w:val="20"/>
                <w:color w:val="auto"/>
              </w:rPr>
            </w:pPr>
            <w:r>
              <w:rPr>
                <w:rFonts w:ascii="Arial" w:cs="Arial" w:eastAsia="Arial" w:hAnsi="Arial"/>
                <w:sz w:val="20"/>
                <w:szCs w:val="20"/>
                <w:color w:val="auto"/>
              </w:rPr>
              <w:t>—  $</w:t>
            </w:r>
          </w:p>
        </w:tc>
        <w:tc>
          <w:tcPr>
            <w:tcW w:w="740" w:type="dxa"/>
            <w:vAlign w:val="bottom"/>
          </w:tcPr>
          <w:p>
            <w:pPr>
              <w:jc w:val="right"/>
              <w:spacing w:after="0"/>
              <w:rPr>
                <w:sz w:val="20"/>
                <w:szCs w:val="20"/>
                <w:color w:val="auto"/>
              </w:rPr>
            </w:pPr>
            <w:r>
              <w:rPr>
                <w:rFonts w:ascii="Arial" w:cs="Arial" w:eastAsia="Arial" w:hAnsi="Arial"/>
                <w:sz w:val="20"/>
                <w:szCs w:val="20"/>
                <w:color w:val="auto"/>
              </w:rPr>
              <w:t>74</w:t>
            </w:r>
          </w:p>
        </w:tc>
        <w:tc>
          <w:tcPr>
            <w:tcW w:w="0" w:type="dxa"/>
            <w:vAlign w:val="bottom"/>
          </w:tcPr>
          <w:p>
            <w:pPr>
              <w:spacing w:after="0"/>
              <w:rPr>
                <w:sz w:val="1"/>
                <w:szCs w:val="1"/>
                <w:color w:val="auto"/>
              </w:rPr>
            </w:pPr>
          </w:p>
        </w:tc>
      </w:tr>
      <w:tr>
        <w:trPr>
          <w:trHeight w:val="297"/>
        </w:trPr>
        <w:tc>
          <w:tcPr>
            <w:tcW w:w="3740" w:type="dxa"/>
            <w:vAlign w:val="bottom"/>
          </w:tcPr>
          <w:p>
            <w:pPr>
              <w:ind w:left="360"/>
              <w:spacing w:after="0"/>
              <w:rPr>
                <w:sz w:val="20"/>
                <w:szCs w:val="20"/>
                <w:color w:val="auto"/>
              </w:rPr>
            </w:pPr>
            <w:r>
              <w:rPr>
                <w:rFonts w:ascii="Arial" w:cs="Arial" w:eastAsia="Arial" w:hAnsi="Arial"/>
                <w:sz w:val="20"/>
                <w:szCs w:val="20"/>
                <w:color w:val="auto"/>
                <w:w w:val="89"/>
              </w:rPr>
              <w:t xml:space="preserve">Energy revenue </w:t>
            </w:r>
            <w:r>
              <w:rPr>
                <w:rFonts w:ascii="Arial" w:cs="Arial" w:eastAsia="Arial" w:hAnsi="Arial"/>
                <w:sz w:val="20"/>
                <w:szCs w:val="20"/>
                <w:color w:val="B4B4B4"/>
                <w:w w:val="89"/>
              </w:rPr>
              <w:t>. . . . . . . . . . . . . . . . . . . . .</w:t>
            </w:r>
          </w:p>
        </w:tc>
        <w:tc>
          <w:tcPr>
            <w:tcW w:w="220" w:type="dxa"/>
            <w:vAlign w:val="bottom"/>
          </w:tcPr>
          <w:p>
            <w:pPr>
              <w:spacing w:after="0"/>
              <w:rPr>
                <w:sz w:val="24"/>
                <w:szCs w:val="24"/>
                <w:color w:val="auto"/>
              </w:rPr>
            </w:pPr>
          </w:p>
        </w:tc>
        <w:tc>
          <w:tcPr>
            <w:tcW w:w="1060" w:type="dxa"/>
            <w:vAlign w:val="bottom"/>
            <w:gridSpan w:val="3"/>
          </w:tcPr>
          <w:p>
            <w:pPr>
              <w:ind w:left="46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162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ind w:left="580"/>
              <w:spacing w:after="0"/>
              <w:rPr>
                <w:sz w:val="20"/>
                <w:szCs w:val="20"/>
                <w:color w:val="auto"/>
              </w:rPr>
            </w:pPr>
            <w:r>
              <w:rPr>
                <w:rFonts w:ascii="Arial" w:cs="Arial" w:eastAsia="Arial" w:hAnsi="Arial"/>
                <w:sz w:val="20"/>
                <w:szCs w:val="20"/>
                <w:color w:val="auto"/>
              </w:rPr>
              <w:t>13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ind w:left="5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176</w:t>
            </w:r>
          </w:p>
        </w:tc>
        <w:tc>
          <w:tcPr>
            <w:tcW w:w="0" w:type="dxa"/>
            <w:vAlign w:val="bottom"/>
          </w:tcPr>
          <w:p>
            <w:pPr>
              <w:spacing w:after="0"/>
              <w:rPr>
                <w:sz w:val="1"/>
                <w:szCs w:val="1"/>
                <w:color w:val="auto"/>
              </w:rPr>
            </w:pPr>
          </w:p>
        </w:tc>
      </w:tr>
      <w:tr>
        <w:trPr>
          <w:trHeight w:val="297"/>
        </w:trPr>
        <w:tc>
          <w:tcPr>
            <w:tcW w:w="3740" w:type="dxa"/>
            <w:vAlign w:val="bottom"/>
          </w:tcPr>
          <w:p>
            <w:pPr>
              <w:ind w:left="360"/>
              <w:spacing w:after="0"/>
              <w:rPr>
                <w:sz w:val="20"/>
                <w:szCs w:val="20"/>
                <w:color w:val="auto"/>
              </w:rPr>
            </w:pPr>
            <w:r>
              <w:rPr>
                <w:rFonts w:ascii="Arial" w:cs="Arial" w:eastAsia="Arial" w:hAnsi="Arial"/>
                <w:sz w:val="20"/>
                <w:szCs w:val="20"/>
                <w:color w:val="auto"/>
                <w:w w:val="91"/>
              </w:rPr>
              <w:t xml:space="preserve">Capacity revenue </w:t>
            </w:r>
            <w:r>
              <w:rPr>
                <w:rFonts w:ascii="Arial" w:cs="Arial" w:eastAsia="Arial" w:hAnsi="Arial"/>
                <w:sz w:val="20"/>
                <w:szCs w:val="20"/>
                <w:color w:val="B4B4B4"/>
                <w:w w:val="91"/>
              </w:rPr>
              <w:t>. . . . . . . . . . . . . . . . . . .</w:t>
            </w:r>
          </w:p>
        </w:tc>
        <w:tc>
          <w:tcPr>
            <w:tcW w:w="220" w:type="dxa"/>
            <w:vAlign w:val="bottom"/>
          </w:tcPr>
          <w:p>
            <w:pPr>
              <w:spacing w:after="0"/>
              <w:rPr>
                <w:sz w:val="24"/>
                <w:szCs w:val="24"/>
                <w:color w:val="auto"/>
              </w:rPr>
            </w:pPr>
          </w:p>
        </w:tc>
        <w:tc>
          <w:tcPr>
            <w:tcW w:w="1060" w:type="dxa"/>
            <w:vAlign w:val="bottom"/>
            <w:gridSpan w:val="3"/>
          </w:tcPr>
          <w:p>
            <w:pPr>
              <w:ind w:left="46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73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ind w:left="5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ind w:left="5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r>
        <w:trPr>
          <w:trHeight w:val="297"/>
        </w:trPr>
        <w:tc>
          <w:tcPr>
            <w:tcW w:w="3740" w:type="dxa"/>
            <w:vAlign w:val="bottom"/>
          </w:tcPr>
          <w:p>
            <w:pPr>
              <w:ind w:left="360"/>
              <w:spacing w:after="0"/>
              <w:rPr>
                <w:sz w:val="20"/>
                <w:szCs w:val="20"/>
                <w:color w:val="auto"/>
              </w:rPr>
            </w:pPr>
            <w:r>
              <w:rPr>
                <w:rFonts w:ascii="Arial" w:cs="Arial" w:eastAsia="Arial" w:hAnsi="Arial"/>
                <w:sz w:val="20"/>
                <w:szCs w:val="20"/>
                <w:color w:val="auto"/>
                <w:w w:val="90"/>
              </w:rPr>
              <w:t xml:space="preserve">Other revenue </w:t>
            </w:r>
            <w:r>
              <w:rPr>
                <w:rFonts w:ascii="Arial" w:cs="Arial" w:eastAsia="Arial" w:hAnsi="Arial"/>
                <w:sz w:val="20"/>
                <w:szCs w:val="20"/>
                <w:color w:val="B4B4B4"/>
                <w:w w:val="90"/>
              </w:rPr>
              <w:t>. . . . . . . . . . . . . . . . . . . . . .</w:t>
            </w:r>
          </w:p>
        </w:tc>
        <w:tc>
          <w:tcPr>
            <w:tcW w:w="220" w:type="dxa"/>
            <w:vAlign w:val="bottom"/>
          </w:tcPr>
          <w:p>
            <w:pPr>
              <w:spacing w:after="0"/>
              <w:rPr>
                <w:sz w:val="24"/>
                <w:szCs w:val="24"/>
                <w:color w:val="auto"/>
              </w:rPr>
            </w:pPr>
          </w:p>
        </w:tc>
        <w:tc>
          <w:tcPr>
            <w:tcW w:w="740" w:type="dxa"/>
            <w:vAlign w:val="bottom"/>
          </w:tcPr>
          <w:p>
            <w:pPr>
              <w:ind w:left="460"/>
              <w:spacing w:after="0"/>
              <w:rPr>
                <w:sz w:val="20"/>
                <w:szCs w:val="20"/>
                <w:color w:val="auto"/>
              </w:rPr>
            </w:pPr>
            <w:r>
              <w:rPr>
                <w:rFonts w:ascii="Arial" w:cs="Arial" w:eastAsia="Arial" w:hAnsi="Arial"/>
                <w:sz w:val="20"/>
                <w:szCs w:val="20"/>
                <w:color w:val="auto"/>
              </w:rPr>
              <w:t>29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ind w:left="580"/>
              <w:spacing w:after="0"/>
              <w:rPr>
                <w:sz w:val="20"/>
                <w:szCs w:val="20"/>
                <w:color w:val="auto"/>
              </w:rPr>
            </w:pPr>
            <w:r>
              <w:rPr>
                <w:rFonts w:ascii="Arial" w:cs="Arial" w:eastAsia="Arial" w:hAnsi="Arial"/>
                <w:sz w:val="20"/>
                <w:szCs w:val="20"/>
                <w:color w:val="auto"/>
              </w:rPr>
              <w:t>22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ind w:left="5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-758825</wp:posOffset>
            </wp:positionV>
            <wp:extent cx="6466205" cy="7797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5">
                      <a:extLst>
                        <a:ext uri="{28A0092B-C50C-407E-A947-70E740481C1C}"/>
                      </a:extLst>
                    </a:blip>
                    <a:srcRect/>
                    <a:stretch>
                      <a:fillRect/>
                    </a:stretch>
                  </pic:blipFill>
                  <pic:spPr bwMode="auto">
                    <a:xfrm>
                      <a:off x="0" y="0"/>
                      <a:ext cx="6466205" cy="77978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(c) Revenue relates entirely to unrealized gains and losses on derivative instruments accounted for under ASC 815</w:t>
      </w:r>
    </w:p>
    <w:p>
      <w:pPr>
        <w:sectPr>
          <w:pgSz w:w="11880" w:h="15480" w:orient="portrait"/>
          <w:cols w:equalWidth="0" w:num="1">
            <w:col w:w="10100"/>
          </w:cols>
          <w:pgMar w:left="920" w:top="6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107</w:t>
      </w:r>
    </w:p>
    <w:p>
      <w:pPr>
        <w:sectPr>
          <w:pgSz w:w="11880" w:h="15480" w:orient="portrait"/>
          <w:cols w:equalWidth="0" w:num="1">
            <w:col w:w="10100"/>
          </w:cols>
          <w:pgMar w:left="920" w:top="605" w:right="860" w:bottom="0" w:gutter="0" w:footer="0" w:header="0"/>
          <w:type w:val="continuous"/>
        </w:sectPr>
      </w:pPr>
    </w:p>
    <w:bookmarkStart w:id="109" w:name="page110"/>
    <w:bookmarkEnd w:id="109"/>
    <w:tbl>
      <w:tblPr>
        <w:tblLayout w:type="fixed"/>
        <w:tblInd w:w="18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7"/>
          </w:tcPr>
          <w:p>
            <w:pPr>
              <w:jc w:val="right"/>
              <w:ind w:right="123"/>
              <w:spacing w:after="0"/>
              <w:rPr>
                <w:sz w:val="20"/>
                <w:szCs w:val="20"/>
                <w:color w:val="auto"/>
              </w:rPr>
            </w:pPr>
            <w:r>
              <w:rPr>
                <w:rFonts w:ascii="Arial" w:cs="Arial" w:eastAsia="Arial" w:hAnsi="Arial"/>
                <w:sz w:val="18"/>
                <w:szCs w:val="18"/>
                <w:b w:val="1"/>
                <w:bCs w:val="1"/>
                <w:color w:val="auto"/>
                <w:w w:val="90"/>
              </w:rPr>
              <w:t>For the Year Ended December 31, 2022</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240" w:type="dxa"/>
            <w:vAlign w:val="bottom"/>
            <w:vMerge w:val="restart"/>
          </w:tcPr>
          <w:p>
            <w:pPr>
              <w:jc w:val="right"/>
              <w:ind w:right="3262"/>
              <w:spacing w:after="0"/>
              <w:rPr>
                <w:sz w:val="20"/>
                <w:szCs w:val="20"/>
                <w:color w:val="auto"/>
              </w:rPr>
            </w:pPr>
            <w:r>
              <w:rPr>
                <w:rFonts w:ascii="Arial" w:cs="Arial" w:eastAsia="Arial" w:hAnsi="Arial"/>
                <w:sz w:val="16"/>
                <w:szCs w:val="16"/>
                <w:b w:val="1"/>
                <w:bCs w:val="1"/>
                <w:color w:val="auto"/>
                <w:w w:val="95"/>
              </w:rPr>
              <w:t>(In millions)</w:t>
            </w:r>
          </w:p>
        </w:tc>
        <w:tc>
          <w:tcPr>
            <w:tcW w:w="240" w:type="dxa"/>
            <w:vAlign w:val="bottom"/>
          </w:tcPr>
          <w:p>
            <w:pPr>
              <w:spacing w:after="0"/>
              <w:rPr>
                <w:sz w:val="15"/>
                <w:szCs w:val="15"/>
                <w:color w:val="auto"/>
              </w:rPr>
            </w:pPr>
          </w:p>
        </w:tc>
        <w:tc>
          <w:tcPr>
            <w:tcW w:w="840" w:type="dxa"/>
            <w:vAlign w:val="bottom"/>
            <w:vMerge w:val="restart"/>
          </w:tcPr>
          <w:p>
            <w:pPr>
              <w:jc w:val="right"/>
              <w:ind w:right="243"/>
              <w:spacing w:after="0"/>
              <w:rPr>
                <w:sz w:val="20"/>
                <w:szCs w:val="20"/>
                <w:color w:val="auto"/>
              </w:rPr>
            </w:pPr>
            <w:r>
              <w:rPr>
                <w:rFonts w:ascii="Arial" w:cs="Arial" w:eastAsia="Arial" w:hAnsi="Arial"/>
                <w:sz w:val="16"/>
                <w:szCs w:val="16"/>
                <w:b w:val="1"/>
                <w:bCs w:val="1"/>
                <w:color w:val="auto"/>
              </w:rPr>
              <w:t>Texas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ind w:right="303"/>
              <w:spacing w:after="0"/>
              <w:rPr>
                <w:sz w:val="20"/>
                <w:szCs w:val="20"/>
                <w:color w:val="auto"/>
              </w:rPr>
            </w:pPr>
            <w:r>
              <w:rPr>
                <w:rFonts w:ascii="Arial" w:cs="Arial" w:eastAsia="Arial" w:hAnsi="Arial"/>
                <w:sz w:val="16"/>
                <w:szCs w:val="16"/>
                <w:b w:val="1"/>
                <w:bCs w:val="1"/>
                <w:color w:val="auto"/>
              </w:rPr>
              <w:t>East</w:t>
            </w:r>
          </w:p>
        </w:tc>
        <w:tc>
          <w:tcPr>
            <w:tcW w:w="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w w:val="90"/>
              </w:rPr>
              <w:t>West/Services/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63"/>
              <w:spacing w:after="0"/>
              <w:rPr>
                <w:sz w:val="20"/>
                <w:szCs w:val="20"/>
                <w:color w:val="auto"/>
              </w:rPr>
            </w:pPr>
            <w:r>
              <w:rPr>
                <w:rFonts w:ascii="Arial" w:cs="Arial" w:eastAsia="Arial" w:hAnsi="Arial"/>
                <w:sz w:val="16"/>
                <w:szCs w:val="16"/>
                <w:b w:val="1"/>
                <w:bCs w:val="1"/>
                <w:color w:val="auto"/>
                <w:w w:val="91"/>
              </w:rPr>
              <w:t>Corporate/</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ind w:right="26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424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Other</w:t>
            </w:r>
          </w:p>
        </w:tc>
        <w:tc>
          <w:tcPr>
            <w:tcW w:w="80" w:type="dxa"/>
            <w:vAlign w:val="bottom"/>
          </w:tcPr>
          <w:p>
            <w:pPr>
              <w:spacing w:after="0"/>
              <w:rPr>
                <w:sz w:val="18"/>
                <w:szCs w:val="18"/>
                <w:color w:val="auto"/>
              </w:rPr>
            </w:pPr>
          </w:p>
        </w:tc>
        <w:tc>
          <w:tcPr>
            <w:tcW w:w="108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6"/>
                <w:szCs w:val="16"/>
                <w:b w:val="1"/>
                <w:bCs w:val="1"/>
                <w:color w:val="auto"/>
                <w:w w:val="98"/>
              </w:rPr>
              <w:t>Eliminations</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240" w:type="dxa"/>
            <w:vAlign w:val="bottom"/>
          </w:tcPr>
          <w:p>
            <w:pPr>
              <w:spacing w:after="0"/>
              <w:rPr>
                <w:sz w:val="20"/>
                <w:szCs w:val="20"/>
                <w:color w:val="auto"/>
              </w:rPr>
            </w:pPr>
            <w:r>
              <w:rPr>
                <w:rFonts w:ascii="Arial" w:cs="Arial" w:eastAsia="Arial" w:hAnsi="Arial"/>
                <w:sz w:val="20"/>
                <w:szCs w:val="20"/>
                <w:color w:val="auto"/>
              </w:rPr>
              <w:t>Retail revenue:</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240" w:type="dxa"/>
            <w:vAlign w:val="bottom"/>
          </w:tcPr>
          <w:p>
            <w:pPr>
              <w:jc w:val="right"/>
              <w:spacing w:after="0"/>
              <w:rPr>
                <w:sz w:val="20"/>
                <w:szCs w:val="20"/>
                <w:color w:val="auto"/>
              </w:rPr>
            </w:pPr>
            <w:r>
              <w:rPr>
                <w:rFonts w:ascii="Arial" w:cs="Arial" w:eastAsia="Arial" w:hAnsi="Arial"/>
                <w:sz w:val="20"/>
                <w:szCs w:val="20"/>
                <w:color w:val="auto"/>
                <w:w w:val="93"/>
              </w:rPr>
              <w:t xml:space="preserve">Home </w:t>
            </w:r>
            <w:r>
              <w:rPr>
                <w:rFonts w:ascii="Arial" w:cs="Arial" w:eastAsia="Arial" w:hAnsi="Arial"/>
                <w:sz w:val="20"/>
                <w:szCs w:val="20"/>
                <w:color w:val="B4B4B4"/>
                <w:w w:val="93"/>
              </w:rPr>
              <w:t>. . . . . . . . . . . . . . . . . . . . . . . . . . . . . . . . . . .</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6,388</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2,088</w:t>
            </w:r>
          </w:p>
        </w:tc>
        <w:tc>
          <w:tcPr>
            <w:tcW w:w="3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2,286</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10,761</w:t>
            </w:r>
          </w:p>
        </w:tc>
        <w:tc>
          <w:tcPr>
            <w:tcW w:w="0" w:type="dxa"/>
            <w:vAlign w:val="bottom"/>
          </w:tcPr>
          <w:p>
            <w:pPr>
              <w:spacing w:after="0"/>
              <w:rPr>
                <w:sz w:val="1"/>
                <w:szCs w:val="1"/>
                <w:color w:val="auto"/>
              </w:rPr>
            </w:pPr>
          </w:p>
        </w:tc>
      </w:tr>
      <w:tr>
        <w:trPr>
          <w:trHeight w:val="299"/>
        </w:trPr>
        <w:tc>
          <w:tcPr>
            <w:tcW w:w="4240" w:type="dxa"/>
            <w:vAlign w:val="bottom"/>
          </w:tcPr>
          <w:p>
            <w:pPr>
              <w:jc w:val="right"/>
              <w:spacing w:after="0"/>
              <w:rPr>
                <w:sz w:val="20"/>
                <w:szCs w:val="20"/>
                <w:color w:val="auto"/>
              </w:rPr>
            </w:pPr>
            <w:r>
              <w:rPr>
                <w:rFonts w:ascii="Arial" w:cs="Arial" w:eastAsia="Arial" w:hAnsi="Arial"/>
                <w:sz w:val="20"/>
                <w:szCs w:val="20"/>
                <w:color w:val="auto"/>
                <w:w w:val="95"/>
              </w:rPr>
              <w:t xml:space="preserve">Business </w:t>
            </w:r>
            <w:r>
              <w:rPr>
                <w:rFonts w:ascii="Arial" w:cs="Arial" w:eastAsia="Arial" w:hAnsi="Arial"/>
                <w:sz w:val="20"/>
                <w:szCs w:val="20"/>
                <w:color w:val="B4B4B4"/>
                <w:w w:val="95"/>
              </w:rPr>
              <w:t>. . . . . . . . . . . . . . . . . . . . . . . . . . . . . . . .</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3,229</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13,768</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1,964</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18,961</w:t>
            </w:r>
          </w:p>
        </w:tc>
        <w:tc>
          <w:tcPr>
            <w:tcW w:w="0" w:type="dxa"/>
            <w:vAlign w:val="bottom"/>
          </w:tcPr>
          <w:p>
            <w:pPr>
              <w:spacing w:after="0"/>
              <w:rPr>
                <w:sz w:val="1"/>
                <w:szCs w:val="1"/>
                <w:color w:val="auto"/>
              </w:rPr>
            </w:pPr>
          </w:p>
        </w:tc>
      </w:tr>
      <w:tr>
        <w:trPr>
          <w:trHeight w:val="277"/>
        </w:trPr>
        <w:tc>
          <w:tcPr>
            <w:tcW w:w="4240" w:type="dxa"/>
            <w:vAlign w:val="bottom"/>
          </w:tcPr>
          <w:p>
            <w:pPr>
              <w:jc w:val="right"/>
              <w:spacing w:after="0" w:line="277" w:lineRule="exact"/>
              <w:rPr>
                <w:sz w:val="20"/>
                <w:szCs w:val="20"/>
                <w:color w:val="auto"/>
              </w:rPr>
            </w:pPr>
            <w:r>
              <w:rPr>
                <w:rFonts w:ascii="Arial" w:cs="Arial" w:eastAsia="Arial" w:hAnsi="Arial"/>
                <w:sz w:val="20"/>
                <w:szCs w:val="20"/>
                <w:color w:val="B4B4B4"/>
              </w:rPr>
              <w:t>. . . . . . . . . . . . . . . . . . . .</w:t>
            </w:r>
            <w:r>
              <w:rPr>
                <w:rFonts w:ascii="Arial" w:cs="Arial" w:eastAsia="Arial" w:hAnsi="Arial"/>
                <w:sz w:val="20"/>
                <w:szCs w:val="20"/>
                <w:color w:val="000000"/>
              </w:rPr>
              <w:t>Totalretailrevenue</w:t>
            </w:r>
            <w:r>
              <w:rPr>
                <w:rFonts w:ascii="Arial" w:cs="Arial" w:eastAsia="Arial" w:hAnsi="Arial"/>
                <w:sz w:val="25"/>
                <w:szCs w:val="25"/>
                <w:color w:val="000000"/>
                <w:vertAlign w:val="superscript"/>
              </w:rPr>
              <w:t>(a)</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9,617</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15,856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4,250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29,722</w:t>
            </w:r>
          </w:p>
        </w:tc>
        <w:tc>
          <w:tcPr>
            <w:tcW w:w="0" w:type="dxa"/>
            <w:vAlign w:val="bottom"/>
          </w:tcPr>
          <w:p>
            <w:pPr>
              <w:spacing w:after="0"/>
              <w:rPr>
                <w:sz w:val="1"/>
                <w:szCs w:val="1"/>
                <w:color w:val="auto"/>
              </w:rPr>
            </w:pPr>
          </w:p>
        </w:tc>
      </w:tr>
      <w:tr>
        <w:trPr>
          <w:trHeight w:val="295"/>
        </w:trPr>
        <w:tc>
          <w:tcPr>
            <w:tcW w:w="4240" w:type="dxa"/>
            <w:vAlign w:val="bottom"/>
          </w:tcPr>
          <w:p>
            <w:pPr>
              <w:jc w:val="right"/>
              <w:spacing w:after="0"/>
              <w:rPr>
                <w:sz w:val="20"/>
                <w:szCs w:val="20"/>
                <w:color w:val="auto"/>
              </w:rPr>
            </w:pPr>
            <w:r>
              <w:rPr>
                <w:rFonts w:ascii="Arial" w:cs="Arial" w:eastAsia="Arial" w:hAnsi="Arial"/>
                <w:sz w:val="20"/>
                <w:szCs w:val="20"/>
                <w:color w:val="B4B4B4"/>
                <w:w w:val="90"/>
              </w:rPr>
              <w:t>. . . . . . . . . . . . . . . . . . . . . . . . . . . .</w:t>
            </w:r>
            <w:r>
              <w:rPr>
                <w:rFonts w:ascii="Arial" w:cs="Arial" w:eastAsia="Arial" w:hAnsi="Arial"/>
                <w:sz w:val="20"/>
                <w:szCs w:val="20"/>
                <w:color w:val="000000"/>
                <w:w w:val="90"/>
              </w:rPr>
              <w:t>Energyrevenue</w:t>
            </w:r>
            <w:r>
              <w:rPr>
                <w:rFonts w:ascii="Arial" w:cs="Arial" w:eastAsia="Arial" w:hAnsi="Arial"/>
                <w:sz w:val="25"/>
                <w:szCs w:val="25"/>
                <w:color w:val="000000"/>
                <w:w w:val="90"/>
                <w:vertAlign w:val="superscript"/>
              </w:rPr>
              <w:t>(a)</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111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641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466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1,250</w:t>
            </w:r>
          </w:p>
        </w:tc>
        <w:tc>
          <w:tcPr>
            <w:tcW w:w="0" w:type="dxa"/>
            <w:vAlign w:val="bottom"/>
          </w:tcPr>
          <w:p>
            <w:pPr>
              <w:spacing w:after="0"/>
              <w:rPr>
                <w:sz w:val="1"/>
                <w:szCs w:val="1"/>
                <w:color w:val="auto"/>
              </w:rPr>
            </w:pPr>
          </w:p>
        </w:tc>
      </w:tr>
      <w:tr>
        <w:trPr>
          <w:trHeight w:val="297"/>
        </w:trPr>
        <w:tc>
          <w:tcPr>
            <w:tcW w:w="4240" w:type="dxa"/>
            <w:vAlign w:val="bottom"/>
          </w:tcPr>
          <w:p>
            <w:pPr>
              <w:jc w:val="right"/>
              <w:spacing w:after="0"/>
              <w:rPr>
                <w:sz w:val="20"/>
                <w:szCs w:val="20"/>
                <w:color w:val="auto"/>
              </w:rPr>
            </w:pPr>
            <w:r>
              <w:rPr>
                <w:rFonts w:ascii="Arial" w:cs="Arial" w:eastAsia="Arial" w:hAnsi="Arial"/>
                <w:sz w:val="20"/>
                <w:szCs w:val="20"/>
                <w:color w:val="auto"/>
                <w:w w:val="88"/>
              </w:rPr>
              <w:t>Capacity revenue</w:t>
            </w:r>
            <w:r>
              <w:rPr>
                <w:rFonts w:ascii="Arial" w:cs="Arial" w:eastAsia="Arial" w:hAnsi="Arial"/>
                <w:sz w:val="25"/>
                <w:szCs w:val="25"/>
                <w:color w:val="auto"/>
                <w:w w:val="88"/>
                <w:vertAlign w:val="superscript"/>
              </w:rPr>
              <w:t>(a)</w:t>
            </w:r>
            <w:r>
              <w:rPr>
                <w:rFonts w:ascii="Arial" w:cs="Arial" w:eastAsia="Arial" w:hAnsi="Arial"/>
                <w:sz w:val="20"/>
                <w:szCs w:val="20"/>
                <w:color w:val="auto"/>
                <w:w w:val="88"/>
              </w:rPr>
              <w:t xml:space="preserve">  </w:t>
            </w:r>
            <w:r>
              <w:rPr>
                <w:rFonts w:ascii="Arial" w:cs="Arial" w:eastAsia="Arial" w:hAnsi="Arial"/>
                <w:sz w:val="20"/>
                <w:szCs w:val="20"/>
                <w:color w:val="B4B4B4"/>
                <w:w w:val="88"/>
              </w:rPr>
              <w:t>. . . . . . . . . . . . . . . . . . . . . . . . . .</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232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272</w:t>
            </w:r>
          </w:p>
        </w:tc>
        <w:tc>
          <w:tcPr>
            <w:tcW w:w="0" w:type="dxa"/>
            <w:vAlign w:val="bottom"/>
          </w:tcPr>
          <w:p>
            <w:pPr>
              <w:spacing w:after="0"/>
              <w:rPr>
                <w:sz w:val="1"/>
                <w:szCs w:val="1"/>
                <w:color w:val="auto"/>
              </w:rPr>
            </w:pPr>
          </w:p>
        </w:tc>
      </w:tr>
      <w:tr>
        <w:trPr>
          <w:trHeight w:val="315"/>
        </w:trPr>
        <w:tc>
          <w:tcPr>
            <w:tcW w:w="4240" w:type="dxa"/>
            <w:vAlign w:val="bottom"/>
          </w:tcPr>
          <w:p>
            <w:pPr>
              <w:jc w:val="right"/>
              <w:spacing w:after="0"/>
              <w:rPr>
                <w:sz w:val="20"/>
                <w:szCs w:val="20"/>
                <w:color w:val="auto"/>
              </w:rPr>
            </w:pPr>
            <w:r>
              <w:rPr>
                <w:rFonts w:ascii="Arial" w:cs="Arial" w:eastAsia="Arial" w:hAnsi="Arial"/>
                <w:sz w:val="20"/>
                <w:szCs w:val="20"/>
                <w:color w:val="auto"/>
                <w:w w:val="90"/>
              </w:rPr>
              <w:t>Mark-to-market for economic hedging activities</w:t>
            </w:r>
            <w:r>
              <w:rPr>
                <w:rFonts w:ascii="Arial" w:cs="Arial" w:eastAsia="Arial" w:hAnsi="Arial"/>
                <w:sz w:val="25"/>
                <w:szCs w:val="25"/>
                <w:color w:val="auto"/>
                <w:w w:val="90"/>
                <w:vertAlign w:val="superscript"/>
              </w:rPr>
              <w:t>(b)</w:t>
            </w:r>
            <w:r>
              <w:rPr>
                <w:rFonts w:ascii="Arial" w:cs="Arial" w:eastAsia="Arial" w:hAnsi="Arial"/>
                <w:sz w:val="20"/>
                <w:szCs w:val="20"/>
                <w:color w:val="auto"/>
                <w:w w:val="90"/>
              </w:rPr>
              <w:t xml:space="preserve"> </w:t>
            </w:r>
            <w:r>
              <w:rPr>
                <w:rFonts w:ascii="Arial" w:cs="Arial" w:eastAsia="Arial" w:hAnsi="Arial"/>
                <w:sz w:val="20"/>
                <w:szCs w:val="20"/>
                <w:color w:val="B4B4B4"/>
                <w:w w:val="90"/>
              </w:rPr>
              <w:t>. .</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58"/>
        </w:trPr>
        <w:tc>
          <w:tcPr>
            <w:tcW w:w="4240" w:type="dxa"/>
            <w:vAlign w:val="bottom"/>
          </w:tcPr>
          <w:p>
            <w:pPr>
              <w:jc w:val="right"/>
              <w:spacing w:after="0"/>
              <w:rPr>
                <w:sz w:val="20"/>
                <w:szCs w:val="20"/>
                <w:color w:val="auto"/>
              </w:rPr>
            </w:pPr>
            <w:r>
              <w:rPr>
                <w:rFonts w:ascii="Arial" w:cs="Arial" w:eastAsia="Arial" w:hAnsi="Arial"/>
                <w:sz w:val="20"/>
                <w:szCs w:val="20"/>
                <w:color w:val="auto"/>
                <w:w w:val="91"/>
              </w:rPr>
              <w:t xml:space="preserve">Contract amortization </w:t>
            </w:r>
            <w:r>
              <w:rPr>
                <w:rFonts w:ascii="Arial" w:cs="Arial" w:eastAsia="Arial" w:hAnsi="Arial"/>
                <w:sz w:val="20"/>
                <w:szCs w:val="20"/>
                <w:color w:val="B4B4B4"/>
                <w:w w:val="91"/>
              </w:rPr>
              <w:t>. . . . . . . . . . . . . . . . . . . . . . . .</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99"/>
        </w:trPr>
        <w:tc>
          <w:tcPr>
            <w:tcW w:w="4240" w:type="dxa"/>
            <w:vAlign w:val="bottom"/>
          </w:tcPr>
          <w:p>
            <w:pPr>
              <w:jc w:val="right"/>
              <w:spacing w:after="0"/>
              <w:rPr>
                <w:sz w:val="20"/>
                <w:szCs w:val="20"/>
                <w:color w:val="auto"/>
              </w:rPr>
            </w:pPr>
            <w:r>
              <w:rPr>
                <w:rFonts w:ascii="Arial" w:cs="Arial" w:eastAsia="Arial" w:hAnsi="Arial"/>
                <w:sz w:val="20"/>
                <w:szCs w:val="20"/>
                <w:color w:val="auto"/>
                <w:w w:val="88"/>
              </w:rPr>
              <w:t>Other revenue</w:t>
            </w:r>
            <w:r>
              <w:rPr>
                <w:rFonts w:ascii="Arial" w:cs="Arial" w:eastAsia="Arial" w:hAnsi="Arial"/>
                <w:sz w:val="25"/>
                <w:szCs w:val="25"/>
                <w:color w:val="auto"/>
                <w:w w:val="88"/>
                <w:vertAlign w:val="superscript"/>
              </w:rPr>
              <w:t>(a)</w:t>
            </w:r>
            <w:r>
              <w:rPr>
                <w:rFonts w:ascii="Arial" w:cs="Arial" w:eastAsia="Arial" w:hAnsi="Arial"/>
                <w:sz w:val="20"/>
                <w:szCs w:val="20"/>
                <w:color w:val="auto"/>
                <w:w w:val="88"/>
              </w:rPr>
              <w:t xml:space="preserve"> </w:t>
            </w:r>
            <w:r>
              <w:rPr>
                <w:rFonts w:ascii="Arial" w:cs="Arial" w:eastAsia="Arial" w:hAnsi="Arial"/>
                <w:sz w:val="20"/>
                <w:szCs w:val="20"/>
                <w:color w:val="B4B4B4"/>
                <w:w w:val="88"/>
              </w:rPr>
              <w:t>. . . . . . . . . . . . . . . . . . . . . . . . . . . . .</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327</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421</w:t>
            </w:r>
          </w:p>
        </w:tc>
        <w:tc>
          <w:tcPr>
            <w:tcW w:w="0" w:type="dxa"/>
            <w:vAlign w:val="bottom"/>
          </w:tcPr>
          <w:p>
            <w:pPr>
              <w:spacing w:after="0"/>
              <w:rPr>
                <w:sz w:val="1"/>
                <w:szCs w:val="1"/>
                <w:color w:val="auto"/>
              </w:rPr>
            </w:pPr>
          </w:p>
        </w:tc>
      </w:tr>
      <w:tr>
        <w:trPr>
          <w:trHeight w:val="277"/>
        </w:trPr>
        <w:tc>
          <w:tcPr>
            <w:tcW w:w="4240" w:type="dxa"/>
            <w:vAlign w:val="bottom"/>
          </w:tcPr>
          <w:p>
            <w:pPr>
              <w:jc w:val="right"/>
              <w:spacing w:after="0"/>
              <w:rPr>
                <w:sz w:val="20"/>
                <w:szCs w:val="20"/>
                <w:color w:val="auto"/>
              </w:rPr>
            </w:pPr>
            <w:r>
              <w:rPr>
                <w:rFonts w:ascii="Arial" w:cs="Arial" w:eastAsia="Arial" w:hAnsi="Arial"/>
                <w:sz w:val="20"/>
                <w:szCs w:val="20"/>
                <w:color w:val="auto"/>
                <w:w w:val="89"/>
              </w:rPr>
              <w:t xml:space="preserve">Total revenue </w:t>
            </w:r>
            <w:r>
              <w:rPr>
                <w:rFonts w:ascii="Arial" w:cs="Arial" w:eastAsia="Arial" w:hAnsi="Arial"/>
                <w:sz w:val="20"/>
                <w:szCs w:val="20"/>
                <w:color w:val="B4B4B4"/>
                <w:w w:val="89"/>
              </w:rPr>
              <w:t>. . . . . . . . . . . . . . . . . . . . . . . . . . . . . . .</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10,057</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16,763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4,706</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31,543</w:t>
            </w:r>
          </w:p>
        </w:tc>
        <w:tc>
          <w:tcPr>
            <w:tcW w:w="0" w:type="dxa"/>
            <w:vAlign w:val="bottom"/>
          </w:tcPr>
          <w:p>
            <w:pPr>
              <w:spacing w:after="0"/>
              <w:rPr>
                <w:sz w:val="1"/>
                <w:szCs w:val="1"/>
                <w:color w:val="auto"/>
              </w:rPr>
            </w:pPr>
          </w:p>
        </w:tc>
      </w:tr>
      <w:tr>
        <w:trPr>
          <w:trHeight w:val="210"/>
        </w:trPr>
        <w:tc>
          <w:tcPr>
            <w:tcW w:w="4240" w:type="dxa"/>
            <w:vAlign w:val="bottom"/>
          </w:tcPr>
          <w:p>
            <w:pPr>
              <w:spacing w:after="0" w:line="209" w:lineRule="exact"/>
              <w:rPr>
                <w:sz w:val="20"/>
                <w:szCs w:val="20"/>
                <w:color w:val="auto"/>
              </w:rPr>
            </w:pPr>
            <w:r>
              <w:rPr>
                <w:rFonts w:ascii="Arial" w:cs="Arial" w:eastAsia="Arial" w:hAnsi="Arial"/>
                <w:sz w:val="20"/>
                <w:szCs w:val="20"/>
                <w:color w:val="auto"/>
                <w:w w:val="96"/>
              </w:rPr>
              <w:t>Less: Revenues accounted for under topics other</w:t>
            </w: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58"/>
        </w:trPr>
        <w:tc>
          <w:tcPr>
            <w:tcW w:w="4240" w:type="dxa"/>
            <w:vAlign w:val="bottom"/>
          </w:tcPr>
          <w:p>
            <w:pPr>
              <w:jc w:val="right"/>
              <w:spacing w:after="0"/>
              <w:rPr>
                <w:sz w:val="20"/>
                <w:szCs w:val="20"/>
                <w:color w:val="auto"/>
              </w:rPr>
            </w:pPr>
            <w:r>
              <w:rPr>
                <w:rFonts w:ascii="Arial" w:cs="Arial" w:eastAsia="Arial" w:hAnsi="Arial"/>
                <w:sz w:val="20"/>
                <w:szCs w:val="20"/>
                <w:color w:val="auto"/>
                <w:w w:val="90"/>
              </w:rPr>
              <w:t xml:space="preserve">than ASC 606 and ASC 815 </w:t>
            </w:r>
            <w:r>
              <w:rPr>
                <w:rFonts w:ascii="Arial" w:cs="Arial" w:eastAsia="Arial" w:hAnsi="Arial"/>
                <w:sz w:val="20"/>
                <w:szCs w:val="20"/>
                <w:color w:val="B4B4B4"/>
                <w:w w:val="90"/>
              </w:rPr>
              <w:t>. . . . . . . . . . . . . . . . . . .</w:t>
            </w:r>
          </w:p>
        </w:tc>
        <w:tc>
          <w:tcPr>
            <w:tcW w:w="2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4240" w:type="dxa"/>
            <w:vAlign w:val="bottom"/>
          </w:tcPr>
          <w:p>
            <w:pPr>
              <w:jc w:val="right"/>
              <w:spacing w:after="0"/>
              <w:rPr>
                <w:sz w:val="20"/>
                <w:szCs w:val="20"/>
                <w:color w:val="auto"/>
              </w:rPr>
            </w:pPr>
            <w:r>
              <w:rPr>
                <w:rFonts w:ascii="Arial" w:cs="Arial" w:eastAsia="Arial" w:hAnsi="Arial"/>
                <w:sz w:val="20"/>
                <w:szCs w:val="20"/>
                <w:color w:val="auto"/>
                <w:w w:val="89"/>
              </w:rPr>
              <w:t xml:space="preserve">Less: Realized and unrealized ASC 815 revenue </w:t>
            </w:r>
            <w:r>
              <w:rPr>
                <w:rFonts w:ascii="Arial" w:cs="Arial" w:eastAsia="Arial" w:hAnsi="Arial"/>
                <w:sz w:val="20"/>
                <w:szCs w:val="20"/>
                <w:color w:val="B4B4B4"/>
                <w:w w:val="89"/>
              </w:rPr>
              <w:t>. . .</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75"/>
        </w:trPr>
        <w:tc>
          <w:tcPr>
            <w:tcW w:w="4240" w:type="dxa"/>
            <w:vAlign w:val="bottom"/>
          </w:tcPr>
          <w:p>
            <w:pPr>
              <w:jc w:val="right"/>
              <w:spacing w:after="0"/>
              <w:rPr>
                <w:sz w:val="20"/>
                <w:szCs w:val="20"/>
                <w:color w:val="auto"/>
              </w:rPr>
            </w:pPr>
            <w:r>
              <w:rPr>
                <w:rFonts w:ascii="Arial" w:cs="Arial" w:eastAsia="Arial" w:hAnsi="Arial"/>
                <w:sz w:val="20"/>
                <w:szCs w:val="20"/>
                <w:color w:val="auto"/>
                <w:w w:val="94"/>
              </w:rPr>
              <w:t xml:space="preserve">Total revenue from contracts with customers </w:t>
            </w:r>
            <w:r>
              <w:rPr>
                <w:rFonts w:ascii="Arial" w:cs="Arial" w:eastAsia="Arial" w:hAnsi="Arial"/>
                <w:sz w:val="20"/>
                <w:szCs w:val="20"/>
                <w:color w:val="B4B4B4"/>
                <w:w w:val="94"/>
              </w:rPr>
              <w:t>. . . .</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10,059</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16,686</w:t>
            </w:r>
          </w:p>
        </w:tc>
        <w:tc>
          <w:tcPr>
            <w:tcW w:w="3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4,758</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(15)</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31,488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-2578735</wp:posOffset>
            </wp:positionV>
            <wp:extent cx="6475095" cy="259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6">
                      <a:extLst>
                        <a:ext uri="{28A0092B-C50C-407E-A947-70E740481C1C}"/>
                      </a:extLst>
                    </a:blip>
                    <a:srcRect/>
                    <a:stretch>
                      <a:fillRect/>
                    </a:stretch>
                  </pic:blipFill>
                  <pic:spPr bwMode="auto">
                    <a:xfrm>
                      <a:off x="0" y="0"/>
                      <a:ext cx="6475095" cy="2599690"/>
                    </a:xfrm>
                    <a:prstGeom prst="rect">
                      <a:avLst/>
                    </a:prstGeom>
                    <a:noFill/>
                  </pic:spPr>
                </pic:pic>
              </a:graphicData>
            </a:graphic>
          </wp:anchor>
        </w:drawing>
      </w:r>
    </w:p>
    <w:p>
      <w:pPr>
        <w:spacing w:after="0" w:line="35" w:lineRule="exact"/>
        <w:rPr>
          <w:sz w:val="20"/>
          <w:szCs w:val="20"/>
          <w:color w:val="auto"/>
        </w:rPr>
      </w:pPr>
    </w:p>
    <w:p>
      <w:pPr>
        <w:ind w:left="60"/>
        <w:spacing w:after="0"/>
        <w:rPr>
          <w:sz w:val="20"/>
          <w:szCs w:val="20"/>
          <w:color w:val="auto"/>
        </w:rPr>
      </w:pPr>
      <w:r>
        <w:rPr>
          <w:rFonts w:ascii="Arial" w:cs="Arial" w:eastAsia="Arial" w:hAnsi="Arial"/>
          <w:sz w:val="13"/>
          <w:szCs w:val="13"/>
          <w:color w:val="auto"/>
        </w:rPr>
        <w:t>(a) The following table represents the realized revenues related to derivative instruments that are accounted for under ASC 815 and included in the amounts above:</w:t>
      </w:r>
    </w:p>
    <w:p>
      <w:pPr>
        <w:spacing w:after="0" w:line="70"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418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6"/>
                <w:szCs w:val="16"/>
                <w:color w:val="auto"/>
              </w:rPr>
            </w:pPr>
          </w:p>
        </w:tc>
        <w:tc>
          <w:tcPr>
            <w:tcW w:w="840" w:type="dxa"/>
            <w:vAlign w:val="bottom"/>
            <w:vMerge w:val="restart"/>
          </w:tcPr>
          <w:p>
            <w:pPr>
              <w:jc w:val="right"/>
              <w:ind w:right="245"/>
              <w:spacing w:after="0"/>
              <w:rPr>
                <w:sz w:val="20"/>
                <w:szCs w:val="20"/>
                <w:color w:val="auto"/>
              </w:rPr>
            </w:pPr>
            <w:r>
              <w:rPr>
                <w:rFonts w:ascii="Arial" w:cs="Arial" w:eastAsia="Arial" w:hAnsi="Arial"/>
                <w:sz w:val="16"/>
                <w:szCs w:val="16"/>
                <w:b w:val="1"/>
                <w:bCs w:val="1"/>
                <w:color w:val="auto"/>
              </w:rPr>
              <w:t>Texas</w:t>
            </w:r>
          </w:p>
        </w:tc>
        <w:tc>
          <w:tcPr>
            <w:tcW w:w="8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820" w:type="dxa"/>
            <w:vAlign w:val="bottom"/>
            <w:vMerge w:val="restart"/>
          </w:tcPr>
          <w:p>
            <w:pPr>
              <w:jc w:val="right"/>
              <w:ind w:right="305"/>
              <w:spacing w:after="0"/>
              <w:rPr>
                <w:sz w:val="20"/>
                <w:szCs w:val="20"/>
                <w:color w:val="auto"/>
              </w:rPr>
            </w:pPr>
            <w:r>
              <w:rPr>
                <w:rFonts w:ascii="Arial" w:cs="Arial" w:eastAsia="Arial" w:hAnsi="Arial"/>
                <w:sz w:val="16"/>
                <w:szCs w:val="16"/>
                <w:b w:val="1"/>
                <w:bCs w:val="1"/>
                <w:color w:val="auto"/>
              </w:rPr>
              <w:t>East</w:t>
            </w:r>
          </w:p>
        </w:tc>
        <w:tc>
          <w:tcPr>
            <w:tcW w:w="6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w w:val="90"/>
              </w:rPr>
              <w:t>West/Services/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3"/>
              </w:rPr>
              <w:t>Corporate/</w:t>
            </w:r>
          </w:p>
        </w:tc>
        <w:tc>
          <w:tcPr>
            <w:tcW w:w="820" w:type="dxa"/>
            <w:vAlign w:val="bottom"/>
            <w:vMerge w:val="restart"/>
          </w:tcPr>
          <w:p>
            <w:pPr>
              <w:jc w:val="right"/>
              <w:ind w:right="26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41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Other</w:t>
            </w:r>
          </w:p>
        </w:tc>
        <w:tc>
          <w:tcPr>
            <w:tcW w:w="80" w:type="dxa"/>
            <w:vAlign w:val="bottom"/>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Eliminations</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180" w:type="dxa"/>
            <w:vAlign w:val="bottom"/>
          </w:tcPr>
          <w:p>
            <w:pPr>
              <w:ind w:left="160"/>
              <w:spacing w:after="0"/>
              <w:rPr>
                <w:sz w:val="20"/>
                <w:szCs w:val="20"/>
                <w:color w:val="auto"/>
              </w:rPr>
            </w:pPr>
            <w:r>
              <w:rPr>
                <w:rFonts w:ascii="Arial" w:cs="Arial" w:eastAsia="Arial" w:hAnsi="Arial"/>
                <w:sz w:val="20"/>
                <w:szCs w:val="20"/>
                <w:color w:val="auto"/>
                <w:w w:val="90"/>
              </w:rPr>
              <w:t xml:space="preserve">Retail revenue </w:t>
            </w:r>
            <w:r>
              <w:rPr>
                <w:rFonts w:ascii="Arial" w:cs="Arial" w:eastAsia="Arial" w:hAnsi="Arial"/>
                <w:sz w:val="20"/>
                <w:szCs w:val="20"/>
                <w:color w:val="B4B4B4"/>
                <w:w w:val="90"/>
              </w:rPr>
              <w:t>. . . . . . . . . . . . . . . . . . . . . . . . . . . .</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180" w:type="dxa"/>
            <w:vAlign w:val="bottom"/>
            <w:gridSpan w:val="3"/>
          </w:tcPr>
          <w:p>
            <w:pPr>
              <w:ind w:left="560"/>
              <w:spacing w:after="0"/>
              <w:rPr>
                <w:sz w:val="20"/>
                <w:szCs w:val="20"/>
                <w:color w:val="auto"/>
              </w:rPr>
            </w:pPr>
            <w:r>
              <w:rPr>
                <w:rFonts w:ascii="Arial" w:cs="Arial" w:eastAsia="Arial" w:hAnsi="Arial"/>
                <w:sz w:val="20"/>
                <w:szCs w:val="20"/>
                <w:color w:val="auto"/>
              </w:rPr>
              <w:t>—  $</w:t>
            </w:r>
          </w:p>
        </w:tc>
        <w:tc>
          <w:tcPr>
            <w:tcW w:w="820" w:type="dxa"/>
            <w:vAlign w:val="bottom"/>
          </w:tcPr>
          <w:p>
            <w:pPr>
              <w:jc w:val="right"/>
              <w:spacing w:after="0"/>
              <w:rPr>
                <w:sz w:val="20"/>
                <w:szCs w:val="20"/>
                <w:color w:val="auto"/>
              </w:rPr>
            </w:pPr>
            <w:r>
              <w:rPr>
                <w:rFonts w:ascii="Arial" w:cs="Arial" w:eastAsia="Arial" w:hAnsi="Arial"/>
                <w:sz w:val="20"/>
                <w:szCs w:val="20"/>
                <w:color w:val="auto"/>
              </w:rPr>
              <w:t>110</w:t>
            </w:r>
          </w:p>
        </w:tc>
        <w:tc>
          <w:tcPr>
            <w:tcW w:w="3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60" w:type="dxa"/>
            <w:vAlign w:val="bottom"/>
            <w:gridSpan w:val="3"/>
          </w:tcPr>
          <w:p>
            <w:pPr>
              <w:ind w:left="640"/>
              <w:spacing w:after="0"/>
              <w:rPr>
                <w:sz w:val="20"/>
                <w:szCs w:val="20"/>
                <w:color w:val="auto"/>
              </w:rPr>
            </w:pPr>
            <w:r>
              <w:rPr>
                <w:rFonts w:ascii="Arial" w:cs="Arial" w:eastAsia="Arial" w:hAnsi="Arial"/>
                <w:sz w:val="20"/>
                <w:szCs w:val="20"/>
                <w:color w:val="auto"/>
              </w:rPr>
              <w:t>—  $</w:t>
            </w:r>
          </w:p>
        </w:tc>
        <w:tc>
          <w:tcPr>
            <w:tcW w:w="820" w:type="dxa"/>
            <w:vAlign w:val="bottom"/>
          </w:tcPr>
          <w:p>
            <w:pPr>
              <w:jc w:val="right"/>
              <w:spacing w:after="0"/>
              <w:rPr>
                <w:sz w:val="20"/>
                <w:szCs w:val="20"/>
                <w:color w:val="auto"/>
              </w:rPr>
            </w:pPr>
            <w:r>
              <w:rPr>
                <w:rFonts w:ascii="Arial" w:cs="Arial" w:eastAsia="Arial" w:hAnsi="Arial"/>
                <w:sz w:val="20"/>
                <w:szCs w:val="20"/>
                <w:color w:val="auto"/>
              </w:rPr>
              <w:t>110</w:t>
            </w:r>
          </w:p>
        </w:tc>
        <w:tc>
          <w:tcPr>
            <w:tcW w:w="0" w:type="dxa"/>
            <w:vAlign w:val="bottom"/>
          </w:tcPr>
          <w:p>
            <w:pPr>
              <w:spacing w:after="0"/>
              <w:rPr>
                <w:sz w:val="1"/>
                <w:szCs w:val="1"/>
                <w:color w:val="auto"/>
              </w:rPr>
            </w:pPr>
          </w:p>
        </w:tc>
      </w:tr>
      <w:tr>
        <w:trPr>
          <w:trHeight w:val="297"/>
        </w:trPr>
        <w:tc>
          <w:tcPr>
            <w:tcW w:w="4180" w:type="dxa"/>
            <w:vAlign w:val="bottom"/>
          </w:tcPr>
          <w:p>
            <w:pPr>
              <w:ind w:left="160"/>
              <w:spacing w:after="0"/>
              <w:rPr>
                <w:sz w:val="20"/>
                <w:szCs w:val="20"/>
                <w:color w:val="auto"/>
              </w:rPr>
            </w:pPr>
            <w:r>
              <w:rPr>
                <w:rFonts w:ascii="Arial" w:cs="Arial" w:eastAsia="Arial" w:hAnsi="Arial"/>
                <w:sz w:val="20"/>
                <w:szCs w:val="20"/>
                <w:color w:val="auto"/>
                <w:w w:val="90"/>
              </w:rPr>
              <w:t xml:space="preserve">Energy revenue </w:t>
            </w:r>
            <w:r>
              <w:rPr>
                <w:rFonts w:ascii="Arial" w:cs="Arial" w:eastAsia="Arial" w:hAnsi="Arial"/>
                <w:sz w:val="20"/>
                <w:szCs w:val="20"/>
                <w:color w:val="B4B4B4"/>
                <w:w w:val="90"/>
              </w:rPr>
              <w:t>. . . . . . . . . . . . . . . . . . . . . . . . . . .</w:t>
            </w:r>
          </w:p>
        </w:tc>
        <w:tc>
          <w:tcPr>
            <w:tcW w:w="240" w:type="dxa"/>
            <w:vAlign w:val="bottom"/>
          </w:tcPr>
          <w:p>
            <w:pPr>
              <w:spacing w:after="0"/>
              <w:rPr>
                <w:sz w:val="24"/>
                <w:szCs w:val="24"/>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97"/>
        </w:trPr>
        <w:tc>
          <w:tcPr>
            <w:tcW w:w="4180" w:type="dxa"/>
            <w:vAlign w:val="bottom"/>
          </w:tcPr>
          <w:p>
            <w:pPr>
              <w:ind w:left="160"/>
              <w:spacing w:after="0"/>
              <w:rPr>
                <w:sz w:val="20"/>
                <w:szCs w:val="20"/>
                <w:color w:val="auto"/>
              </w:rPr>
            </w:pPr>
            <w:r>
              <w:rPr>
                <w:rFonts w:ascii="Arial" w:cs="Arial" w:eastAsia="Arial" w:hAnsi="Arial"/>
                <w:sz w:val="20"/>
                <w:szCs w:val="20"/>
                <w:color w:val="auto"/>
                <w:w w:val="91"/>
              </w:rPr>
              <w:t xml:space="preserve">Capacity revenue  </w:t>
            </w:r>
            <w:r>
              <w:rPr>
                <w:rFonts w:ascii="Arial" w:cs="Arial" w:eastAsia="Arial" w:hAnsi="Arial"/>
                <w:sz w:val="20"/>
                <w:szCs w:val="20"/>
                <w:color w:val="B4B4B4"/>
                <w:w w:val="91"/>
              </w:rPr>
              <w:t>. . . . . . . . . . . . . . . . . . . . . . . . .</w:t>
            </w:r>
          </w:p>
        </w:tc>
        <w:tc>
          <w:tcPr>
            <w:tcW w:w="240" w:type="dxa"/>
            <w:vAlign w:val="bottom"/>
          </w:tcPr>
          <w:p>
            <w:pPr>
              <w:spacing w:after="0"/>
              <w:rPr>
                <w:sz w:val="24"/>
                <w:szCs w:val="24"/>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297"/>
        </w:trPr>
        <w:tc>
          <w:tcPr>
            <w:tcW w:w="4180" w:type="dxa"/>
            <w:vAlign w:val="bottom"/>
          </w:tcPr>
          <w:p>
            <w:pPr>
              <w:ind w:left="160"/>
              <w:spacing w:after="0"/>
              <w:rPr>
                <w:sz w:val="20"/>
                <w:szCs w:val="20"/>
                <w:color w:val="auto"/>
              </w:rPr>
            </w:pPr>
            <w:r>
              <w:rPr>
                <w:rFonts w:ascii="Arial" w:cs="Arial" w:eastAsia="Arial" w:hAnsi="Arial"/>
                <w:sz w:val="20"/>
                <w:szCs w:val="20"/>
                <w:color w:val="auto"/>
                <w:w w:val="91"/>
              </w:rPr>
              <w:t xml:space="preserve">Other revenue </w:t>
            </w:r>
            <w:r>
              <w:rPr>
                <w:rFonts w:ascii="Arial" w:cs="Arial" w:eastAsia="Arial" w:hAnsi="Arial"/>
                <w:sz w:val="20"/>
                <w:szCs w:val="20"/>
                <w:color w:val="B4B4B4"/>
                <w:w w:val="91"/>
              </w:rPr>
              <w:t>. . . . . . . . . . . . . . . . . . . . . . . . . . . .</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-758825</wp:posOffset>
            </wp:positionV>
            <wp:extent cx="6475095" cy="939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7">
                      <a:extLst>
                        <a:ext uri="{28A0092B-C50C-407E-A947-70E740481C1C}"/>
                      </a:extLst>
                    </a:blip>
                    <a:srcRect/>
                    <a:stretch>
                      <a:fillRect/>
                    </a:stretch>
                  </pic:blipFill>
                  <pic:spPr bwMode="auto">
                    <a:xfrm>
                      <a:off x="0" y="0"/>
                      <a:ext cx="6475095" cy="939800"/>
                    </a:xfrm>
                    <a:prstGeom prst="rect">
                      <a:avLst/>
                    </a:prstGeom>
                    <a:noFill/>
                  </pic:spPr>
                </pic:pic>
              </a:graphicData>
            </a:graphic>
          </wp:anchor>
        </w:drawing>
      </w:r>
    </w:p>
    <w:p>
      <w:pPr>
        <w:spacing w:after="0" w:line="35" w:lineRule="exact"/>
        <w:rPr>
          <w:sz w:val="20"/>
          <w:szCs w:val="20"/>
          <w:color w:val="auto"/>
        </w:rPr>
      </w:pPr>
    </w:p>
    <w:p>
      <w:pPr>
        <w:ind w:left="60"/>
        <w:spacing w:after="0"/>
        <w:rPr>
          <w:sz w:val="20"/>
          <w:szCs w:val="20"/>
          <w:color w:val="auto"/>
        </w:rPr>
      </w:pPr>
      <w:r>
        <w:rPr>
          <w:rFonts w:ascii="Arial" w:cs="Arial" w:eastAsia="Arial" w:hAnsi="Arial"/>
          <w:sz w:val="15"/>
          <w:szCs w:val="15"/>
          <w:color w:val="auto"/>
        </w:rPr>
        <w:t>(b) Revenue relates entirely to unrealized gains and losses on derivative instruments accounted for under ASC 815</w:t>
      </w:r>
    </w:p>
    <w:p>
      <w:pPr>
        <w:spacing w:after="0" w:line="24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Contract Balances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reflects the contract assets and liabilities included in the Company's balance sheet as of December 31,</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2024 and 2023:</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22"/>
              <w:spacing w:after="0"/>
              <w:rPr>
                <w:sz w:val="20"/>
                <w:szCs w:val="20"/>
                <w:color w:val="auto"/>
              </w:rPr>
            </w:pPr>
            <w:r>
              <w:rPr>
                <w:rFonts w:ascii="Arial" w:cs="Arial" w:eastAsia="Arial" w:hAnsi="Arial"/>
                <w:sz w:val="18"/>
                <w:szCs w:val="18"/>
                <w:b w:val="1"/>
                <w:bCs w:val="1"/>
                <w:color w:val="auto"/>
                <w:w w:val="90"/>
              </w:rPr>
              <w:t>December 31, 2024</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22"/>
              <w:spacing w:after="0"/>
              <w:rPr>
                <w:sz w:val="20"/>
                <w:szCs w:val="20"/>
                <w:color w:val="auto"/>
              </w:rPr>
            </w:pPr>
            <w:r>
              <w:rPr>
                <w:rFonts w:ascii="Arial" w:cs="Arial" w:eastAsia="Arial" w:hAnsi="Arial"/>
                <w:sz w:val="18"/>
                <w:szCs w:val="18"/>
                <w:b w:val="1"/>
                <w:bCs w:val="1"/>
                <w:color w:val="auto"/>
                <w:w w:val="90"/>
              </w:rPr>
              <w:t>December 31, 2023</w:t>
            </w:r>
          </w:p>
        </w:tc>
        <w:tc>
          <w:tcPr>
            <w:tcW w:w="0" w:type="dxa"/>
            <w:vAlign w:val="bottom"/>
          </w:tcPr>
          <w:p>
            <w:pPr>
              <w:spacing w:after="0"/>
              <w:rPr>
                <w:sz w:val="1"/>
                <w:szCs w:val="1"/>
                <w:color w:val="auto"/>
              </w:rPr>
            </w:pPr>
          </w:p>
        </w:tc>
      </w:tr>
      <w:tr>
        <w:trPr>
          <w:trHeight w:val="210"/>
        </w:trPr>
        <w:tc>
          <w:tcPr>
            <w:tcW w:w="6260" w:type="dxa"/>
            <w:vAlign w:val="bottom"/>
          </w:tcPr>
          <w:p>
            <w:pPr>
              <w:spacing w:after="0" w:line="209" w:lineRule="exact"/>
              <w:rPr>
                <w:sz w:val="20"/>
                <w:szCs w:val="20"/>
                <w:color w:val="auto"/>
              </w:rPr>
            </w:pPr>
            <w:r>
              <w:rPr>
                <w:rFonts w:ascii="Arial" w:cs="Arial" w:eastAsia="Arial" w:hAnsi="Arial"/>
                <w:sz w:val="20"/>
                <w:szCs w:val="20"/>
                <w:color w:val="auto"/>
                <w:w w:val="91"/>
              </w:rPr>
              <w:t>Capitalized contract costs (included in Prepayments and other current assets</w:t>
            </w: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700" w:type="dxa"/>
            <w:vAlign w:val="bottom"/>
            <w:vMerge w:val="restart"/>
          </w:tcPr>
          <w:p>
            <w:pPr>
              <w:jc w:val="right"/>
              <w:spacing w:after="0"/>
              <w:rPr>
                <w:sz w:val="20"/>
                <w:szCs w:val="20"/>
                <w:color w:val="auto"/>
              </w:rPr>
            </w:pPr>
            <w:r>
              <w:rPr>
                <w:rFonts w:ascii="Arial" w:cs="Arial" w:eastAsia="Arial" w:hAnsi="Arial"/>
                <w:sz w:val="20"/>
                <w:szCs w:val="20"/>
                <w:color w:val="auto"/>
              </w:rPr>
              <w:t>1,220</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w:t>
            </w:r>
          </w:p>
        </w:tc>
        <w:tc>
          <w:tcPr>
            <w:tcW w:w="1700" w:type="dxa"/>
            <w:vAlign w:val="bottom"/>
            <w:vMerge w:val="restart"/>
          </w:tcPr>
          <w:p>
            <w:pPr>
              <w:jc w:val="right"/>
              <w:spacing w:after="0"/>
              <w:rPr>
                <w:sz w:val="20"/>
                <w:szCs w:val="20"/>
                <w:color w:val="auto"/>
              </w:rPr>
            </w:pPr>
            <w:r>
              <w:rPr>
                <w:rFonts w:ascii="Arial" w:cs="Arial" w:eastAsia="Arial" w:hAnsi="Arial"/>
                <w:sz w:val="20"/>
                <w:szCs w:val="20"/>
                <w:color w:val="auto"/>
              </w:rPr>
              <w:t>706</w:t>
            </w:r>
          </w:p>
        </w:tc>
        <w:tc>
          <w:tcPr>
            <w:tcW w:w="0" w:type="dxa"/>
            <w:vAlign w:val="bottom"/>
          </w:tcPr>
          <w:p>
            <w:pPr>
              <w:spacing w:after="0"/>
              <w:rPr>
                <w:sz w:val="1"/>
                <w:szCs w:val="1"/>
                <w:color w:val="auto"/>
              </w:rPr>
            </w:pPr>
          </w:p>
        </w:tc>
      </w:tr>
      <w:tr>
        <w:trPr>
          <w:trHeight w:val="258"/>
        </w:trPr>
        <w:tc>
          <w:tcPr>
            <w:tcW w:w="6260" w:type="dxa"/>
            <w:vAlign w:val="bottom"/>
          </w:tcPr>
          <w:p>
            <w:pPr>
              <w:spacing w:after="0"/>
              <w:rPr>
                <w:sz w:val="20"/>
                <w:szCs w:val="20"/>
                <w:color w:val="auto"/>
              </w:rPr>
            </w:pPr>
            <w:r>
              <w:rPr>
                <w:rFonts w:ascii="Arial" w:cs="Arial" w:eastAsia="Arial" w:hAnsi="Arial"/>
                <w:sz w:val="20"/>
                <w:szCs w:val="20"/>
                <w:color w:val="auto"/>
                <w:w w:val="90"/>
              </w:rPr>
              <w:t xml:space="preserve">and Other non-current assets) </w:t>
            </w:r>
            <w:r>
              <w:rPr>
                <w:rFonts w:ascii="Arial" w:cs="Arial" w:eastAsia="Arial" w:hAnsi="Arial"/>
                <w:sz w:val="20"/>
                <w:szCs w:val="20"/>
                <w:color w:val="B4B4B4"/>
                <w:w w:val="90"/>
              </w:rPr>
              <w:t>. . . . . . . . . . . . . . . . . . . . . . . . . . . . . . . . . . . . . .</w:t>
            </w:r>
          </w:p>
        </w:tc>
        <w:tc>
          <w:tcPr>
            <w:tcW w:w="200" w:type="dxa"/>
            <w:vAlign w:val="bottom"/>
            <w:vMerge w:val="continue"/>
          </w:tcPr>
          <w:p>
            <w:pPr>
              <w:spacing w:after="0"/>
              <w:rPr>
                <w:sz w:val="22"/>
                <w:szCs w:val="22"/>
                <w:color w:val="auto"/>
              </w:rPr>
            </w:pPr>
          </w:p>
        </w:tc>
        <w:tc>
          <w:tcPr>
            <w:tcW w:w="17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08"/>
        </w:trPr>
        <w:tc>
          <w:tcPr>
            <w:tcW w:w="6260" w:type="dxa"/>
            <w:vAlign w:val="bottom"/>
          </w:tcPr>
          <w:p>
            <w:pPr>
              <w:spacing w:after="0"/>
              <w:rPr>
                <w:sz w:val="20"/>
                <w:szCs w:val="20"/>
                <w:color w:val="auto"/>
              </w:rPr>
            </w:pPr>
            <w:r>
              <w:rPr>
                <w:rFonts w:ascii="Arial" w:cs="Arial" w:eastAsia="Arial" w:hAnsi="Arial"/>
                <w:sz w:val="20"/>
                <w:szCs w:val="20"/>
                <w:color w:val="auto"/>
                <w:w w:val="91"/>
              </w:rPr>
              <w:t xml:space="preserve">Accounts receivable, net - Contracts with customers </w:t>
            </w:r>
            <w:r>
              <w:rPr>
                <w:rFonts w:ascii="Arial" w:cs="Arial" w:eastAsia="Arial" w:hAnsi="Arial"/>
                <w:sz w:val="20"/>
                <w:szCs w:val="20"/>
                <w:color w:val="B4B4B4"/>
                <w:w w:val="91"/>
              </w:rPr>
              <w:t>. . . . . . . . . . . . . . . . . . . .</w:t>
            </w:r>
          </w:p>
        </w:tc>
        <w:tc>
          <w:tcPr>
            <w:tcW w:w="2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3,393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3,395</w:t>
            </w:r>
          </w:p>
        </w:tc>
        <w:tc>
          <w:tcPr>
            <w:tcW w:w="0" w:type="dxa"/>
            <w:vAlign w:val="bottom"/>
          </w:tcPr>
          <w:p>
            <w:pPr>
              <w:spacing w:after="0"/>
              <w:rPr>
                <w:sz w:val="1"/>
                <w:szCs w:val="1"/>
                <w:color w:val="auto"/>
              </w:rPr>
            </w:pPr>
          </w:p>
        </w:tc>
      </w:tr>
      <w:tr>
        <w:trPr>
          <w:trHeight w:val="297"/>
        </w:trPr>
        <w:tc>
          <w:tcPr>
            <w:tcW w:w="6260" w:type="dxa"/>
            <w:vAlign w:val="bottom"/>
          </w:tcPr>
          <w:p>
            <w:pPr>
              <w:spacing w:after="0"/>
              <w:rPr>
                <w:sz w:val="20"/>
                <w:szCs w:val="20"/>
                <w:color w:val="auto"/>
              </w:rPr>
            </w:pPr>
            <w:r>
              <w:rPr>
                <w:rFonts w:ascii="Arial" w:cs="Arial" w:eastAsia="Arial" w:hAnsi="Arial"/>
                <w:sz w:val="20"/>
                <w:szCs w:val="20"/>
                <w:color w:val="auto"/>
                <w:w w:val="92"/>
              </w:rPr>
              <w:t xml:space="preserve">Accounts receivable, net - Accounted for under topics other than ASC 606 </w:t>
            </w:r>
            <w:r>
              <w:rPr>
                <w:rFonts w:ascii="Arial" w:cs="Arial" w:eastAsia="Arial" w:hAnsi="Arial"/>
                <w:sz w:val="20"/>
                <w:szCs w:val="20"/>
                <w:color w:val="B4B4B4"/>
                <w:w w:val="92"/>
              </w:rPr>
              <w:t>. .</w:t>
            </w:r>
          </w:p>
        </w:tc>
        <w:tc>
          <w:tcPr>
            <w:tcW w:w="2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90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136</w:t>
            </w:r>
          </w:p>
        </w:tc>
        <w:tc>
          <w:tcPr>
            <w:tcW w:w="0" w:type="dxa"/>
            <w:vAlign w:val="bottom"/>
          </w:tcPr>
          <w:p>
            <w:pPr>
              <w:spacing w:after="0"/>
              <w:rPr>
                <w:sz w:val="1"/>
                <w:szCs w:val="1"/>
                <w:color w:val="auto"/>
              </w:rPr>
            </w:pPr>
          </w:p>
        </w:tc>
      </w:tr>
      <w:tr>
        <w:trPr>
          <w:trHeight w:val="299"/>
        </w:trPr>
        <w:tc>
          <w:tcPr>
            <w:tcW w:w="6260" w:type="dxa"/>
            <w:vAlign w:val="bottom"/>
          </w:tcPr>
          <w:p>
            <w:pPr>
              <w:spacing w:after="0"/>
              <w:rPr>
                <w:sz w:val="20"/>
                <w:szCs w:val="20"/>
                <w:color w:val="auto"/>
              </w:rPr>
            </w:pPr>
            <w:r>
              <w:rPr>
                <w:rFonts w:ascii="Arial" w:cs="Arial" w:eastAsia="Arial" w:hAnsi="Arial"/>
                <w:sz w:val="20"/>
                <w:szCs w:val="20"/>
                <w:color w:val="auto"/>
                <w:w w:val="92"/>
              </w:rPr>
              <w:t xml:space="preserve">Accounts receivable, net - Affiliate  </w:t>
            </w:r>
            <w:r>
              <w:rPr>
                <w:rFonts w:ascii="Arial" w:cs="Arial" w:eastAsia="Arial" w:hAnsi="Arial"/>
                <w:sz w:val="20"/>
                <w:szCs w:val="20"/>
                <w:color w:val="B4B4B4"/>
                <w:w w:val="92"/>
              </w:rPr>
              <w:t>. . . . . . . . . . . . . . . . . . . . . . . . . . . . . . . . .</w:t>
            </w: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57"/>
        </w:trPr>
        <w:tc>
          <w:tcPr>
            <w:tcW w:w="6260" w:type="dxa"/>
            <w:vAlign w:val="bottom"/>
          </w:tcPr>
          <w:p>
            <w:pPr>
              <w:ind w:left="340"/>
              <w:spacing w:after="0"/>
              <w:rPr>
                <w:sz w:val="20"/>
                <w:szCs w:val="20"/>
                <w:color w:val="auto"/>
              </w:rPr>
            </w:pPr>
            <w:r>
              <w:rPr>
                <w:rFonts w:ascii="Arial" w:cs="Arial" w:eastAsia="Arial" w:hAnsi="Arial"/>
                <w:sz w:val="20"/>
                <w:szCs w:val="20"/>
                <w:color w:val="auto"/>
                <w:w w:val="91"/>
              </w:rPr>
              <w:t xml:space="preserve">Total accounts receivable, net </w:t>
            </w:r>
            <w:r>
              <w:rPr>
                <w:rFonts w:ascii="Arial" w:cs="Arial" w:eastAsia="Arial" w:hAnsi="Arial"/>
                <w:sz w:val="20"/>
                <w:szCs w:val="20"/>
                <w:color w:val="B4B4B4"/>
                <w:w w:val="91"/>
              </w:rPr>
              <w:t>.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3,488</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3,542</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20"/>
                <w:szCs w:val="20"/>
                <w:color w:val="auto"/>
                <w:w w:val="92"/>
              </w:rPr>
              <w:t>Unbilled revenues (included within Accounts receivable, net - Contracts with</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260" w:type="dxa"/>
            <w:vAlign w:val="bottom"/>
            <w:vMerge w:val="continue"/>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700" w:type="dxa"/>
            <w:vAlign w:val="bottom"/>
            <w:vMerge w:val="restart"/>
          </w:tcPr>
          <w:p>
            <w:pPr>
              <w:jc w:val="right"/>
              <w:spacing w:after="0"/>
              <w:rPr>
                <w:sz w:val="20"/>
                <w:szCs w:val="20"/>
                <w:color w:val="auto"/>
              </w:rPr>
            </w:pPr>
            <w:r>
              <w:rPr>
                <w:rFonts w:ascii="Arial" w:cs="Arial" w:eastAsia="Arial" w:hAnsi="Arial"/>
                <w:sz w:val="20"/>
                <w:szCs w:val="20"/>
                <w:color w:val="auto"/>
              </w:rPr>
              <w:t>1,548</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w:t>
            </w:r>
          </w:p>
        </w:tc>
        <w:tc>
          <w:tcPr>
            <w:tcW w:w="1700" w:type="dxa"/>
            <w:vAlign w:val="bottom"/>
            <w:vMerge w:val="restart"/>
          </w:tcPr>
          <w:p>
            <w:pPr>
              <w:jc w:val="right"/>
              <w:spacing w:after="0"/>
              <w:rPr>
                <w:sz w:val="20"/>
                <w:szCs w:val="20"/>
                <w:color w:val="auto"/>
              </w:rPr>
            </w:pPr>
            <w:r>
              <w:rPr>
                <w:rFonts w:ascii="Arial" w:cs="Arial" w:eastAsia="Arial" w:hAnsi="Arial"/>
                <w:sz w:val="20"/>
                <w:szCs w:val="20"/>
                <w:color w:val="auto"/>
              </w:rPr>
              <w:t>1,493</w:t>
            </w:r>
          </w:p>
        </w:tc>
        <w:tc>
          <w:tcPr>
            <w:tcW w:w="0" w:type="dxa"/>
            <w:vAlign w:val="bottom"/>
          </w:tcPr>
          <w:p>
            <w:pPr>
              <w:spacing w:after="0"/>
              <w:rPr>
                <w:sz w:val="1"/>
                <w:szCs w:val="1"/>
                <w:color w:val="auto"/>
              </w:rPr>
            </w:pPr>
          </w:p>
        </w:tc>
      </w:tr>
      <w:tr>
        <w:trPr>
          <w:trHeight w:val="258"/>
        </w:trPr>
        <w:tc>
          <w:tcPr>
            <w:tcW w:w="6260" w:type="dxa"/>
            <w:vAlign w:val="bottom"/>
          </w:tcPr>
          <w:p>
            <w:pPr>
              <w:spacing w:after="0"/>
              <w:rPr>
                <w:sz w:val="20"/>
                <w:szCs w:val="20"/>
                <w:color w:val="auto"/>
              </w:rPr>
            </w:pPr>
            <w:r>
              <w:rPr>
                <w:rFonts w:ascii="Arial" w:cs="Arial" w:eastAsia="Arial" w:hAnsi="Arial"/>
                <w:sz w:val="20"/>
                <w:szCs w:val="20"/>
                <w:color w:val="auto"/>
                <w:w w:val="90"/>
              </w:rPr>
              <w:t xml:space="preserve">customers) </w:t>
            </w:r>
            <w:r>
              <w:rPr>
                <w:rFonts w:ascii="Arial" w:cs="Arial" w:eastAsia="Arial" w:hAnsi="Arial"/>
                <w:sz w:val="20"/>
                <w:szCs w:val="20"/>
                <w:color w:val="B4B4B4"/>
                <w:w w:val="90"/>
              </w:rPr>
              <w:t>. . . . . . . . . . . . . . . . . . . . . . . . . . . . . . . . . . . . . . . . . . . . . . . . . . . . .</w:t>
            </w:r>
          </w:p>
        </w:tc>
        <w:tc>
          <w:tcPr>
            <w:tcW w:w="200" w:type="dxa"/>
            <w:vAlign w:val="bottom"/>
            <w:vMerge w:val="continue"/>
          </w:tcPr>
          <w:p>
            <w:pPr>
              <w:spacing w:after="0"/>
              <w:rPr>
                <w:sz w:val="22"/>
                <w:szCs w:val="22"/>
                <w:color w:val="auto"/>
              </w:rPr>
            </w:pPr>
          </w:p>
        </w:tc>
        <w:tc>
          <w:tcPr>
            <w:tcW w:w="17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6260" w:type="dxa"/>
            <w:vAlign w:val="bottom"/>
          </w:tcPr>
          <w:p>
            <w:pPr>
              <w:spacing w:after="0"/>
              <w:rPr>
                <w:sz w:val="20"/>
                <w:szCs w:val="20"/>
                <w:color w:val="auto"/>
              </w:rPr>
            </w:pPr>
            <w:r>
              <w:rPr>
                <w:rFonts w:ascii="Arial" w:cs="Arial" w:eastAsia="Arial" w:hAnsi="Arial"/>
                <w:sz w:val="20"/>
                <w:szCs w:val="20"/>
                <w:color w:val="auto"/>
                <w:w w:val="90"/>
              </w:rPr>
              <w:t>Deferred revenues</w:t>
            </w:r>
            <w:r>
              <w:rPr>
                <w:rFonts w:ascii="Arial" w:cs="Arial" w:eastAsia="Arial" w:hAnsi="Arial"/>
                <w:sz w:val="25"/>
                <w:szCs w:val="25"/>
                <w:color w:val="auto"/>
                <w:w w:val="90"/>
                <w:vertAlign w:val="superscript"/>
              </w:rPr>
              <w:t>(a)</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1,573</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1,634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-2004695</wp:posOffset>
            </wp:positionV>
            <wp:extent cx="6475095" cy="19869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8">
                      <a:extLst>
                        <a:ext uri="{28A0092B-C50C-407E-A947-70E740481C1C}"/>
                      </a:extLst>
                    </a:blip>
                    <a:srcRect/>
                    <a:stretch>
                      <a:fillRect/>
                    </a:stretch>
                  </pic:blipFill>
                  <pic:spPr bwMode="auto">
                    <a:xfrm>
                      <a:off x="0" y="0"/>
                      <a:ext cx="6475095" cy="198691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(a) Deferred revenues from contracts with customers as of December 31, 2024 and 2023 were approximately $1.5 billion and $1.6 billion, respectively.</w:t>
      </w:r>
    </w:p>
    <w:p>
      <w:pPr>
        <w:spacing w:after="0" w:line="12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revenue recognized from contracts with customers during the years ended December 31, 2024 and 2023 relating to the deferred revenue balance at the beginning of each period was $606 million and $168 million, respectively, which increased primarily due to the acquisition of Vivint Smart Home.</w:t>
      </w:r>
    </w:p>
    <w:p>
      <w:pPr>
        <w:spacing w:after="0" w:line="7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The Company's capitalized contract costs consist of fulfillment costs, commission payments, broker fees and other costs that represent incremental costs of obtaining the contract with customers for which the Company expects to recover. Capitalized contract costs are amortized to depreciation and amortization on a straight-line basis over the expected period of benefit of five years.</w:t>
      </w:r>
    </w:p>
    <w:p>
      <w:pPr>
        <w:sectPr>
          <w:pgSz w:w="11880" w:h="15480" w:orient="portrait"/>
          <w:cols w:equalWidth="0" w:num="1">
            <w:col w:w="10160"/>
          </w:cols>
          <w:pgMar w:left="860" w:top="6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ectPr>
          <w:pgSz w:w="11880" w:h="15480" w:orient="portrait"/>
          <w:cols w:equalWidth="0" w:num="1">
            <w:col w:w="10160"/>
          </w:cols>
          <w:pgMar w:left="860" w:top="605" w:right="860" w:bottom="0" w:gutter="0" w:footer="0" w:header="0"/>
          <w:type w:val="continuous"/>
        </w:sectPr>
      </w:pPr>
    </w:p>
    <w:bookmarkStart w:id="110" w:name="page111"/>
    <w:bookmarkEnd w:id="110"/>
    <w:p>
      <w:pPr>
        <w:jc w:val="both"/>
        <w:ind w:firstLine="445"/>
        <w:spacing w:after="0" w:line="295" w:lineRule="auto"/>
        <w:rPr>
          <w:sz w:val="20"/>
          <w:szCs w:val="20"/>
          <w:color w:val="auto"/>
        </w:rPr>
      </w:pPr>
      <w:r>
        <w:rPr>
          <w:rFonts w:ascii="Arial" w:cs="Arial" w:eastAsia="Arial" w:hAnsi="Arial"/>
          <w:sz w:val="18"/>
          <w:szCs w:val="18"/>
          <w:color w:val="auto"/>
        </w:rPr>
        <w:t>When the Company receives consideration from the customer that is in excess of the amount due, such consideration is reclassified to deferred revenue, which represents a contract liability. Smart home products and services performance obligations are recognized over the customer's contract term, which is generally three to five years. Energy contract liabilities are generally recognized to revenue in the next period as the Company satisfies its performance obligations.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w:t>
      </w:r>
      <w:r>
        <w:rPr>
          <w:rFonts w:ascii="Arial" w:cs="Arial" w:eastAsia="Arial" w:hAnsi="Arial"/>
          <w:sz w:val="20"/>
          <w:szCs w:val="20"/>
          <w:b w:val="1"/>
          <w:bCs w:val="1"/>
          <w:i w:val="1"/>
          <w:iCs w:val="1"/>
          <w:color w:val="auto"/>
        </w:rPr>
        <w:t>Acquisitions and Dispositions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Acquisitions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2023 Acquisition</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Vivint Smart Home Acquisition</w:t>
      </w:r>
    </w:p>
    <w:p>
      <w:pPr>
        <w:spacing w:after="0" w:line="130" w:lineRule="exact"/>
        <w:rPr>
          <w:sz w:val="20"/>
          <w:szCs w:val="20"/>
          <w:color w:val="auto"/>
        </w:rPr>
      </w:pPr>
    </w:p>
    <w:p>
      <w:pPr>
        <w:jc w:val="both"/>
        <w:ind w:firstLine="445"/>
        <w:spacing w:after="0" w:line="281" w:lineRule="auto"/>
        <w:rPr>
          <w:sz w:val="20"/>
          <w:szCs w:val="20"/>
          <w:color w:val="auto"/>
        </w:rPr>
      </w:pPr>
      <w:r>
        <w:rPr>
          <w:rFonts w:ascii="Arial" w:cs="Arial" w:eastAsia="Arial" w:hAnsi="Arial"/>
          <w:sz w:val="18"/>
          <w:szCs w:val="18"/>
          <w:color w:val="auto"/>
        </w:rPr>
        <w:t>On March 10, 2023 (the "Acquisition Closing Date"), the Company completed the acquisition of Vivint Smart Home, Inc., pursuant to the Agreement and Plan of Merger, dated as of December 6, 2022, by and among the Company, Vivint Smart Home, Inc. and Jetson Merger Sub, Inc., a wholly-owned subsidiary of the Company (“Merger Sub”) pursuant to which Merger Sub merged with and into Vivint Smart Home, Inc., with Vivint Smart Home, Inc. surviving the merger as a wholly-owned subsidiary of the Company. Dedicated to redefining the home experience with intelligent products and services, Vivint Smart Home brought approximately two million subscribers to NRG. Vivint Smart Home's single, expandable platform incorporates artificial intelligence and machine learning into its operating system and its vertically integrated business model includes hardware, software, sales, installation, customer service and technical support and professional monitoring, enabling superior subscriber experiences and a complete end-to-end smart home experience. The acquisition accelerated the realization of NRG's consumer-focused growth strategy and creates a leading essential home services platform fueled by market-leading brands, unparalleled insights, proprietary technologies and complementary sales channels.</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NRG paid $12 per share, or approximately $2.6 billion in cash. The Company funded the acquisition using:</w:t>
      </w:r>
    </w:p>
    <w:p>
      <w:pPr>
        <w:spacing w:after="0" w:line="126" w:lineRule="exact"/>
        <w:rPr>
          <w:sz w:val="20"/>
          <w:szCs w:val="20"/>
          <w:color w:val="auto"/>
        </w:rPr>
      </w:pPr>
    </w:p>
    <w:p>
      <w:pPr>
        <w:ind w:left="720" w:hanging="362"/>
        <w:spacing w:after="0" w:line="277" w:lineRule="auto"/>
        <w:tabs>
          <w:tab w:leader="none" w:pos="7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proceeds of $724 million from newly issued $740 million 7.000% Senior Secured First Lien Notes due 2033, net of issuance costs and discount;</w:t>
      </w:r>
    </w:p>
    <w:p>
      <w:pPr>
        <w:spacing w:after="0" w:line="3" w:lineRule="exact"/>
        <w:rPr>
          <w:rFonts w:ascii="Arial" w:cs="Arial" w:eastAsia="Arial" w:hAnsi="Arial"/>
          <w:sz w:val="20"/>
          <w:szCs w:val="20"/>
          <w:color w:val="auto"/>
        </w:rPr>
      </w:pPr>
    </w:p>
    <w:p>
      <w:pPr>
        <w:ind w:left="720" w:hanging="362"/>
        <w:spacing w:after="0" w:line="277" w:lineRule="auto"/>
        <w:tabs>
          <w:tab w:leader="none" w:pos="7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proceeds of $635 million from newly issued $650 million 10.25% Series A Fixed-Rate Reset Cumulative Redeemable Perpetual Preferred Stock, net of issuance costs;</w:t>
      </w:r>
    </w:p>
    <w:p>
      <w:pPr>
        <w:spacing w:after="0" w:line="3" w:lineRule="exact"/>
        <w:rPr>
          <w:rFonts w:ascii="Arial" w:cs="Arial" w:eastAsia="Arial" w:hAnsi="Arial"/>
          <w:sz w:val="20"/>
          <w:szCs w:val="20"/>
          <w:color w:val="auto"/>
        </w:rPr>
      </w:pPr>
    </w:p>
    <w:p>
      <w:pPr>
        <w:ind w:left="720" w:hanging="362"/>
        <w:spacing w:after="0" w:line="277" w:lineRule="auto"/>
        <w:tabs>
          <w:tab w:leader="none" w:pos="7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proceeds of approximately $900 million drawn from its Revolving Credit Facility and Receivables Securitization Facilities; and</w:t>
      </w:r>
    </w:p>
    <w:p>
      <w:pPr>
        <w:spacing w:after="0" w:line="3" w:lineRule="exact"/>
        <w:rPr>
          <w:rFonts w:ascii="Arial" w:cs="Arial" w:eastAsia="Arial" w:hAnsi="Arial"/>
          <w:sz w:val="20"/>
          <w:szCs w:val="20"/>
          <w:color w:val="auto"/>
        </w:rPr>
      </w:pPr>
    </w:p>
    <w:p>
      <w:pPr>
        <w:ind w:left="720" w:hanging="362"/>
        <w:spacing w:after="0"/>
        <w:tabs>
          <w:tab w:leader="none" w:pos="7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cash on hand.</w:t>
      </w:r>
    </w:p>
    <w:p>
      <w:pPr>
        <w:spacing w:after="0" w:line="126" w:lineRule="exact"/>
        <w:rPr>
          <w:sz w:val="20"/>
          <w:szCs w:val="20"/>
          <w:color w:val="auto"/>
        </w:rPr>
      </w:pPr>
    </w:p>
    <w:p>
      <w:pPr>
        <w:ind w:firstLine="445"/>
        <w:spacing w:after="0" w:line="304" w:lineRule="auto"/>
        <w:rPr>
          <w:sz w:val="20"/>
          <w:szCs w:val="20"/>
          <w:color w:val="auto"/>
        </w:rPr>
      </w:pPr>
      <w:r>
        <w:rPr>
          <w:rFonts w:ascii="Arial" w:cs="Arial" w:eastAsia="Arial" w:hAnsi="Arial"/>
          <w:sz w:val="19"/>
          <w:szCs w:val="19"/>
          <w:color w:val="auto"/>
        </w:rPr>
        <w:t>Acquisition costs of $38 million and $17 million for the years ended December 31, 2023 and 2022, respectively, are included in acquisition-related transaction and integration costs in the Company's consolidated statement of operations.</w:t>
      </w:r>
    </w:p>
    <w:p>
      <w:pPr>
        <w:spacing w:after="0" w:line="40" w:lineRule="exact"/>
        <w:rPr>
          <w:sz w:val="20"/>
          <w:szCs w:val="20"/>
          <w:color w:val="auto"/>
        </w:rPr>
      </w:pPr>
    </w:p>
    <w:p>
      <w:pPr>
        <w:ind w:firstLine="445"/>
        <w:spacing w:after="0" w:line="335" w:lineRule="auto"/>
        <w:rPr>
          <w:sz w:val="20"/>
          <w:szCs w:val="20"/>
          <w:color w:val="auto"/>
        </w:rPr>
      </w:pPr>
      <w:r>
        <w:rPr>
          <w:rFonts w:ascii="Arial" w:cs="Arial" w:eastAsia="Arial" w:hAnsi="Arial"/>
          <w:sz w:val="18"/>
          <w:szCs w:val="18"/>
          <w:color w:val="auto"/>
        </w:rPr>
        <w:t>The acquisition has been recorded as a business combination under ASC 805, with identifiable assets and liabilities acquired recorded at their estimated Acquisition Closing Date fair value. The total consideration of $2.623 billion includes:</w:t>
      </w:r>
    </w:p>
    <w:p>
      <w:pPr>
        <w:spacing w:after="0" w:line="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64"/>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0"/>
        </w:trPr>
        <w:tc>
          <w:tcPr>
            <w:tcW w:w="8560" w:type="dxa"/>
            <w:vAlign w:val="bottom"/>
          </w:tcPr>
          <w:p>
            <w:pPr>
              <w:ind w:left="120"/>
              <w:spacing w:after="0" w:line="209" w:lineRule="exact"/>
              <w:rPr>
                <w:sz w:val="20"/>
                <w:szCs w:val="20"/>
                <w:color w:val="auto"/>
              </w:rPr>
            </w:pPr>
            <w:r>
              <w:rPr>
                <w:rFonts w:ascii="Arial" w:cs="Arial" w:eastAsia="Arial" w:hAnsi="Arial"/>
                <w:sz w:val="20"/>
                <w:szCs w:val="20"/>
                <w:color w:val="auto"/>
                <w:w w:val="91"/>
              </w:rPr>
              <w:t>Vivint Smart Home, Inc. common shares outstanding as of March 10, 2023 of 216,901,639 at $12.00 per</w:t>
            </w:r>
          </w:p>
        </w:tc>
        <w:tc>
          <w:tcPr>
            <w:tcW w:w="260" w:type="dxa"/>
            <w:vAlign w:val="bottom"/>
            <w:vMerge w:val="restart"/>
          </w:tcPr>
          <w:p>
            <w:pPr>
              <w:jc w:val="right"/>
              <w:ind w:right="1"/>
              <w:spacing w:after="0"/>
              <w:rPr>
                <w:sz w:val="20"/>
                <w:szCs w:val="20"/>
                <w:color w:val="auto"/>
              </w:rPr>
            </w:pPr>
            <w:r>
              <w:rPr>
                <w:rFonts w:ascii="Arial" w:cs="Arial" w:eastAsia="Arial" w:hAnsi="Arial"/>
                <w:sz w:val="20"/>
                <w:szCs w:val="20"/>
                <w:color w:val="auto"/>
              </w:rPr>
              <w:t>$</w:t>
            </w: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2,603</w:t>
            </w:r>
          </w:p>
        </w:tc>
        <w:tc>
          <w:tcPr>
            <w:tcW w:w="0" w:type="dxa"/>
            <w:vAlign w:val="bottom"/>
          </w:tcPr>
          <w:p>
            <w:pPr>
              <w:spacing w:after="0"/>
              <w:rPr>
                <w:sz w:val="1"/>
                <w:szCs w:val="1"/>
                <w:color w:val="auto"/>
              </w:rPr>
            </w:pPr>
          </w:p>
        </w:tc>
      </w:tr>
      <w:tr>
        <w:trPr>
          <w:trHeight w:val="258"/>
        </w:trPr>
        <w:tc>
          <w:tcPr>
            <w:tcW w:w="8560" w:type="dxa"/>
            <w:vAlign w:val="bottom"/>
          </w:tcPr>
          <w:p>
            <w:pPr>
              <w:jc w:val="right"/>
              <w:ind w:right="21"/>
              <w:spacing w:after="0"/>
              <w:rPr>
                <w:sz w:val="20"/>
                <w:szCs w:val="20"/>
                <w:color w:val="auto"/>
              </w:rPr>
            </w:pPr>
            <w:r>
              <w:rPr>
                <w:rFonts w:ascii="Arial" w:cs="Arial" w:eastAsia="Arial" w:hAnsi="Arial"/>
                <w:sz w:val="20"/>
                <w:szCs w:val="20"/>
                <w:color w:val="auto"/>
                <w:w w:val="90"/>
              </w:rPr>
              <w:t xml:space="preserve">share </w:t>
            </w:r>
            <w:r>
              <w:rPr>
                <w:rFonts w:ascii="Arial" w:cs="Arial" w:eastAsia="Arial" w:hAnsi="Arial"/>
                <w:sz w:val="20"/>
                <w:szCs w:val="20"/>
                <w:color w:val="B4B4B4"/>
                <w:w w:val="90"/>
              </w:rPr>
              <w:t>. . . . . . . . . . . . . . . . . . . . . . . . . . . . . . . . . . . . . . . . . . . . . . . . . . . . . . . . . . . . . . . . . . . . . . . . . . . . . . .</w:t>
            </w:r>
          </w:p>
        </w:tc>
        <w:tc>
          <w:tcPr>
            <w:tcW w:w="26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8560" w:type="dxa"/>
            <w:vAlign w:val="bottom"/>
          </w:tcPr>
          <w:p>
            <w:pPr>
              <w:ind w:left="120"/>
              <w:spacing w:after="0"/>
              <w:rPr>
                <w:sz w:val="20"/>
                <w:szCs w:val="20"/>
                <w:color w:val="auto"/>
              </w:rPr>
            </w:pPr>
            <w:r>
              <w:rPr>
                <w:rFonts w:ascii="Arial" w:cs="Arial" w:eastAsia="Arial" w:hAnsi="Arial"/>
                <w:sz w:val="20"/>
                <w:szCs w:val="20"/>
                <w:color w:val="auto"/>
                <w:w w:val="98"/>
              </w:rPr>
              <w:t>Other Vivint Smart Home, Inc. equity instruments (Cash out RSUs and PSUs, Stock Appreciation</w:t>
            </w:r>
          </w:p>
        </w:tc>
        <w:tc>
          <w:tcPr>
            <w:tcW w:w="260" w:type="dxa"/>
            <w:vAlign w:val="bottom"/>
          </w:tcPr>
          <w:p>
            <w:pPr>
              <w:spacing w:after="0"/>
              <w:rPr>
                <w:sz w:val="20"/>
                <w:szCs w:val="20"/>
                <w:color w:val="auto"/>
              </w:rPr>
            </w:pP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60"/>
        </w:trPr>
        <w:tc>
          <w:tcPr>
            <w:tcW w:w="8560" w:type="dxa"/>
            <w:vAlign w:val="bottom"/>
          </w:tcPr>
          <w:p>
            <w:pPr>
              <w:jc w:val="right"/>
              <w:ind w:right="21"/>
              <w:spacing w:after="0"/>
              <w:rPr>
                <w:sz w:val="20"/>
                <w:szCs w:val="20"/>
                <w:color w:val="auto"/>
              </w:rPr>
            </w:pPr>
            <w:r>
              <w:rPr>
                <w:rFonts w:ascii="Arial" w:cs="Arial" w:eastAsia="Arial" w:hAnsi="Arial"/>
                <w:sz w:val="20"/>
                <w:szCs w:val="20"/>
                <w:color w:val="auto"/>
                <w:w w:val="91"/>
              </w:rPr>
              <w:t xml:space="preserve">Rights, Private Placement Warrants) </w:t>
            </w:r>
            <w:r>
              <w:rPr>
                <w:rFonts w:ascii="Arial" w:cs="Arial" w:eastAsia="Arial" w:hAnsi="Arial"/>
                <w:sz w:val="20"/>
                <w:szCs w:val="20"/>
                <w:color w:val="B4B4B4"/>
                <w:w w:val="91"/>
              </w:rPr>
              <w:t>. . . . . . . . . . . . . . . . . . . . . . . . . . . . . . . . . . . . . . . . . . . . . . . . . . . . . .</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8560" w:type="dxa"/>
            <w:vAlign w:val="bottom"/>
          </w:tcPr>
          <w:p>
            <w:pPr>
              <w:jc w:val="right"/>
              <w:ind w:right="21"/>
              <w:spacing w:after="0"/>
              <w:rPr>
                <w:sz w:val="20"/>
                <w:szCs w:val="20"/>
                <w:color w:val="auto"/>
              </w:rPr>
            </w:pPr>
            <w:r>
              <w:rPr>
                <w:rFonts w:ascii="Arial" w:cs="Arial" w:eastAsia="Arial" w:hAnsi="Arial"/>
                <w:sz w:val="20"/>
                <w:szCs w:val="20"/>
                <w:b w:val="1"/>
                <w:bCs w:val="1"/>
                <w:color w:val="auto"/>
                <w:w w:val="89"/>
              </w:rPr>
              <w:t xml:space="preserve">Total Cash Consideration </w:t>
            </w:r>
            <w:r>
              <w:rPr>
                <w:rFonts w:ascii="Arial" w:cs="Arial" w:eastAsia="Arial" w:hAnsi="Arial"/>
                <w:sz w:val="20"/>
                <w:szCs w:val="20"/>
                <w:b w:val="1"/>
                <w:bCs w:val="1"/>
                <w:color w:val="B4B4B4"/>
                <w:w w:val="89"/>
              </w:rPr>
              <w:t>. . . . . . . . . . . . . . . . . . . . . . . . . . . . . . . . . . . . . . . . . . . . . . . . . . . . . . . . . . . . . . .</w:t>
            </w:r>
          </w:p>
        </w:tc>
        <w:tc>
          <w:tcPr>
            <w:tcW w:w="2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2,609</w:t>
            </w:r>
          </w:p>
        </w:tc>
        <w:tc>
          <w:tcPr>
            <w:tcW w:w="0" w:type="dxa"/>
            <w:vAlign w:val="bottom"/>
          </w:tcPr>
          <w:p>
            <w:pPr>
              <w:spacing w:after="0"/>
              <w:rPr>
                <w:sz w:val="1"/>
                <w:szCs w:val="1"/>
                <w:color w:val="auto"/>
              </w:rPr>
            </w:pPr>
          </w:p>
        </w:tc>
      </w:tr>
      <w:tr>
        <w:trPr>
          <w:trHeight w:val="299"/>
        </w:trPr>
        <w:tc>
          <w:tcPr>
            <w:tcW w:w="8560" w:type="dxa"/>
            <w:vAlign w:val="bottom"/>
          </w:tcPr>
          <w:p>
            <w:pPr>
              <w:jc w:val="right"/>
              <w:ind w:right="21"/>
              <w:spacing w:after="0"/>
              <w:rPr>
                <w:sz w:val="20"/>
                <w:szCs w:val="20"/>
                <w:color w:val="auto"/>
              </w:rPr>
            </w:pPr>
            <w:r>
              <w:rPr>
                <w:rFonts w:ascii="Arial" w:cs="Arial" w:eastAsia="Arial" w:hAnsi="Arial"/>
                <w:sz w:val="20"/>
                <w:szCs w:val="20"/>
                <w:color w:val="auto"/>
                <w:w w:val="92"/>
              </w:rPr>
              <w:t xml:space="preserve">Fair value of acquired Vivint Smart Home, Inc. equity awards attributable to pre-combination service  </w:t>
            </w:r>
            <w:r>
              <w:rPr>
                <w:rFonts w:ascii="Arial" w:cs="Arial" w:eastAsia="Arial" w:hAnsi="Arial"/>
                <w:sz w:val="20"/>
                <w:szCs w:val="20"/>
                <w:color w:val="B4B4B4"/>
                <w:w w:val="92"/>
              </w:rPr>
              <w:t>. .</w:t>
            </w: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57"/>
        </w:trPr>
        <w:tc>
          <w:tcPr>
            <w:tcW w:w="8560" w:type="dxa"/>
            <w:vAlign w:val="bottom"/>
          </w:tcPr>
          <w:p>
            <w:pPr>
              <w:jc w:val="right"/>
              <w:ind w:right="21"/>
              <w:spacing w:after="0"/>
              <w:rPr>
                <w:sz w:val="20"/>
                <w:szCs w:val="20"/>
                <w:color w:val="auto"/>
              </w:rPr>
            </w:pPr>
            <w:r>
              <w:rPr>
                <w:rFonts w:ascii="Arial" w:cs="Arial" w:eastAsia="Arial" w:hAnsi="Arial"/>
                <w:sz w:val="20"/>
                <w:szCs w:val="20"/>
                <w:b w:val="1"/>
                <w:bCs w:val="1"/>
                <w:color w:val="auto"/>
                <w:w w:val="89"/>
              </w:rPr>
              <w:t xml:space="preserve">Total Consideration </w:t>
            </w:r>
            <w:r>
              <w:rPr>
                <w:rFonts w:ascii="Arial" w:cs="Arial" w:eastAsia="Arial" w:hAnsi="Arial"/>
                <w:sz w:val="20"/>
                <w:szCs w:val="20"/>
                <w:b w:val="1"/>
                <w:bCs w:val="1"/>
                <w:color w:val="B4B4B4"/>
                <w:w w:val="89"/>
              </w:rPr>
              <w:t>. . . . . . . . . . . . . . . . . . . . . . . . . . . . . . . . . . . . . . . . . . . . . . . . . . . . . . . . . . . . . . . . . . . .</w:t>
            </w:r>
          </w:p>
        </w:tc>
        <w:tc>
          <w:tcPr>
            <w:tcW w:w="2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2,623</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-1219200</wp:posOffset>
            </wp:positionV>
            <wp:extent cx="6475095" cy="12261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9">
                      <a:extLst>
                        <a:ext uri="{28A0092B-C50C-407E-A947-70E740481C1C}"/>
                      </a:extLst>
                    </a:blip>
                    <a:srcRect/>
                    <a:stretch>
                      <a:fillRect/>
                    </a:stretch>
                  </pic:blipFill>
                  <pic:spPr bwMode="auto">
                    <a:xfrm>
                      <a:off x="0" y="0"/>
                      <a:ext cx="6475095" cy="1226185"/>
                    </a:xfrm>
                    <a:prstGeom prst="rect">
                      <a:avLst/>
                    </a:prstGeom>
                    <a:noFill/>
                  </pic:spPr>
                </pic:pic>
              </a:graphicData>
            </a:graphic>
          </wp:anchor>
        </w:drawing>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ectPr>
          <w:pgSz w:w="11880" w:h="15480" w:orient="portrait"/>
          <w:cols w:equalWidth="0" w:num="1">
            <w:col w:w="10160"/>
          </w:cols>
          <w:pgMar w:left="860" w:top="512" w:right="860" w:bottom="0" w:gutter="0" w:footer="0" w:header="0"/>
          <w:type w:val="continuous"/>
        </w:sectPr>
      </w:pPr>
    </w:p>
    <w:bookmarkStart w:id="111" w:name="page112"/>
    <w:bookmarkEnd w:id="111"/>
    <w:p>
      <w:pPr>
        <w:ind w:left="439"/>
        <w:spacing w:after="0"/>
        <w:rPr>
          <w:sz w:val="20"/>
          <w:szCs w:val="20"/>
          <w:color w:val="auto"/>
        </w:rPr>
      </w:pPr>
      <w:r>
        <w:rPr>
          <w:rFonts w:ascii="Arial" w:cs="Arial" w:eastAsia="Arial" w:hAnsi="Arial"/>
          <w:sz w:val="20"/>
          <w:szCs w:val="20"/>
          <w:color w:val="auto"/>
        </w:rPr>
        <w:t>The purchase price was allocated as follows as of December 31, 2023:</w:t>
      </w:r>
    </w:p>
    <w:p>
      <w:pPr>
        <w:spacing w:after="0" w:line="130" w:lineRule="exact"/>
        <w:rPr>
          <w:sz w:val="20"/>
          <w:szCs w:val="20"/>
          <w:color w:val="auto"/>
        </w:rPr>
      </w:pPr>
    </w:p>
    <w:tbl>
      <w:tblPr>
        <w:tblLayout w:type="fixed"/>
        <w:tblInd w:w="59" w:type="dxa"/>
        <w:tblCellMar>
          <w:top w:w="0" w:type="dxa"/>
          <w:left w:w="0" w:type="dxa"/>
          <w:bottom w:w="0" w:type="dxa"/>
          <w:right w:w="0" w:type="dxa"/>
        </w:tblCellMar>
      </w:tblPr>
      <w:tr>
        <w:trPr>
          <w:trHeight w:val="215"/>
        </w:trPr>
        <w:tc>
          <w:tcPr>
            <w:tcW w:w="8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90"/>
        </w:trPr>
        <w:tc>
          <w:tcPr>
            <w:tcW w:w="8620" w:type="dxa"/>
            <w:vAlign w:val="bottom"/>
          </w:tcPr>
          <w:p>
            <w:pPr>
              <w:spacing w:after="0"/>
              <w:rPr>
                <w:sz w:val="20"/>
                <w:szCs w:val="20"/>
                <w:color w:val="auto"/>
              </w:rPr>
            </w:pPr>
            <w:r>
              <w:rPr>
                <w:rFonts w:ascii="Arial" w:cs="Arial" w:eastAsia="Arial" w:hAnsi="Arial"/>
                <w:sz w:val="20"/>
                <w:szCs w:val="20"/>
                <w:b w:val="1"/>
                <w:bCs w:val="1"/>
                <w:color w:val="auto"/>
              </w:rPr>
              <w:t>Current Assets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620" w:type="dxa"/>
            <w:vAlign w:val="bottom"/>
          </w:tcPr>
          <w:p>
            <w:pPr>
              <w:jc w:val="right"/>
              <w:spacing w:after="0"/>
              <w:rPr>
                <w:sz w:val="20"/>
                <w:szCs w:val="20"/>
                <w:color w:val="auto"/>
              </w:rPr>
            </w:pPr>
            <w:r>
              <w:rPr>
                <w:rFonts w:ascii="Arial" w:cs="Arial" w:eastAsia="Arial" w:hAnsi="Arial"/>
                <w:sz w:val="20"/>
                <w:szCs w:val="20"/>
                <w:color w:val="auto"/>
                <w:w w:val="90"/>
              </w:rPr>
              <w:t xml:space="preserve">Cash and cash equivalents </w:t>
            </w:r>
            <w:r>
              <w:rPr>
                <w:rFonts w:ascii="Arial" w:cs="Arial" w:eastAsia="Arial" w:hAnsi="Arial"/>
                <w:sz w:val="20"/>
                <w:szCs w:val="20"/>
                <w:color w:val="B4B4B4"/>
                <w:w w:val="90"/>
              </w:rPr>
              <w:t>. . . . . . . . . . . . . . . . . . . . . . . . . . . . . . . . . . . . . . . . . . . . . . . . . . . . . . . . . . . . . . .</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120</w:t>
            </w:r>
          </w:p>
        </w:tc>
        <w:tc>
          <w:tcPr>
            <w:tcW w:w="0" w:type="dxa"/>
            <w:vAlign w:val="bottom"/>
          </w:tcPr>
          <w:p>
            <w:pPr>
              <w:spacing w:after="0"/>
              <w:rPr>
                <w:sz w:val="1"/>
                <w:szCs w:val="1"/>
                <w:color w:val="auto"/>
              </w:rPr>
            </w:pPr>
          </w:p>
        </w:tc>
      </w:tr>
      <w:tr>
        <w:trPr>
          <w:trHeight w:val="312"/>
        </w:trPr>
        <w:tc>
          <w:tcPr>
            <w:tcW w:w="8620" w:type="dxa"/>
            <w:vAlign w:val="bottom"/>
          </w:tcPr>
          <w:p>
            <w:pPr>
              <w:jc w:val="right"/>
              <w:spacing w:after="0"/>
              <w:rPr>
                <w:sz w:val="20"/>
                <w:szCs w:val="20"/>
                <w:color w:val="auto"/>
              </w:rPr>
            </w:pPr>
            <w:r>
              <w:rPr>
                <w:rFonts w:ascii="Arial" w:cs="Arial" w:eastAsia="Arial" w:hAnsi="Arial"/>
                <w:sz w:val="20"/>
                <w:szCs w:val="20"/>
                <w:color w:val="auto"/>
                <w:w w:val="90"/>
              </w:rPr>
              <w:t xml:space="preserve">Accounts receivable, net </w:t>
            </w:r>
            <w:r>
              <w:rPr>
                <w:rFonts w:ascii="Arial" w:cs="Arial" w:eastAsia="Arial" w:hAnsi="Arial"/>
                <w:sz w:val="20"/>
                <w:szCs w:val="20"/>
                <w:color w:val="B4B4B4"/>
                <w:w w:val="90"/>
              </w:rPr>
              <w:t>. . . . . . . . . . . . . . . . . . . . . . . . . . . . . . . . . . . . . . . . . . . . . . . . . . . . . . . . . . . . . . . .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312"/>
        </w:trPr>
        <w:tc>
          <w:tcPr>
            <w:tcW w:w="8620" w:type="dxa"/>
            <w:vAlign w:val="bottom"/>
          </w:tcPr>
          <w:p>
            <w:pPr>
              <w:jc w:val="right"/>
              <w:spacing w:after="0"/>
              <w:rPr>
                <w:sz w:val="20"/>
                <w:szCs w:val="20"/>
                <w:color w:val="auto"/>
              </w:rPr>
            </w:pPr>
            <w:r>
              <w:rPr>
                <w:rFonts w:ascii="Arial" w:cs="Arial" w:eastAsia="Arial" w:hAnsi="Arial"/>
                <w:sz w:val="20"/>
                <w:szCs w:val="20"/>
                <w:color w:val="auto"/>
                <w:w w:val="91"/>
              </w:rPr>
              <w:t xml:space="preserve">Inventory  </w:t>
            </w:r>
            <w:r>
              <w:rPr>
                <w:rFonts w:ascii="Arial" w:cs="Arial" w:eastAsia="Arial" w:hAnsi="Arial"/>
                <w:sz w:val="20"/>
                <w:szCs w:val="20"/>
                <w:color w:val="B4B4B4"/>
                <w:w w:val="91"/>
              </w:rPr>
              <w:t>. . . . . . . . . . . . . . . . . . . . . . . . . . . . . . . . . . . . . . . . . . . . . . . . . . . . . . . . . . . . . . . . . . . . . . . . . . .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113</w:t>
            </w:r>
          </w:p>
        </w:tc>
        <w:tc>
          <w:tcPr>
            <w:tcW w:w="0" w:type="dxa"/>
            <w:vAlign w:val="bottom"/>
          </w:tcPr>
          <w:p>
            <w:pPr>
              <w:spacing w:after="0"/>
              <w:rPr>
                <w:sz w:val="1"/>
                <w:szCs w:val="1"/>
                <w:color w:val="auto"/>
              </w:rPr>
            </w:pPr>
          </w:p>
        </w:tc>
      </w:tr>
      <w:tr>
        <w:trPr>
          <w:trHeight w:val="314"/>
        </w:trPr>
        <w:tc>
          <w:tcPr>
            <w:tcW w:w="8620" w:type="dxa"/>
            <w:vAlign w:val="bottom"/>
          </w:tcPr>
          <w:p>
            <w:pPr>
              <w:jc w:val="right"/>
              <w:spacing w:after="0"/>
              <w:rPr>
                <w:sz w:val="20"/>
                <w:szCs w:val="20"/>
                <w:color w:val="auto"/>
              </w:rPr>
            </w:pPr>
            <w:r>
              <w:rPr>
                <w:rFonts w:ascii="Arial" w:cs="Arial" w:eastAsia="Arial" w:hAnsi="Arial"/>
                <w:sz w:val="20"/>
                <w:szCs w:val="20"/>
                <w:color w:val="auto"/>
                <w:w w:val="89"/>
              </w:rPr>
              <w:t xml:space="preserve">Prepayments and other current assets </w:t>
            </w:r>
            <w:r>
              <w:rPr>
                <w:rFonts w:ascii="Arial" w:cs="Arial" w:eastAsia="Arial" w:hAnsi="Arial"/>
                <w:sz w:val="20"/>
                <w:szCs w:val="20"/>
                <w:color w:val="B4B4B4"/>
                <w:w w:val="89"/>
              </w:rPr>
              <w:t>. . . . . . . . . . . . . . . . . . . . . . . . . . . . . . . . . . . . . . . . . . . . . . . . . . . . . . .</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92"/>
        </w:trPr>
        <w:tc>
          <w:tcPr>
            <w:tcW w:w="8620" w:type="dxa"/>
            <w:vAlign w:val="bottom"/>
          </w:tcPr>
          <w:p>
            <w:pPr>
              <w:jc w:val="right"/>
              <w:spacing w:after="0"/>
              <w:rPr>
                <w:sz w:val="20"/>
                <w:szCs w:val="20"/>
                <w:color w:val="auto"/>
              </w:rPr>
            </w:pPr>
            <w:r>
              <w:rPr>
                <w:rFonts w:ascii="Arial" w:cs="Arial" w:eastAsia="Arial" w:hAnsi="Arial"/>
                <w:sz w:val="20"/>
                <w:szCs w:val="20"/>
                <w:color w:val="auto"/>
                <w:w w:val="93"/>
              </w:rPr>
              <w:t xml:space="preserve">Total current assets </w:t>
            </w:r>
            <w:r>
              <w:rPr>
                <w:rFonts w:ascii="Arial" w:cs="Arial" w:eastAsia="Arial" w:hAnsi="Arial"/>
                <w:sz w:val="20"/>
                <w:szCs w:val="20"/>
                <w:color w:val="B4B4B4"/>
                <w:w w:val="93"/>
              </w:rPr>
              <w:t>. . . . . . . . . . . . . . . . . . . . . . . . . . . . . . . . . . . . . . . . . . . . . . . . . . . . . . . . . . . . . . . . . .</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330</w:t>
            </w:r>
          </w:p>
        </w:tc>
        <w:tc>
          <w:tcPr>
            <w:tcW w:w="0" w:type="dxa"/>
            <w:vAlign w:val="bottom"/>
          </w:tcPr>
          <w:p>
            <w:pPr>
              <w:spacing w:after="0"/>
              <w:rPr>
                <w:sz w:val="1"/>
                <w:szCs w:val="1"/>
                <w:color w:val="auto"/>
              </w:rPr>
            </w:pPr>
          </w:p>
        </w:tc>
      </w:tr>
      <w:tr>
        <w:trPr>
          <w:trHeight w:val="292"/>
        </w:trPr>
        <w:tc>
          <w:tcPr>
            <w:tcW w:w="862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Property, plant and equipment, net </w:t>
            </w:r>
            <w:r>
              <w:rPr>
                <w:rFonts w:ascii="Arial" w:cs="Arial" w:eastAsia="Arial" w:hAnsi="Arial"/>
                <w:sz w:val="20"/>
                <w:szCs w:val="20"/>
                <w:b w:val="1"/>
                <w:bCs w:val="1"/>
                <w:color w:val="B4B4B4"/>
                <w:w w:val="89"/>
              </w:rPr>
              <w:t>. . . . . . . . . . . . . . . . . . . . . . . . . . . . . . . . . . . . . . . . . . . . . . . . . . . . . . . .</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90"/>
        </w:trPr>
        <w:tc>
          <w:tcPr>
            <w:tcW w:w="8620" w:type="dxa"/>
            <w:vAlign w:val="bottom"/>
          </w:tcPr>
          <w:p>
            <w:pPr>
              <w:spacing w:after="0"/>
              <w:rPr>
                <w:sz w:val="20"/>
                <w:szCs w:val="20"/>
                <w:color w:val="auto"/>
              </w:rPr>
            </w:pPr>
            <w:r>
              <w:rPr>
                <w:rFonts w:ascii="Arial" w:cs="Arial" w:eastAsia="Arial" w:hAnsi="Arial"/>
                <w:sz w:val="20"/>
                <w:szCs w:val="20"/>
                <w:b w:val="1"/>
                <w:bCs w:val="1"/>
                <w:color w:val="auto"/>
              </w:rPr>
              <w:t>Other Assets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620" w:type="dxa"/>
            <w:vAlign w:val="bottom"/>
          </w:tcPr>
          <w:p>
            <w:pPr>
              <w:jc w:val="right"/>
              <w:spacing w:after="0"/>
              <w:rPr>
                <w:sz w:val="20"/>
                <w:szCs w:val="20"/>
                <w:color w:val="auto"/>
              </w:rPr>
            </w:pPr>
            <w:r>
              <w:rPr>
                <w:rFonts w:ascii="Arial" w:cs="Arial" w:eastAsia="Arial" w:hAnsi="Arial"/>
                <w:sz w:val="20"/>
                <w:szCs w:val="20"/>
                <w:color w:val="auto"/>
                <w:w w:val="90"/>
              </w:rPr>
              <w:t xml:space="preserve">Operating lease right-of-use assets, net </w:t>
            </w:r>
            <w:r>
              <w:rPr>
                <w:rFonts w:ascii="Arial" w:cs="Arial" w:eastAsia="Arial" w:hAnsi="Arial"/>
                <w:sz w:val="20"/>
                <w:szCs w:val="20"/>
                <w:color w:val="B4B4B4"/>
                <w:w w:val="90"/>
              </w:rPr>
              <w:t>. . . . . . . . . . . . . . . . . . . . . . . . . . . . . . . . . . . . . . . . . . . . . . . . . . . .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347"/>
        </w:trPr>
        <w:tc>
          <w:tcPr>
            <w:tcW w:w="8620" w:type="dxa"/>
            <w:vAlign w:val="bottom"/>
          </w:tcPr>
          <w:p>
            <w:pPr>
              <w:jc w:val="right"/>
              <w:spacing w:after="0"/>
              <w:rPr>
                <w:sz w:val="20"/>
                <w:szCs w:val="20"/>
                <w:color w:val="auto"/>
              </w:rPr>
            </w:pPr>
            <w:r>
              <w:rPr>
                <w:rFonts w:ascii="Arial" w:cs="Arial" w:eastAsia="Arial" w:hAnsi="Arial"/>
                <w:sz w:val="20"/>
                <w:szCs w:val="20"/>
                <w:color w:val="auto"/>
                <w:w w:val="91"/>
              </w:rPr>
              <w:t>Goodwill</w:t>
            </w:r>
            <w:r>
              <w:rPr>
                <w:rFonts w:ascii="Arial" w:cs="Arial" w:eastAsia="Arial" w:hAnsi="Arial"/>
                <w:sz w:val="25"/>
                <w:szCs w:val="25"/>
                <w:color w:val="auto"/>
                <w:w w:val="91"/>
                <w:vertAlign w:val="superscript"/>
              </w:rPr>
              <w:t>(a)</w:t>
            </w:r>
            <w:r>
              <w:rPr>
                <w:rFonts w:ascii="Arial" w:cs="Arial" w:eastAsia="Arial" w:hAnsi="Arial"/>
                <w:sz w:val="20"/>
                <w:szCs w:val="20"/>
                <w:color w:val="auto"/>
                <w:w w:val="91"/>
              </w:rPr>
              <w:t xml:space="preserve">  </w:t>
            </w:r>
            <w:r>
              <w:rPr>
                <w:rFonts w:ascii="Arial" w:cs="Arial" w:eastAsia="Arial" w:hAnsi="Arial"/>
                <w:sz w:val="20"/>
                <w:szCs w:val="20"/>
                <w:color w:val="B4B4B4"/>
                <w:w w:val="91"/>
              </w:rPr>
              <w:t>. . . . . . . . . . . . . . . . . . . . . . . . . . . . . . . . . . . . . . . . . . . . . . . . . . . . . . . . . . . . . . . . . . . . . . . . . .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3,494</w:t>
            </w:r>
          </w:p>
        </w:tc>
        <w:tc>
          <w:tcPr>
            <w:tcW w:w="0" w:type="dxa"/>
            <w:vAlign w:val="bottom"/>
          </w:tcPr>
          <w:p>
            <w:pPr>
              <w:spacing w:after="0"/>
              <w:rPr>
                <w:sz w:val="1"/>
                <w:szCs w:val="1"/>
                <w:color w:val="auto"/>
              </w:rPr>
            </w:pPr>
          </w:p>
        </w:tc>
      </w:tr>
      <w:tr>
        <w:trPr>
          <w:trHeight w:val="330"/>
        </w:trPr>
        <w:tc>
          <w:tcPr>
            <w:tcW w:w="8620" w:type="dxa"/>
            <w:vAlign w:val="bottom"/>
          </w:tcPr>
          <w:p>
            <w:pPr>
              <w:jc w:val="right"/>
              <w:ind w:right="6501"/>
              <w:spacing w:after="0"/>
              <w:rPr>
                <w:sz w:val="20"/>
                <w:szCs w:val="20"/>
                <w:color w:val="auto"/>
              </w:rPr>
            </w:pPr>
            <w:r>
              <w:rPr>
                <w:rFonts w:ascii="Arial" w:cs="Arial" w:eastAsia="Arial" w:hAnsi="Arial"/>
                <w:sz w:val="20"/>
                <w:szCs w:val="20"/>
                <w:color w:val="auto"/>
                <w:w w:val="93"/>
              </w:rPr>
              <w:t>Intangible assets, net</w:t>
            </w:r>
            <w:r>
              <w:rPr>
                <w:rFonts w:ascii="Arial" w:cs="Arial" w:eastAsia="Arial" w:hAnsi="Arial"/>
                <w:sz w:val="25"/>
                <w:szCs w:val="25"/>
                <w:color w:val="auto"/>
                <w:w w:val="93"/>
                <w:vertAlign w:val="superscript"/>
              </w:rPr>
              <w:t>(b)</w:t>
            </w:r>
            <w:r>
              <w:rPr>
                <w:rFonts w:ascii="Arial" w:cs="Arial" w:eastAsia="Arial" w:hAnsi="Arial"/>
                <w:sz w:val="20"/>
                <w:szCs w:val="20"/>
                <w:color w:val="auto"/>
                <w:w w:val="93"/>
              </w:rPr>
              <w:t>:</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620" w:type="dxa"/>
            <w:vAlign w:val="bottom"/>
          </w:tcPr>
          <w:p>
            <w:pPr>
              <w:jc w:val="right"/>
              <w:spacing w:after="0"/>
              <w:rPr>
                <w:sz w:val="20"/>
                <w:szCs w:val="20"/>
                <w:color w:val="auto"/>
              </w:rPr>
            </w:pPr>
            <w:r>
              <w:rPr>
                <w:rFonts w:ascii="Arial" w:cs="Arial" w:eastAsia="Arial" w:hAnsi="Arial"/>
                <w:sz w:val="20"/>
                <w:szCs w:val="20"/>
                <w:color w:val="auto"/>
                <w:w w:val="93"/>
              </w:rPr>
              <w:t xml:space="preserve">Customer relationships </w:t>
            </w:r>
            <w:r>
              <w:rPr>
                <w:rFonts w:ascii="Arial" w:cs="Arial" w:eastAsia="Arial" w:hAnsi="Arial"/>
                <w:sz w:val="20"/>
                <w:szCs w:val="20"/>
                <w:color w:val="B4B4B4"/>
                <w:w w:val="93"/>
              </w:rPr>
              <w:t>. . . . . . . . . . . . . . . . . . . . . . . . . . . . . . . . . . . . . . . . . . . . . . . . . . . . . . . . . . . . . . . .</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1,740</w:t>
            </w:r>
          </w:p>
        </w:tc>
        <w:tc>
          <w:tcPr>
            <w:tcW w:w="0" w:type="dxa"/>
            <w:vAlign w:val="bottom"/>
          </w:tcPr>
          <w:p>
            <w:pPr>
              <w:spacing w:after="0"/>
              <w:rPr>
                <w:sz w:val="1"/>
                <w:szCs w:val="1"/>
                <w:color w:val="auto"/>
              </w:rPr>
            </w:pPr>
          </w:p>
        </w:tc>
      </w:tr>
      <w:tr>
        <w:trPr>
          <w:trHeight w:val="312"/>
        </w:trPr>
        <w:tc>
          <w:tcPr>
            <w:tcW w:w="8620" w:type="dxa"/>
            <w:vAlign w:val="bottom"/>
          </w:tcPr>
          <w:p>
            <w:pPr>
              <w:jc w:val="right"/>
              <w:spacing w:after="0"/>
              <w:rPr>
                <w:sz w:val="20"/>
                <w:szCs w:val="20"/>
                <w:color w:val="auto"/>
              </w:rPr>
            </w:pPr>
            <w:r>
              <w:rPr>
                <w:rFonts w:ascii="Arial" w:cs="Arial" w:eastAsia="Arial" w:hAnsi="Arial"/>
                <w:sz w:val="20"/>
                <w:szCs w:val="20"/>
                <w:color w:val="auto"/>
                <w:w w:val="93"/>
              </w:rPr>
              <w:t xml:space="preserve">Technology </w:t>
            </w:r>
            <w:r>
              <w:rPr>
                <w:rFonts w:ascii="Arial" w:cs="Arial" w:eastAsia="Arial" w:hAnsi="Arial"/>
                <w:sz w:val="20"/>
                <w:szCs w:val="20"/>
                <w:color w:val="B4B4B4"/>
                <w:w w:val="93"/>
              </w:rPr>
              <w:t>. . . . . . . . . . . . . . . . . . . . . . . . . . . . . . . . . . . . . . . . . . . . . . . . . . . . . . . . . . . . . . . . . . . . . . . .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860</w:t>
            </w:r>
          </w:p>
        </w:tc>
        <w:tc>
          <w:tcPr>
            <w:tcW w:w="0" w:type="dxa"/>
            <w:vAlign w:val="bottom"/>
          </w:tcPr>
          <w:p>
            <w:pPr>
              <w:spacing w:after="0"/>
              <w:rPr>
                <w:sz w:val="1"/>
                <w:szCs w:val="1"/>
                <w:color w:val="auto"/>
              </w:rPr>
            </w:pPr>
          </w:p>
        </w:tc>
      </w:tr>
      <w:tr>
        <w:trPr>
          <w:trHeight w:val="312"/>
        </w:trPr>
        <w:tc>
          <w:tcPr>
            <w:tcW w:w="8620" w:type="dxa"/>
            <w:vAlign w:val="bottom"/>
          </w:tcPr>
          <w:p>
            <w:pPr>
              <w:jc w:val="right"/>
              <w:spacing w:after="0"/>
              <w:rPr>
                <w:sz w:val="20"/>
                <w:szCs w:val="20"/>
                <w:color w:val="auto"/>
              </w:rPr>
            </w:pPr>
            <w:r>
              <w:rPr>
                <w:rFonts w:ascii="Arial" w:cs="Arial" w:eastAsia="Arial" w:hAnsi="Arial"/>
                <w:sz w:val="20"/>
                <w:szCs w:val="20"/>
                <w:color w:val="auto"/>
                <w:w w:val="92"/>
              </w:rPr>
              <w:t xml:space="preserve">Trade names  </w:t>
            </w:r>
            <w:r>
              <w:rPr>
                <w:rFonts w:ascii="Arial" w:cs="Arial" w:eastAsia="Arial" w:hAnsi="Arial"/>
                <w:sz w:val="20"/>
                <w:szCs w:val="20"/>
                <w:color w:val="B4B4B4"/>
                <w:w w:val="92"/>
              </w:rPr>
              <w:t>. . . . . . . . . . . . . . . . . . . . . . . . . . . . . . . . . . . . . . . . . . . . . . . . . . . . . . . . . . . . . . . . . . . . . . .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160</w:t>
            </w:r>
          </w:p>
        </w:tc>
        <w:tc>
          <w:tcPr>
            <w:tcW w:w="0" w:type="dxa"/>
            <w:vAlign w:val="bottom"/>
          </w:tcPr>
          <w:p>
            <w:pPr>
              <w:spacing w:after="0"/>
              <w:rPr>
                <w:sz w:val="1"/>
                <w:szCs w:val="1"/>
                <w:color w:val="auto"/>
              </w:rPr>
            </w:pPr>
          </w:p>
        </w:tc>
      </w:tr>
      <w:tr>
        <w:trPr>
          <w:trHeight w:val="314"/>
        </w:trPr>
        <w:tc>
          <w:tcPr>
            <w:tcW w:w="8620" w:type="dxa"/>
            <w:vAlign w:val="bottom"/>
          </w:tcPr>
          <w:p>
            <w:pPr>
              <w:jc w:val="right"/>
              <w:spacing w:after="0"/>
              <w:rPr>
                <w:sz w:val="20"/>
                <w:szCs w:val="20"/>
                <w:color w:val="auto"/>
              </w:rPr>
            </w:pPr>
            <w:r>
              <w:rPr>
                <w:rFonts w:ascii="Arial" w:cs="Arial" w:eastAsia="Arial" w:hAnsi="Arial"/>
                <w:sz w:val="20"/>
                <w:szCs w:val="20"/>
                <w:color w:val="auto"/>
                <w:w w:val="92"/>
              </w:rPr>
              <w:t xml:space="preserve">Sales channel contract </w:t>
            </w:r>
            <w:r>
              <w:rPr>
                <w:rFonts w:ascii="Arial" w:cs="Arial" w:eastAsia="Arial" w:hAnsi="Arial"/>
                <w:sz w:val="20"/>
                <w:szCs w:val="20"/>
                <w:color w:val="B4B4B4"/>
                <w:w w:val="92"/>
              </w:rPr>
              <w:t>. . . . . . . . . . . . . . . . . . . . . . . . . . . . . . . . . . . . . . . . . . . . . . . . . . . . . . . . . . . . . . . . .</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90"/>
        </w:trPr>
        <w:tc>
          <w:tcPr>
            <w:tcW w:w="8620" w:type="dxa"/>
            <w:vAlign w:val="bottom"/>
          </w:tcPr>
          <w:p>
            <w:pPr>
              <w:jc w:val="right"/>
              <w:spacing w:after="0"/>
              <w:rPr>
                <w:sz w:val="20"/>
                <w:szCs w:val="20"/>
                <w:color w:val="auto"/>
              </w:rPr>
            </w:pPr>
            <w:r>
              <w:rPr>
                <w:rFonts w:ascii="Arial" w:cs="Arial" w:eastAsia="Arial" w:hAnsi="Arial"/>
                <w:sz w:val="20"/>
                <w:szCs w:val="20"/>
                <w:color w:val="auto"/>
                <w:w w:val="90"/>
              </w:rPr>
              <w:t xml:space="preserve">Intangible assets, net </w:t>
            </w:r>
            <w:r>
              <w:rPr>
                <w:rFonts w:ascii="Arial" w:cs="Arial" w:eastAsia="Arial" w:hAnsi="Arial"/>
                <w:sz w:val="20"/>
                <w:szCs w:val="20"/>
                <w:color w:val="B4B4B4"/>
                <w:w w:val="90"/>
              </w:rPr>
              <w:t>. . . . . . . . . . . . . . . . . . . . . . . . . . . . . . . . . . . . . . . . . . . . . . . . . . . . . . . . . . . . . . . . . . .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2,770</w:t>
            </w:r>
          </w:p>
        </w:tc>
        <w:tc>
          <w:tcPr>
            <w:tcW w:w="0" w:type="dxa"/>
            <w:vAlign w:val="bottom"/>
          </w:tcPr>
          <w:p>
            <w:pPr>
              <w:spacing w:after="0"/>
              <w:rPr>
                <w:sz w:val="1"/>
                <w:szCs w:val="1"/>
                <w:color w:val="auto"/>
              </w:rPr>
            </w:pPr>
          </w:p>
        </w:tc>
      </w:tr>
      <w:tr>
        <w:trPr>
          <w:trHeight w:val="312"/>
        </w:trPr>
        <w:tc>
          <w:tcPr>
            <w:tcW w:w="8620" w:type="dxa"/>
            <w:vAlign w:val="bottom"/>
          </w:tcPr>
          <w:p>
            <w:pPr>
              <w:jc w:val="right"/>
              <w:spacing w:after="0"/>
              <w:rPr>
                <w:sz w:val="20"/>
                <w:szCs w:val="20"/>
                <w:color w:val="auto"/>
              </w:rPr>
            </w:pPr>
            <w:r>
              <w:rPr>
                <w:rFonts w:ascii="Arial" w:cs="Arial" w:eastAsia="Arial" w:hAnsi="Arial"/>
                <w:sz w:val="20"/>
                <w:szCs w:val="20"/>
                <w:color w:val="auto"/>
                <w:w w:val="91"/>
              </w:rPr>
              <w:t xml:space="preserve">Deferred income taxes </w:t>
            </w:r>
            <w:r>
              <w:rPr>
                <w:rFonts w:ascii="Arial" w:cs="Arial" w:eastAsia="Arial" w:hAnsi="Arial"/>
                <w:sz w:val="20"/>
                <w:szCs w:val="20"/>
                <w:color w:val="B4B4B4"/>
                <w:w w:val="91"/>
              </w:rPr>
              <w:t>. . . . . . . . . . . . . . . . . . . . . . . . . . . . . . . . . . . . . . . . . . . . . . . . . . . . . . . . . . . . . . . . .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382</w:t>
            </w:r>
          </w:p>
        </w:tc>
        <w:tc>
          <w:tcPr>
            <w:tcW w:w="0" w:type="dxa"/>
            <w:vAlign w:val="bottom"/>
          </w:tcPr>
          <w:p>
            <w:pPr>
              <w:spacing w:after="0"/>
              <w:rPr>
                <w:sz w:val="1"/>
                <w:szCs w:val="1"/>
                <w:color w:val="auto"/>
              </w:rPr>
            </w:pPr>
          </w:p>
        </w:tc>
      </w:tr>
      <w:tr>
        <w:trPr>
          <w:trHeight w:val="314"/>
        </w:trPr>
        <w:tc>
          <w:tcPr>
            <w:tcW w:w="8620" w:type="dxa"/>
            <w:vAlign w:val="bottom"/>
          </w:tcPr>
          <w:p>
            <w:pPr>
              <w:jc w:val="right"/>
              <w:spacing w:after="0"/>
              <w:rPr>
                <w:sz w:val="20"/>
                <w:szCs w:val="20"/>
                <w:color w:val="auto"/>
              </w:rPr>
            </w:pPr>
            <w:r>
              <w:rPr>
                <w:rFonts w:ascii="Arial" w:cs="Arial" w:eastAsia="Arial" w:hAnsi="Arial"/>
                <w:sz w:val="20"/>
                <w:szCs w:val="20"/>
                <w:color w:val="auto"/>
                <w:w w:val="90"/>
              </w:rPr>
              <w:t xml:space="preserve">Other non-current assets </w:t>
            </w:r>
            <w:r>
              <w:rPr>
                <w:rFonts w:ascii="Arial" w:cs="Arial" w:eastAsia="Arial" w:hAnsi="Arial"/>
                <w:sz w:val="20"/>
                <w:szCs w:val="20"/>
                <w:color w:val="B4B4B4"/>
                <w:w w:val="90"/>
              </w:rPr>
              <w:t>. . . . . . . . . . . . . . . . . . . . . . . . . . . . . . . . . . . . . . . . . . . . . . . . . . . . . . . . . . . . . . . . .</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92"/>
        </w:trPr>
        <w:tc>
          <w:tcPr>
            <w:tcW w:w="8620" w:type="dxa"/>
            <w:vAlign w:val="bottom"/>
          </w:tcPr>
          <w:p>
            <w:pPr>
              <w:jc w:val="right"/>
              <w:spacing w:after="0"/>
              <w:rPr>
                <w:sz w:val="20"/>
                <w:szCs w:val="20"/>
                <w:color w:val="auto"/>
              </w:rPr>
            </w:pPr>
            <w:r>
              <w:rPr>
                <w:rFonts w:ascii="Arial" w:cs="Arial" w:eastAsia="Arial" w:hAnsi="Arial"/>
                <w:sz w:val="20"/>
                <w:szCs w:val="20"/>
                <w:color w:val="auto"/>
                <w:w w:val="93"/>
              </w:rPr>
              <w:t xml:space="preserve">Total other assets  </w:t>
            </w:r>
            <w:r>
              <w:rPr>
                <w:rFonts w:ascii="Arial" w:cs="Arial" w:eastAsia="Arial" w:hAnsi="Arial"/>
                <w:sz w:val="20"/>
                <w:szCs w:val="20"/>
                <w:color w:val="B4B4B4"/>
                <w:w w:val="93"/>
              </w:rPr>
              <w:t>. . . . . . . . . . . . . . . . . . . . . . . . . . . . . . . . . . . . . . . . . . . . . . . . . . . . . . . . . . . . . . . . . . .</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6,695</w:t>
            </w:r>
          </w:p>
        </w:tc>
        <w:tc>
          <w:tcPr>
            <w:tcW w:w="0" w:type="dxa"/>
            <w:vAlign w:val="bottom"/>
          </w:tcPr>
          <w:p>
            <w:pPr>
              <w:spacing w:after="0"/>
              <w:rPr>
                <w:sz w:val="1"/>
                <w:szCs w:val="1"/>
                <w:color w:val="auto"/>
              </w:rPr>
            </w:pPr>
          </w:p>
        </w:tc>
      </w:tr>
      <w:tr>
        <w:trPr>
          <w:trHeight w:val="272"/>
        </w:trPr>
        <w:tc>
          <w:tcPr>
            <w:tcW w:w="862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Total Assets  </w:t>
            </w:r>
            <w:r>
              <w:rPr>
                <w:rFonts w:ascii="Arial" w:cs="Arial" w:eastAsia="Arial" w:hAnsi="Arial"/>
                <w:sz w:val="20"/>
                <w:szCs w:val="20"/>
                <w:b w:val="1"/>
                <w:bCs w:val="1"/>
                <w:color w:val="B4B4B4"/>
                <w:w w:val="89"/>
              </w:rPr>
              <w:t>. . . . . . . . . . . . . . . . . . . . . . . . . . . . . . . . . . . . . . . . . . . . . . . . . . . . . . . . . . . . . . . . . . . . . . . . . . .</w:t>
            </w:r>
          </w:p>
        </w:tc>
        <w:tc>
          <w:tcPr>
            <w:tcW w:w="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7,074</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20"/>
                <w:szCs w:val="20"/>
                <w:b w:val="1"/>
                <w:bCs w:val="1"/>
                <w:color w:val="auto"/>
              </w:rPr>
              <w:t>Current Liabilities</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8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620" w:type="dxa"/>
            <w:vAlign w:val="bottom"/>
          </w:tcPr>
          <w:p>
            <w:pPr>
              <w:jc w:val="right"/>
              <w:spacing w:after="0"/>
              <w:rPr>
                <w:sz w:val="20"/>
                <w:szCs w:val="20"/>
                <w:color w:val="auto"/>
              </w:rPr>
            </w:pPr>
            <w:r>
              <w:rPr>
                <w:rFonts w:ascii="Arial" w:cs="Arial" w:eastAsia="Arial" w:hAnsi="Arial"/>
                <w:sz w:val="20"/>
                <w:szCs w:val="20"/>
                <w:color w:val="auto"/>
                <w:w w:val="91"/>
              </w:rPr>
              <w:t xml:space="preserve">Current portion of long-term debt and finance leases </w:t>
            </w:r>
            <w:r>
              <w:rPr>
                <w:rFonts w:ascii="Arial" w:cs="Arial" w:eastAsia="Arial" w:hAnsi="Arial"/>
                <w:sz w:val="20"/>
                <w:szCs w:val="20"/>
                <w:color w:val="B4B4B4"/>
                <w:w w:val="91"/>
              </w:rPr>
              <w:t>. . . . . . . . . . . . . . . . . . . . . . . . . . . . . . . . . . . . . . . . . .</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312"/>
        </w:trPr>
        <w:tc>
          <w:tcPr>
            <w:tcW w:w="8620" w:type="dxa"/>
            <w:vAlign w:val="bottom"/>
          </w:tcPr>
          <w:p>
            <w:pPr>
              <w:jc w:val="right"/>
              <w:spacing w:after="0"/>
              <w:rPr>
                <w:sz w:val="20"/>
                <w:szCs w:val="20"/>
                <w:color w:val="auto"/>
              </w:rPr>
            </w:pPr>
            <w:r>
              <w:rPr>
                <w:rFonts w:ascii="Arial" w:cs="Arial" w:eastAsia="Arial" w:hAnsi="Arial"/>
                <w:sz w:val="20"/>
                <w:szCs w:val="20"/>
                <w:color w:val="auto"/>
                <w:w w:val="92"/>
              </w:rPr>
              <w:t xml:space="preserve">Current portion of operating lease liabilities </w:t>
            </w:r>
            <w:r>
              <w:rPr>
                <w:rFonts w:ascii="Arial" w:cs="Arial" w:eastAsia="Arial" w:hAnsi="Arial"/>
                <w:sz w:val="20"/>
                <w:szCs w:val="20"/>
                <w:color w:val="B4B4B4"/>
                <w:w w:val="92"/>
              </w:rPr>
              <w:t>. . . . . . . . . . . . . . . . . . . . . . . . . . . . . . . . . . . . . . . . . . . . . . . .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312"/>
        </w:trPr>
        <w:tc>
          <w:tcPr>
            <w:tcW w:w="8620" w:type="dxa"/>
            <w:vAlign w:val="bottom"/>
          </w:tcPr>
          <w:p>
            <w:pPr>
              <w:jc w:val="right"/>
              <w:spacing w:after="0"/>
              <w:rPr>
                <w:sz w:val="20"/>
                <w:szCs w:val="20"/>
                <w:color w:val="auto"/>
              </w:rPr>
            </w:pPr>
            <w:r>
              <w:rPr>
                <w:rFonts w:ascii="Arial" w:cs="Arial" w:eastAsia="Arial" w:hAnsi="Arial"/>
                <w:sz w:val="20"/>
                <w:szCs w:val="20"/>
                <w:color w:val="auto"/>
                <w:w w:val="91"/>
              </w:rPr>
              <w:t xml:space="preserve">Accounts payable </w:t>
            </w:r>
            <w:r>
              <w:rPr>
                <w:rFonts w:ascii="Arial" w:cs="Arial" w:eastAsia="Arial" w:hAnsi="Arial"/>
                <w:sz w:val="20"/>
                <w:szCs w:val="20"/>
                <w:color w:val="B4B4B4"/>
                <w:w w:val="91"/>
              </w:rPr>
              <w:t>. . . . . . . . . . . . . . . . . . . . . . . . . . . . . . . . . . . . . . . . . . . . . . . . . . . . . . . . . . . . . . . . . . . . .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109</w:t>
            </w:r>
          </w:p>
        </w:tc>
        <w:tc>
          <w:tcPr>
            <w:tcW w:w="0" w:type="dxa"/>
            <w:vAlign w:val="bottom"/>
          </w:tcPr>
          <w:p>
            <w:pPr>
              <w:spacing w:after="0"/>
              <w:rPr>
                <w:sz w:val="1"/>
                <w:szCs w:val="1"/>
                <w:color w:val="auto"/>
              </w:rPr>
            </w:pPr>
          </w:p>
        </w:tc>
      </w:tr>
      <w:tr>
        <w:trPr>
          <w:trHeight w:val="312"/>
        </w:trPr>
        <w:tc>
          <w:tcPr>
            <w:tcW w:w="8620" w:type="dxa"/>
            <w:vAlign w:val="bottom"/>
          </w:tcPr>
          <w:p>
            <w:pPr>
              <w:jc w:val="right"/>
              <w:spacing w:after="0"/>
              <w:rPr>
                <w:sz w:val="20"/>
                <w:szCs w:val="20"/>
                <w:color w:val="auto"/>
              </w:rPr>
            </w:pPr>
            <w:r>
              <w:rPr>
                <w:rFonts w:ascii="Arial" w:cs="Arial" w:eastAsia="Arial" w:hAnsi="Arial"/>
                <w:sz w:val="20"/>
                <w:szCs w:val="20"/>
                <w:color w:val="auto"/>
                <w:w w:val="91"/>
              </w:rPr>
              <w:t xml:space="preserve">Derivative instruments </w:t>
            </w:r>
            <w:r>
              <w:rPr>
                <w:rFonts w:ascii="Arial" w:cs="Arial" w:eastAsia="Arial" w:hAnsi="Arial"/>
                <w:sz w:val="20"/>
                <w:szCs w:val="20"/>
                <w:color w:val="B4B4B4"/>
                <w:w w:val="91"/>
              </w:rPr>
              <w:t>. . . . . . . . . . . . . . . . . . . . . . . . . . . . . . . . . . . . . . . . . . . . . . . . . . . . . . . . . . . . . . . . .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312"/>
        </w:trPr>
        <w:tc>
          <w:tcPr>
            <w:tcW w:w="8620" w:type="dxa"/>
            <w:vAlign w:val="bottom"/>
          </w:tcPr>
          <w:p>
            <w:pPr>
              <w:jc w:val="right"/>
              <w:spacing w:after="0"/>
              <w:rPr>
                <w:sz w:val="20"/>
                <w:szCs w:val="20"/>
                <w:color w:val="auto"/>
              </w:rPr>
            </w:pPr>
            <w:r>
              <w:rPr>
                <w:rFonts w:ascii="Arial" w:cs="Arial" w:eastAsia="Arial" w:hAnsi="Arial"/>
                <w:sz w:val="20"/>
                <w:szCs w:val="20"/>
                <w:color w:val="auto"/>
                <w:w w:val="91"/>
              </w:rPr>
              <w:t xml:space="preserve">Deferred revenue current </w:t>
            </w:r>
            <w:r>
              <w:rPr>
                <w:rFonts w:ascii="Arial" w:cs="Arial" w:eastAsia="Arial" w:hAnsi="Arial"/>
                <w:sz w:val="20"/>
                <w:szCs w:val="20"/>
                <w:color w:val="B4B4B4"/>
                <w:w w:val="91"/>
              </w:rPr>
              <w:t>. . . . . . . . . . . . . . . . . . . . . . . . . . . . . . . . . . . . . . . . . . . . . . . . . . . . . . . . . . . . . . .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518</w:t>
            </w:r>
          </w:p>
        </w:tc>
        <w:tc>
          <w:tcPr>
            <w:tcW w:w="0" w:type="dxa"/>
            <w:vAlign w:val="bottom"/>
          </w:tcPr>
          <w:p>
            <w:pPr>
              <w:spacing w:after="0"/>
              <w:rPr>
                <w:sz w:val="1"/>
                <w:szCs w:val="1"/>
                <w:color w:val="auto"/>
              </w:rPr>
            </w:pPr>
          </w:p>
        </w:tc>
      </w:tr>
      <w:tr>
        <w:trPr>
          <w:trHeight w:val="314"/>
        </w:trPr>
        <w:tc>
          <w:tcPr>
            <w:tcW w:w="8620" w:type="dxa"/>
            <w:vAlign w:val="bottom"/>
          </w:tcPr>
          <w:p>
            <w:pPr>
              <w:jc w:val="right"/>
              <w:spacing w:after="0"/>
              <w:rPr>
                <w:sz w:val="20"/>
                <w:szCs w:val="20"/>
                <w:color w:val="auto"/>
              </w:rPr>
            </w:pPr>
            <w:r>
              <w:rPr>
                <w:rFonts w:ascii="Arial" w:cs="Arial" w:eastAsia="Arial" w:hAnsi="Arial"/>
                <w:sz w:val="20"/>
                <w:szCs w:val="20"/>
                <w:color w:val="auto"/>
                <w:w w:val="91"/>
              </w:rPr>
              <w:t xml:space="preserve">Accrued expenses and other current liabilities </w:t>
            </w:r>
            <w:r>
              <w:rPr>
                <w:rFonts w:ascii="Arial" w:cs="Arial" w:eastAsia="Arial" w:hAnsi="Arial"/>
                <w:sz w:val="20"/>
                <w:szCs w:val="20"/>
                <w:color w:val="B4B4B4"/>
                <w:w w:val="91"/>
              </w:rPr>
              <w:t>. . . . . . . . . . . . . . . . . . . . . . . . . . . . . . . . . . . . . . . . . . . . . . . .</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207</w:t>
            </w:r>
          </w:p>
        </w:tc>
        <w:tc>
          <w:tcPr>
            <w:tcW w:w="0" w:type="dxa"/>
            <w:vAlign w:val="bottom"/>
          </w:tcPr>
          <w:p>
            <w:pPr>
              <w:spacing w:after="0"/>
              <w:rPr>
                <w:sz w:val="1"/>
                <w:szCs w:val="1"/>
                <w:color w:val="auto"/>
              </w:rPr>
            </w:pPr>
          </w:p>
        </w:tc>
      </w:tr>
      <w:tr>
        <w:trPr>
          <w:trHeight w:val="292"/>
        </w:trPr>
        <w:tc>
          <w:tcPr>
            <w:tcW w:w="8620" w:type="dxa"/>
            <w:vAlign w:val="bottom"/>
          </w:tcPr>
          <w:p>
            <w:pPr>
              <w:jc w:val="right"/>
              <w:spacing w:after="0"/>
              <w:rPr>
                <w:sz w:val="20"/>
                <w:szCs w:val="20"/>
                <w:color w:val="auto"/>
              </w:rPr>
            </w:pPr>
            <w:r>
              <w:rPr>
                <w:rFonts w:ascii="Arial" w:cs="Arial" w:eastAsia="Arial" w:hAnsi="Arial"/>
                <w:sz w:val="20"/>
                <w:szCs w:val="20"/>
                <w:color w:val="auto"/>
                <w:w w:val="95"/>
              </w:rPr>
              <w:t xml:space="preserve">Total current liabilities </w:t>
            </w:r>
            <w:r>
              <w:rPr>
                <w:rFonts w:ascii="Arial" w:cs="Arial" w:eastAsia="Arial" w:hAnsi="Arial"/>
                <w:sz w:val="20"/>
                <w:szCs w:val="20"/>
                <w:color w:val="B4B4B4"/>
                <w:w w:val="95"/>
              </w:rPr>
              <w:t>. . . . . . . . . . . . . . . . . . . . . . . . . . . . . . . . . . . . . . . . . . . . . . . . . . . . . . . . . . . . . . .</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941</w:t>
            </w:r>
          </w:p>
        </w:tc>
        <w:tc>
          <w:tcPr>
            <w:tcW w:w="0" w:type="dxa"/>
            <w:vAlign w:val="bottom"/>
          </w:tcPr>
          <w:p>
            <w:pPr>
              <w:spacing w:after="0"/>
              <w:rPr>
                <w:sz w:val="1"/>
                <w:szCs w:val="1"/>
                <w:color w:val="auto"/>
              </w:rPr>
            </w:pPr>
          </w:p>
        </w:tc>
      </w:tr>
      <w:tr>
        <w:trPr>
          <w:trHeight w:val="290"/>
        </w:trPr>
        <w:tc>
          <w:tcPr>
            <w:tcW w:w="8620" w:type="dxa"/>
            <w:vAlign w:val="bottom"/>
          </w:tcPr>
          <w:p>
            <w:pPr>
              <w:spacing w:after="0"/>
              <w:rPr>
                <w:sz w:val="20"/>
                <w:szCs w:val="20"/>
                <w:color w:val="auto"/>
              </w:rPr>
            </w:pPr>
            <w:r>
              <w:rPr>
                <w:rFonts w:ascii="Arial" w:cs="Arial" w:eastAsia="Arial" w:hAnsi="Arial"/>
                <w:sz w:val="20"/>
                <w:szCs w:val="20"/>
                <w:b w:val="1"/>
                <w:bCs w:val="1"/>
                <w:color w:val="auto"/>
              </w:rPr>
              <w:t>Other Liabilities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620" w:type="dxa"/>
            <w:vAlign w:val="bottom"/>
          </w:tcPr>
          <w:p>
            <w:pPr>
              <w:jc w:val="right"/>
              <w:spacing w:after="0"/>
              <w:rPr>
                <w:sz w:val="20"/>
                <w:szCs w:val="20"/>
                <w:color w:val="auto"/>
              </w:rPr>
            </w:pPr>
            <w:r>
              <w:rPr>
                <w:rFonts w:ascii="Arial" w:cs="Arial" w:eastAsia="Arial" w:hAnsi="Arial"/>
                <w:sz w:val="20"/>
                <w:szCs w:val="20"/>
                <w:color w:val="auto"/>
                <w:w w:val="90"/>
              </w:rPr>
              <w:t xml:space="preserve">Long-term debt and finance leases </w:t>
            </w:r>
            <w:r>
              <w:rPr>
                <w:rFonts w:ascii="Arial" w:cs="Arial" w:eastAsia="Arial" w:hAnsi="Arial"/>
                <w:sz w:val="20"/>
                <w:szCs w:val="20"/>
                <w:color w:val="B4B4B4"/>
                <w:w w:val="90"/>
              </w:rPr>
              <w:t>. . . . . . . . . . . . . . . . . . . . . . . . . . . . . . . . . . . . . . . . . . . . . . . . . . . . . . . .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2,572</w:t>
            </w:r>
          </w:p>
        </w:tc>
        <w:tc>
          <w:tcPr>
            <w:tcW w:w="0" w:type="dxa"/>
            <w:vAlign w:val="bottom"/>
          </w:tcPr>
          <w:p>
            <w:pPr>
              <w:spacing w:after="0"/>
              <w:rPr>
                <w:sz w:val="1"/>
                <w:szCs w:val="1"/>
                <w:color w:val="auto"/>
              </w:rPr>
            </w:pPr>
          </w:p>
        </w:tc>
      </w:tr>
      <w:tr>
        <w:trPr>
          <w:trHeight w:val="312"/>
        </w:trPr>
        <w:tc>
          <w:tcPr>
            <w:tcW w:w="8620" w:type="dxa"/>
            <w:vAlign w:val="bottom"/>
          </w:tcPr>
          <w:p>
            <w:pPr>
              <w:jc w:val="right"/>
              <w:spacing w:after="0"/>
              <w:rPr>
                <w:sz w:val="20"/>
                <w:szCs w:val="20"/>
                <w:color w:val="auto"/>
              </w:rPr>
            </w:pPr>
            <w:r>
              <w:rPr>
                <w:rFonts w:ascii="Arial" w:cs="Arial" w:eastAsia="Arial" w:hAnsi="Arial"/>
                <w:sz w:val="20"/>
                <w:szCs w:val="20"/>
                <w:color w:val="auto"/>
                <w:w w:val="91"/>
              </w:rPr>
              <w:t xml:space="preserve">Non-current operating lease liabilities </w:t>
            </w:r>
            <w:r>
              <w:rPr>
                <w:rFonts w:ascii="Arial" w:cs="Arial" w:eastAsia="Arial" w:hAnsi="Arial"/>
                <w:sz w:val="20"/>
                <w:szCs w:val="20"/>
                <w:color w:val="B4B4B4"/>
                <w:w w:val="91"/>
              </w:rPr>
              <w:t>. . . . . . . . . . . . . . . . . . . . . . . . . . . . . . . . . . . . . . . . . . . . . . . . . . . . .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312"/>
        </w:trPr>
        <w:tc>
          <w:tcPr>
            <w:tcW w:w="8620" w:type="dxa"/>
            <w:vAlign w:val="bottom"/>
          </w:tcPr>
          <w:p>
            <w:pPr>
              <w:jc w:val="right"/>
              <w:spacing w:after="0"/>
              <w:rPr>
                <w:sz w:val="20"/>
                <w:szCs w:val="20"/>
                <w:color w:val="auto"/>
              </w:rPr>
            </w:pPr>
            <w:r>
              <w:rPr>
                <w:rFonts w:ascii="Arial" w:cs="Arial" w:eastAsia="Arial" w:hAnsi="Arial"/>
                <w:sz w:val="20"/>
                <w:szCs w:val="20"/>
                <w:color w:val="auto"/>
                <w:w w:val="91"/>
              </w:rPr>
              <w:t xml:space="preserve">Derivative instruments </w:t>
            </w:r>
            <w:r>
              <w:rPr>
                <w:rFonts w:ascii="Arial" w:cs="Arial" w:eastAsia="Arial" w:hAnsi="Arial"/>
                <w:sz w:val="20"/>
                <w:szCs w:val="20"/>
                <w:color w:val="B4B4B4"/>
                <w:w w:val="91"/>
              </w:rPr>
              <w:t>. . . . . . . . . . . . . . . . . . . . . . . . . . . . . . . . . . . . . . . . . . . . . . . . . . . . . . . . . . . . . . . . .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312"/>
        </w:trPr>
        <w:tc>
          <w:tcPr>
            <w:tcW w:w="8620" w:type="dxa"/>
            <w:vAlign w:val="bottom"/>
          </w:tcPr>
          <w:p>
            <w:pPr>
              <w:jc w:val="right"/>
              <w:spacing w:after="0"/>
              <w:rPr>
                <w:sz w:val="20"/>
                <w:szCs w:val="20"/>
                <w:color w:val="auto"/>
              </w:rPr>
            </w:pPr>
            <w:r>
              <w:rPr>
                <w:rFonts w:ascii="Arial" w:cs="Arial" w:eastAsia="Arial" w:hAnsi="Arial"/>
                <w:sz w:val="20"/>
                <w:szCs w:val="20"/>
                <w:color w:val="auto"/>
                <w:w w:val="91"/>
              </w:rPr>
              <w:t xml:space="preserve">Deferred income taxes </w:t>
            </w:r>
            <w:r>
              <w:rPr>
                <w:rFonts w:ascii="Arial" w:cs="Arial" w:eastAsia="Arial" w:hAnsi="Arial"/>
                <w:sz w:val="20"/>
                <w:szCs w:val="20"/>
                <w:color w:val="B4B4B4"/>
                <w:w w:val="91"/>
              </w:rPr>
              <w:t>. . . . . . . . . . . . . . . . . . . . . . . . . . . . . . . . . . . . . . . . . . . . . . . . . . . . . . . . . . . . . . . . .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312"/>
        </w:trPr>
        <w:tc>
          <w:tcPr>
            <w:tcW w:w="8620" w:type="dxa"/>
            <w:vAlign w:val="bottom"/>
          </w:tcPr>
          <w:p>
            <w:pPr>
              <w:jc w:val="right"/>
              <w:spacing w:after="0"/>
              <w:rPr>
                <w:sz w:val="20"/>
                <w:szCs w:val="20"/>
                <w:color w:val="auto"/>
              </w:rPr>
            </w:pPr>
            <w:r>
              <w:rPr>
                <w:rFonts w:ascii="Arial" w:cs="Arial" w:eastAsia="Arial" w:hAnsi="Arial"/>
                <w:sz w:val="20"/>
                <w:szCs w:val="20"/>
                <w:color w:val="auto"/>
                <w:w w:val="90"/>
              </w:rPr>
              <w:t xml:space="preserve">Deferred revenue non-current </w:t>
            </w:r>
            <w:r>
              <w:rPr>
                <w:rFonts w:ascii="Arial" w:cs="Arial" w:eastAsia="Arial" w:hAnsi="Arial"/>
                <w:sz w:val="20"/>
                <w:szCs w:val="20"/>
                <w:color w:val="B4B4B4"/>
                <w:w w:val="90"/>
              </w:rPr>
              <w:t>. . . . . . . . . . . . . . . . . . . . . . . . . . . . . . . . . . . . . . . . . . . . . . . . . . . . . . . . . . . .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837</w:t>
            </w:r>
          </w:p>
        </w:tc>
        <w:tc>
          <w:tcPr>
            <w:tcW w:w="0" w:type="dxa"/>
            <w:vAlign w:val="bottom"/>
          </w:tcPr>
          <w:p>
            <w:pPr>
              <w:spacing w:after="0"/>
              <w:rPr>
                <w:sz w:val="1"/>
                <w:szCs w:val="1"/>
                <w:color w:val="auto"/>
              </w:rPr>
            </w:pPr>
          </w:p>
        </w:tc>
      </w:tr>
      <w:tr>
        <w:trPr>
          <w:trHeight w:val="314"/>
        </w:trPr>
        <w:tc>
          <w:tcPr>
            <w:tcW w:w="8620" w:type="dxa"/>
            <w:vAlign w:val="bottom"/>
          </w:tcPr>
          <w:p>
            <w:pPr>
              <w:jc w:val="right"/>
              <w:spacing w:after="0"/>
              <w:rPr>
                <w:sz w:val="20"/>
                <w:szCs w:val="20"/>
                <w:color w:val="auto"/>
              </w:rPr>
            </w:pPr>
            <w:r>
              <w:rPr>
                <w:rFonts w:ascii="Arial" w:cs="Arial" w:eastAsia="Arial" w:hAnsi="Arial"/>
                <w:sz w:val="20"/>
                <w:szCs w:val="20"/>
                <w:color w:val="auto"/>
                <w:w w:val="91"/>
              </w:rPr>
              <w:t xml:space="preserve">Other non-current liabilities </w:t>
            </w:r>
            <w:r>
              <w:rPr>
                <w:rFonts w:ascii="Arial" w:cs="Arial" w:eastAsia="Arial" w:hAnsi="Arial"/>
                <w:sz w:val="20"/>
                <w:szCs w:val="20"/>
                <w:color w:val="B4B4B4"/>
                <w:w w:val="91"/>
              </w:rPr>
              <w:t>. . . . . . . . . . . . . . . . . . . . . . . . . . . . . . . . . . . . . . . . . . . . . . . . . . . . . . . . . . . . . .</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92"/>
        </w:trPr>
        <w:tc>
          <w:tcPr>
            <w:tcW w:w="8620" w:type="dxa"/>
            <w:vAlign w:val="bottom"/>
          </w:tcPr>
          <w:p>
            <w:pPr>
              <w:jc w:val="right"/>
              <w:spacing w:after="0"/>
              <w:rPr>
                <w:sz w:val="20"/>
                <w:szCs w:val="20"/>
                <w:color w:val="auto"/>
              </w:rPr>
            </w:pPr>
            <w:r>
              <w:rPr>
                <w:rFonts w:ascii="Arial" w:cs="Arial" w:eastAsia="Arial" w:hAnsi="Arial"/>
                <w:sz w:val="20"/>
                <w:szCs w:val="20"/>
                <w:color w:val="auto"/>
                <w:w w:val="94"/>
              </w:rPr>
              <w:t xml:space="preserve">Total other liabilities </w:t>
            </w:r>
            <w:r>
              <w:rPr>
                <w:rFonts w:ascii="Arial" w:cs="Arial" w:eastAsia="Arial" w:hAnsi="Arial"/>
                <w:sz w:val="20"/>
                <w:szCs w:val="20"/>
                <w:color w:val="B4B4B4"/>
                <w:w w:val="94"/>
              </w:rPr>
              <w:t>. . . . . . . . . . . . . . . . . . . . . . . . . . . . . . . . . . . . . . . . . . . . . . . . . . . . . . . . . . . . . . . . .</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3,510</w:t>
            </w:r>
          </w:p>
        </w:tc>
        <w:tc>
          <w:tcPr>
            <w:tcW w:w="0" w:type="dxa"/>
            <w:vAlign w:val="bottom"/>
          </w:tcPr>
          <w:p>
            <w:pPr>
              <w:spacing w:after="0"/>
              <w:rPr>
                <w:sz w:val="1"/>
                <w:szCs w:val="1"/>
                <w:color w:val="auto"/>
              </w:rPr>
            </w:pPr>
          </w:p>
        </w:tc>
      </w:tr>
      <w:tr>
        <w:trPr>
          <w:trHeight w:val="272"/>
        </w:trPr>
        <w:tc>
          <w:tcPr>
            <w:tcW w:w="8620" w:type="dxa"/>
            <w:vAlign w:val="bottom"/>
          </w:tcPr>
          <w:p>
            <w:pPr>
              <w:jc w:val="right"/>
              <w:spacing w:after="0"/>
              <w:rPr>
                <w:sz w:val="20"/>
                <w:szCs w:val="20"/>
                <w:color w:val="auto"/>
              </w:rPr>
            </w:pPr>
            <w:r>
              <w:rPr>
                <w:rFonts w:ascii="Arial" w:cs="Arial" w:eastAsia="Arial" w:hAnsi="Arial"/>
                <w:sz w:val="20"/>
                <w:szCs w:val="20"/>
                <w:b w:val="1"/>
                <w:bCs w:val="1"/>
                <w:color w:val="auto"/>
                <w:w w:val="90"/>
              </w:rPr>
              <w:t xml:space="preserve">Total Liabilities </w:t>
            </w:r>
            <w:r>
              <w:rPr>
                <w:rFonts w:ascii="Arial" w:cs="Arial" w:eastAsia="Arial" w:hAnsi="Arial"/>
                <w:sz w:val="20"/>
                <w:szCs w:val="20"/>
                <w:b w:val="1"/>
                <w:bCs w:val="1"/>
                <w:color w:val="B4B4B4"/>
                <w:w w:val="90"/>
              </w:rPr>
              <w:t>. . . . . . . . . . . . . . . . . . . . . . . . . . . . . . . . . . . . . . . . . . . . . . . . . . . . . . . . . . . . . . . . . . . . . . . .</w:t>
            </w:r>
          </w:p>
        </w:tc>
        <w:tc>
          <w:tcPr>
            <w:tcW w:w="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4,451</w:t>
            </w:r>
          </w:p>
        </w:tc>
        <w:tc>
          <w:tcPr>
            <w:tcW w:w="0" w:type="dxa"/>
            <w:vAlign w:val="bottom"/>
          </w:tcPr>
          <w:p>
            <w:pPr>
              <w:spacing w:after="0"/>
              <w:rPr>
                <w:sz w:val="1"/>
                <w:szCs w:val="1"/>
                <w:color w:val="auto"/>
              </w:rPr>
            </w:pPr>
          </w:p>
        </w:tc>
      </w:tr>
      <w:tr>
        <w:trPr>
          <w:trHeight w:val="20"/>
        </w:trPr>
        <w:tc>
          <w:tcPr>
            <w:tcW w:w="8620" w:type="dxa"/>
            <w:vAlign w:val="bottom"/>
            <w:vMerge w:val="restart"/>
          </w:tcPr>
          <w:p>
            <w:pPr>
              <w:jc w:val="right"/>
              <w:spacing w:after="0"/>
              <w:rPr>
                <w:sz w:val="20"/>
                <w:szCs w:val="20"/>
                <w:color w:val="auto"/>
              </w:rPr>
            </w:pPr>
            <w:r>
              <w:rPr>
                <w:rFonts w:ascii="Arial" w:cs="Arial" w:eastAsia="Arial" w:hAnsi="Arial"/>
                <w:sz w:val="20"/>
                <w:szCs w:val="20"/>
                <w:b w:val="1"/>
                <w:bCs w:val="1"/>
                <w:color w:val="auto"/>
                <w:w w:val="89"/>
              </w:rPr>
              <w:t xml:space="preserve">Vivint Smart Home Purchase Price </w:t>
            </w:r>
            <w:r>
              <w:rPr>
                <w:rFonts w:ascii="Arial" w:cs="Arial" w:eastAsia="Arial" w:hAnsi="Arial"/>
                <w:sz w:val="20"/>
                <w:szCs w:val="20"/>
                <w:b w:val="1"/>
                <w:bCs w:val="1"/>
                <w:color w:val="B4B4B4"/>
                <w:w w:val="89"/>
              </w:rPr>
              <w:t>. . . . . . . . . . . . . . . . . . . . . . . . . . . . . . . . . . . . . . . . . . . . . . . . . . . . . . . .</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8620" w:type="dxa"/>
            <w:vAlign w:val="bottom"/>
            <w:vMerge w:val="continue"/>
          </w:tcPr>
          <w:p>
            <w:pPr>
              <w:spacing w:after="0"/>
              <w:rPr>
                <w:sz w:val="24"/>
                <w:szCs w:val="24"/>
                <w:color w:val="auto"/>
              </w:rPr>
            </w:pPr>
          </w:p>
        </w:tc>
        <w:tc>
          <w:tcPr>
            <w:tcW w:w="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2,623</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-7914005</wp:posOffset>
            </wp:positionV>
            <wp:extent cx="6475095" cy="7920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0">
                      <a:extLst>
                        <a:ext uri="{28A0092B-C50C-407E-A947-70E740481C1C}"/>
                      </a:extLst>
                    </a:blip>
                    <a:srcRect/>
                    <a:stretch>
                      <a:fillRect/>
                    </a:stretch>
                  </pic:blipFill>
                  <pic:spPr bwMode="auto">
                    <a:xfrm>
                      <a:off x="0" y="0"/>
                      <a:ext cx="6475095" cy="7920990"/>
                    </a:xfrm>
                    <a:prstGeom prst="rect">
                      <a:avLst/>
                    </a:prstGeom>
                    <a:noFill/>
                  </pic:spPr>
                </pic:pic>
              </a:graphicData>
            </a:graphic>
          </wp:anchor>
        </w:drawing>
      </w:r>
    </w:p>
    <w:p>
      <w:pPr>
        <w:jc w:val="both"/>
        <w:ind w:left="439" w:hanging="439"/>
        <w:spacing w:after="0" w:line="255" w:lineRule="auto"/>
        <w:tabs>
          <w:tab w:leader="none" w:pos="439" w:val="left"/>
        </w:tabs>
        <w:numPr>
          <w:ilvl w:val="0"/>
          <w:numId w:val="61"/>
        </w:numPr>
        <w:rPr>
          <w:rFonts w:ascii="Arial" w:cs="Arial" w:eastAsia="Arial" w:hAnsi="Arial"/>
          <w:sz w:val="16"/>
          <w:szCs w:val="16"/>
          <w:color w:val="auto"/>
        </w:rPr>
      </w:pPr>
      <w:r>
        <w:rPr>
          <w:rFonts w:ascii="Arial" w:cs="Arial" w:eastAsia="Arial" w:hAnsi="Arial"/>
          <w:sz w:val="16"/>
          <w:szCs w:val="16"/>
          <w:color w:val="auto"/>
        </w:rPr>
        <w:t>Goodwill arising from the acquisition is attributed to the value of the platform acquired, cross-selling opportunities, subscriber growth and the synergies expected from combining the operations of Vivint Smart Home with NRG's existing businesses. None of the goodwill recorded will be deductible for tax purposes</w:t>
      </w:r>
    </w:p>
    <w:p>
      <w:pPr>
        <w:ind w:left="439" w:hanging="439"/>
        <w:spacing w:after="0"/>
        <w:tabs>
          <w:tab w:leader="none" w:pos="439"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weighted average amortization period for total amortizable intangible assets is approximately ten years</w:t>
      </w:r>
    </w:p>
    <w:p>
      <w:pPr>
        <w:sectPr>
          <w:pgSz w:w="11880" w:h="15480" w:orient="portrait"/>
          <w:cols w:equalWidth="0" w:num="1">
            <w:col w:w="10159"/>
          </w:cols>
          <w:pgMar w:left="861" w:top="512" w:right="860" w:bottom="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110</w:t>
      </w:r>
    </w:p>
    <w:p>
      <w:pPr>
        <w:sectPr>
          <w:pgSz w:w="11880" w:h="15480" w:orient="portrait"/>
          <w:cols w:equalWidth="0" w:num="1">
            <w:col w:w="10159"/>
          </w:cols>
          <w:pgMar w:left="861" w:top="512" w:right="860" w:bottom="0" w:gutter="0" w:footer="0" w:header="0"/>
          <w:type w:val="continuous"/>
        </w:sectPr>
      </w:pPr>
    </w:p>
    <w:bookmarkStart w:id="112" w:name="page113"/>
    <w:bookmarkEnd w:id="112"/>
    <w:p>
      <w:pPr>
        <w:ind w:left="440"/>
        <w:spacing w:after="0"/>
        <w:rPr>
          <w:sz w:val="20"/>
          <w:szCs w:val="20"/>
          <w:color w:val="auto"/>
        </w:rPr>
      </w:pPr>
      <w:r>
        <w:rPr>
          <w:rFonts w:ascii="Arial" w:cs="Arial" w:eastAsia="Arial" w:hAnsi="Arial"/>
          <w:sz w:val="20"/>
          <w:szCs w:val="20"/>
          <w:b w:val="1"/>
          <w:bCs w:val="1"/>
          <w:i w:val="1"/>
          <w:iCs w:val="1"/>
          <w:color w:val="auto"/>
        </w:rPr>
        <w:t>Dispositions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2024 Disposition</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Sale of Airtron</w:t>
      </w:r>
    </w:p>
    <w:p>
      <w:pPr>
        <w:spacing w:after="0" w:line="130" w:lineRule="exact"/>
        <w:rPr>
          <w:sz w:val="20"/>
          <w:szCs w:val="20"/>
          <w:color w:val="auto"/>
        </w:rPr>
      </w:pPr>
    </w:p>
    <w:p>
      <w:pPr>
        <w:jc w:val="both"/>
        <w:ind w:firstLine="445"/>
        <w:spacing w:after="0" w:line="305" w:lineRule="auto"/>
        <w:rPr>
          <w:sz w:val="20"/>
          <w:szCs w:val="20"/>
          <w:color w:val="auto"/>
        </w:rPr>
      </w:pPr>
      <w:r>
        <w:rPr>
          <w:rFonts w:ascii="Arial" w:cs="Arial" w:eastAsia="Arial" w:hAnsi="Arial"/>
          <w:sz w:val="18"/>
          <w:szCs w:val="18"/>
          <w:color w:val="auto"/>
        </w:rPr>
        <w:t>On September 16, 2024, the Company closed on the sale of its 100% ownership in the Airtron business unit. Proceeds of $500 million were reduced by working capital and other adjustments of $20 million, resulting in net proceeds of $480 million. The Company recorded a gain on the sale of $204 million within the West/Services/Other region of operations.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2023 Dispositions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Sale of the 44% equity interest in STP</w:t>
      </w:r>
    </w:p>
    <w:p>
      <w:pPr>
        <w:spacing w:after="0" w:line="130" w:lineRule="exact"/>
        <w:rPr>
          <w:sz w:val="20"/>
          <w:szCs w:val="20"/>
          <w:color w:val="auto"/>
        </w:rPr>
      </w:pPr>
    </w:p>
    <w:p>
      <w:pPr>
        <w:jc w:val="both"/>
        <w:ind w:firstLine="445"/>
        <w:spacing w:after="0" w:line="295" w:lineRule="auto"/>
        <w:rPr>
          <w:sz w:val="20"/>
          <w:szCs w:val="20"/>
          <w:color w:val="auto"/>
        </w:rPr>
      </w:pPr>
      <w:r>
        <w:rPr>
          <w:rFonts w:ascii="Arial" w:cs="Arial" w:eastAsia="Arial" w:hAnsi="Arial"/>
          <w:sz w:val="18"/>
          <w:szCs w:val="18"/>
          <w:color w:val="auto"/>
        </w:rPr>
        <w:t xml:space="preserve">On November 1, 2023, the Company closed on the sale of its 44% equity interest in STP to Constellation Energy Generation ("Constellation"). Proceeds of $1.75 billion were reduced by working capital and other adjustments of $96 million, resulting in net proceeds of $1.654 billion. The Company recorded a gain on the sale of $1.2 billion within the Texas region of operations. For discussion of the litigation matter related to the transaction, see Note 22, </w:t>
      </w:r>
      <w:r>
        <w:rPr>
          <w:rFonts w:ascii="Arial" w:cs="Arial" w:eastAsia="Arial" w:hAnsi="Arial"/>
          <w:sz w:val="18"/>
          <w:szCs w:val="18"/>
          <w:b w:val="1"/>
          <w:bCs w:val="1"/>
          <w:i w:val="1"/>
          <w:iCs w:val="1"/>
          <w:color w:val="auto"/>
        </w:rPr>
        <w:t>Commitments and Contingencies.</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Sale of Gregory</w:t>
      </w:r>
    </w:p>
    <w:p>
      <w:pPr>
        <w:spacing w:after="0" w:line="13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On October 2, 2023, the Company closed on the sale of its 100% ownership in the Gregory natural gas generating facility in Texas for $102 million. The Company recorded a gain on the sale of $82 million.</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Sale of Astoria</w:t>
      </w:r>
    </w:p>
    <w:p>
      <w:pPr>
        <w:spacing w:after="0" w:line="130"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On January 6, 2023, the Company closed on the sale of land and related generation assets from the Astoria site, within the East region of operations, for proceeds of $212 million, subject to transaction fees of $3 million and certain indemnifications, resulting in a $199 million gain.</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2022 Disposition</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Sale of Watson</w:t>
      </w:r>
    </w:p>
    <w:p>
      <w:pPr>
        <w:spacing w:after="0" w:line="130" w:lineRule="exact"/>
        <w:rPr>
          <w:sz w:val="20"/>
          <w:szCs w:val="20"/>
          <w:color w:val="auto"/>
        </w:rPr>
      </w:pPr>
    </w:p>
    <w:p>
      <w:pPr>
        <w:jc w:val="both"/>
        <w:ind w:firstLine="445"/>
        <w:spacing w:after="0" w:line="335" w:lineRule="auto"/>
        <w:rPr>
          <w:sz w:val="20"/>
          <w:szCs w:val="20"/>
          <w:color w:val="auto"/>
        </w:rPr>
      </w:pPr>
      <w:r>
        <w:rPr>
          <w:rFonts w:ascii="Arial" w:cs="Arial" w:eastAsia="Arial" w:hAnsi="Arial"/>
          <w:sz w:val="18"/>
          <w:szCs w:val="18"/>
          <w:color w:val="auto"/>
        </w:rPr>
        <w:t>On June 1, 2022, the Company closed on the sale of its 49% ownership in the Watson natural gas generating facility for $59 million. The Company recorded a gain on the sale of $46 million within the West/Services/Other region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5 — </w:t>
      </w:r>
      <w:r>
        <w:rPr>
          <w:rFonts w:ascii="Arial" w:cs="Arial" w:eastAsia="Arial" w:hAnsi="Arial"/>
          <w:sz w:val="20"/>
          <w:szCs w:val="20"/>
          <w:b w:val="1"/>
          <w:bCs w:val="1"/>
          <w:i w:val="1"/>
          <w:iCs w:val="1"/>
          <w:color w:val="auto"/>
        </w:rPr>
        <w:t>Fair Value of Financial Instruments</w:t>
      </w:r>
    </w:p>
    <w:p>
      <w:pPr>
        <w:spacing w:after="0" w:line="13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For cash and cash equivalents, funds deposited by counterparties, restricted cash, accounts and other receivables, accounts payable and cash collateral paid and received in support of energy risk management activities, the carrying amount approximates fair value because of the short-term maturity of those instruments and are classified as Level 1 within the fair value hierarchy.</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estimated carrying value and fair value of the Company's long-term debt, including current portion, is as follows:</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w w:val="90"/>
              </w:rPr>
              <w:t>As of December 31,</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32"/>
        </w:trPr>
        <w:tc>
          <w:tcPr>
            <w:tcW w:w="4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32"/>
        </w:trPr>
        <w:tc>
          <w:tcPr>
            <w:tcW w:w="422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5"/>
              </w:rPr>
              <w:t>Carrying Amount</w:t>
            </w: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45"/>
              <w:spacing w:after="0"/>
              <w:rPr>
                <w:sz w:val="20"/>
                <w:szCs w:val="20"/>
                <w:color w:val="auto"/>
              </w:rPr>
            </w:pPr>
            <w:r>
              <w:rPr>
                <w:rFonts w:ascii="Arial" w:cs="Arial" w:eastAsia="Arial" w:hAnsi="Arial"/>
                <w:sz w:val="18"/>
                <w:szCs w:val="18"/>
                <w:b w:val="1"/>
                <w:bCs w:val="1"/>
                <w:color w:val="auto"/>
                <w:w w:val="97"/>
              </w:rPr>
              <w:t>Fair Value</w:t>
            </w:r>
          </w:p>
        </w:tc>
        <w:tc>
          <w:tcPr>
            <w:tcW w:w="80" w:type="dxa"/>
            <w:vAlign w:val="bottom"/>
          </w:tcPr>
          <w:p>
            <w:pPr>
              <w:spacing w:after="0"/>
              <w:rPr>
                <w:sz w:val="20"/>
                <w:szCs w:val="20"/>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5"/>
              </w:rPr>
              <w:t>Carrying Amount</w:t>
            </w: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63"/>
              <w:spacing w:after="0"/>
              <w:rPr>
                <w:sz w:val="20"/>
                <w:szCs w:val="20"/>
                <w:color w:val="auto"/>
              </w:rPr>
            </w:pPr>
            <w:r>
              <w:rPr>
                <w:rFonts w:ascii="Arial" w:cs="Arial" w:eastAsia="Arial" w:hAnsi="Arial"/>
                <w:sz w:val="18"/>
                <w:szCs w:val="18"/>
                <w:b w:val="1"/>
                <w:bCs w:val="1"/>
                <w:color w:val="auto"/>
                <w:w w:val="97"/>
              </w:rPr>
              <w:t>Fair Value</w:t>
            </w:r>
          </w:p>
        </w:tc>
      </w:tr>
      <w:tr>
        <w:trPr>
          <w:trHeight w:val="275"/>
        </w:trPr>
        <w:tc>
          <w:tcPr>
            <w:tcW w:w="4220" w:type="dxa"/>
            <w:vAlign w:val="bottom"/>
          </w:tcPr>
          <w:p>
            <w:pPr>
              <w:ind w:left="120"/>
              <w:spacing w:after="0"/>
              <w:rPr>
                <w:sz w:val="20"/>
                <w:szCs w:val="20"/>
                <w:color w:val="auto"/>
              </w:rPr>
            </w:pPr>
            <w:r>
              <w:rPr>
                <w:rFonts w:ascii="Arial" w:cs="Arial" w:eastAsia="Arial" w:hAnsi="Arial"/>
                <w:sz w:val="20"/>
                <w:szCs w:val="20"/>
                <w:color w:val="auto"/>
                <w:w w:val="91"/>
              </w:rPr>
              <w:t xml:space="preserve">Convertible Senior Notes </w:t>
            </w:r>
            <w:r>
              <w:rPr>
                <w:rFonts w:ascii="Arial" w:cs="Arial" w:eastAsia="Arial" w:hAnsi="Arial"/>
                <w:sz w:val="20"/>
                <w:szCs w:val="20"/>
                <w:color w:val="B4B4B4"/>
                <w:w w:val="91"/>
              </w:rPr>
              <w:t>. . . . . . . . . . . . . . . . . . . .</w:t>
            </w:r>
          </w:p>
        </w:tc>
        <w:tc>
          <w:tcPr>
            <w:tcW w:w="500" w:type="dxa"/>
            <w:vAlign w:val="bottom"/>
          </w:tcPr>
          <w:p>
            <w:pPr>
              <w:ind w:left="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232</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509</w:t>
            </w:r>
          </w:p>
        </w:tc>
        <w:tc>
          <w:tcPr>
            <w:tcW w:w="8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575</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739</w:t>
            </w:r>
          </w:p>
        </w:tc>
      </w:tr>
      <w:tr>
        <w:trPr>
          <w:trHeight w:val="299"/>
        </w:trPr>
        <w:tc>
          <w:tcPr>
            <w:tcW w:w="4220" w:type="dxa"/>
            <w:vAlign w:val="bottom"/>
          </w:tcPr>
          <w:p>
            <w:pPr>
              <w:ind w:left="120"/>
              <w:spacing w:after="0"/>
              <w:rPr>
                <w:sz w:val="20"/>
                <w:szCs w:val="20"/>
                <w:color w:val="auto"/>
              </w:rPr>
            </w:pPr>
            <w:r>
              <w:rPr>
                <w:rFonts w:ascii="Arial" w:cs="Arial" w:eastAsia="Arial" w:hAnsi="Arial"/>
                <w:sz w:val="20"/>
                <w:szCs w:val="20"/>
                <w:color w:val="auto"/>
                <w:w w:val="93"/>
              </w:rPr>
              <w:t xml:space="preserve">Other long-term debt, including current portion  </w:t>
            </w:r>
            <w:r>
              <w:rPr>
                <w:rFonts w:ascii="Arial" w:cs="Arial" w:eastAsia="Arial" w:hAnsi="Arial"/>
                <w:sz w:val="20"/>
                <w:szCs w:val="20"/>
                <w:color w:val="B4B4B4"/>
                <w:w w:val="93"/>
              </w:rPr>
              <w:t>. .</w:t>
            </w: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10,648</w:t>
            </w: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10,252</w:t>
            </w:r>
          </w:p>
        </w:tc>
        <w:tc>
          <w:tcPr>
            <w:tcW w:w="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10,219</w:t>
            </w: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9,835</w:t>
            </w:r>
          </w:p>
        </w:tc>
      </w:tr>
      <w:tr>
        <w:trPr>
          <w:trHeight w:val="257"/>
        </w:trPr>
        <w:tc>
          <w:tcPr>
            <w:tcW w:w="4220" w:type="dxa"/>
            <w:vAlign w:val="bottom"/>
          </w:tcPr>
          <w:p>
            <w:pPr>
              <w:ind w:left="240"/>
              <w:spacing w:after="0" w:line="257" w:lineRule="exact"/>
              <w:rPr>
                <w:sz w:val="20"/>
                <w:szCs w:val="20"/>
                <w:color w:val="auto"/>
              </w:rPr>
            </w:pPr>
            <w:r>
              <w:rPr>
                <w:rFonts w:ascii="Arial" w:cs="Arial" w:eastAsia="Arial" w:hAnsi="Arial"/>
                <w:sz w:val="20"/>
                <w:szCs w:val="20"/>
                <w:color w:val="auto"/>
                <w:w w:val="93"/>
              </w:rPr>
              <w:t>Total long-term debt, including current portion</w:t>
            </w:r>
            <w:r>
              <w:rPr>
                <w:rFonts w:ascii="Arial" w:cs="Arial" w:eastAsia="Arial" w:hAnsi="Arial"/>
                <w:sz w:val="25"/>
                <w:szCs w:val="25"/>
                <w:color w:val="auto"/>
                <w:w w:val="93"/>
                <w:vertAlign w:val="superscript"/>
              </w:rPr>
              <w:t>(a)</w:t>
            </w:r>
          </w:p>
        </w:tc>
        <w:tc>
          <w:tcPr>
            <w:tcW w:w="500" w:type="dxa"/>
            <w:vAlign w:val="bottom"/>
          </w:tcPr>
          <w:p>
            <w:pPr>
              <w:ind w:left="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10,880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10,761</w:t>
            </w:r>
          </w:p>
        </w:tc>
        <w:tc>
          <w:tcPr>
            <w:tcW w:w="8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98"/>
              </w:rPr>
              <w:t>10,794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10,574</w:t>
            </w:r>
          </w:p>
        </w:tc>
      </w:tr>
      <w:tr>
        <w:trPr>
          <w:trHeight w:val="20"/>
        </w:trPr>
        <w:tc>
          <w:tcPr>
            <w:tcW w:w="4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-596900</wp:posOffset>
            </wp:positionV>
            <wp:extent cx="6447155" cy="6038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1">
                      <a:extLst>
                        <a:ext uri="{28A0092B-C50C-407E-A947-70E740481C1C}"/>
                      </a:extLst>
                    </a:blip>
                    <a:srcRect/>
                    <a:stretch>
                      <a:fillRect/>
                    </a:stretch>
                  </pic:blipFill>
                  <pic:spPr bwMode="auto">
                    <a:xfrm>
                      <a:off x="0" y="0"/>
                      <a:ext cx="6447155" cy="603885"/>
                    </a:xfrm>
                    <a:prstGeom prst="rect">
                      <a:avLst/>
                    </a:prstGeom>
                    <a:noFill/>
                  </pic:spPr>
                </pic:pic>
              </a:graphicData>
            </a:graphic>
          </wp:anchor>
        </w:drawing>
      </w:r>
    </w:p>
    <w:p>
      <w:pPr>
        <w:ind w:left="440" w:hanging="439"/>
        <w:spacing w:after="0"/>
        <w:tabs>
          <w:tab w:leader="none" w:pos="4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Excludes deferred financing costs, which are recorded as a reduction to long-term debt on the Company's consolidated balance sheets</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ectPr>
          <w:pgSz w:w="11880" w:h="15480" w:orient="portrait"/>
          <w:cols w:equalWidth="0" w:num="1">
            <w:col w:w="10160"/>
          </w:cols>
          <w:pgMar w:left="860" w:top="505" w:right="860" w:bottom="0" w:gutter="0" w:footer="0" w:header="0"/>
          <w:type w:val="continuous"/>
        </w:sectPr>
      </w:pPr>
    </w:p>
    <w:bookmarkStart w:id="113" w:name="page114"/>
    <w:bookmarkEnd w:id="113"/>
    <w:p>
      <w:pPr>
        <w:ind w:firstLine="445"/>
        <w:spacing w:after="0" w:line="304" w:lineRule="auto"/>
        <w:rPr>
          <w:sz w:val="20"/>
          <w:szCs w:val="20"/>
          <w:color w:val="auto"/>
        </w:rPr>
      </w:pPr>
      <w:r>
        <w:rPr>
          <w:rFonts w:ascii="Arial" w:cs="Arial" w:eastAsia="Arial" w:hAnsi="Arial"/>
          <w:sz w:val="19"/>
          <w:szCs w:val="19"/>
          <w:color w:val="auto"/>
        </w:rPr>
        <w:t>The fair value of the Company's publicly-traded long-term debt, the Term Loans and the Vivint Senior Secured Term Loan are based on quoted market prices and are classified as Level 2 within the fair value hierarchy.</w:t>
      </w:r>
    </w:p>
    <w:p>
      <w:pPr>
        <w:spacing w:after="0" w:line="3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Fair Value Accounting under ASC 820</w:t>
      </w:r>
    </w:p>
    <w:p>
      <w:pPr>
        <w:spacing w:after="0" w:line="134" w:lineRule="exact"/>
        <w:rPr>
          <w:sz w:val="20"/>
          <w:szCs w:val="20"/>
          <w:color w:val="auto"/>
        </w:rPr>
      </w:pPr>
    </w:p>
    <w:p>
      <w:pPr>
        <w:ind w:firstLine="445"/>
        <w:spacing w:after="0" w:line="277" w:lineRule="auto"/>
        <w:rPr>
          <w:sz w:val="20"/>
          <w:szCs w:val="20"/>
          <w:color w:val="auto"/>
        </w:rPr>
      </w:pPr>
      <w:r>
        <w:rPr>
          <w:rFonts w:ascii="Arial" w:cs="Arial" w:eastAsia="Arial" w:hAnsi="Arial"/>
          <w:sz w:val="20"/>
          <w:szCs w:val="20"/>
          <w:color w:val="auto"/>
        </w:rPr>
        <w:t>ASC 820 establishes a fair value hierarchy that prioritizes the inputs to valuation techniques used to measure fair value into three levels as follows:</w:t>
      </w:r>
    </w:p>
    <w:p>
      <w:pPr>
        <w:spacing w:after="0" w:line="63" w:lineRule="exact"/>
        <w:rPr>
          <w:sz w:val="20"/>
          <w:szCs w:val="20"/>
          <w:color w:val="auto"/>
        </w:rPr>
      </w:pPr>
    </w:p>
    <w:p>
      <w:pPr>
        <w:jc w:val="both"/>
        <w:ind w:left="720" w:hanging="362"/>
        <w:spacing w:after="0" w:line="262" w:lineRule="auto"/>
        <w:tabs>
          <w:tab w:leader="none" w:pos="7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Level 1 — quoted prices (unadjusted) in active markets for identical assets or liabilities that the Company has the ability to access as of the measurement date. NRG's financial assets and liabilities utilizing Level 1 inputs include active exchange-traded securities, energy derivatives, and trust fund investments.</w:t>
      </w:r>
    </w:p>
    <w:p>
      <w:pPr>
        <w:spacing w:after="0" w:line="78" w:lineRule="exact"/>
        <w:rPr>
          <w:rFonts w:ascii="Arial" w:cs="Arial" w:eastAsia="Arial" w:hAnsi="Arial"/>
          <w:sz w:val="20"/>
          <w:szCs w:val="20"/>
          <w:color w:val="auto"/>
        </w:rPr>
      </w:pPr>
    </w:p>
    <w:p>
      <w:pPr>
        <w:jc w:val="both"/>
        <w:ind w:left="720" w:hanging="362"/>
        <w:spacing w:after="0" w:line="257" w:lineRule="auto"/>
        <w:tabs>
          <w:tab w:leader="none" w:pos="7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Level 2 — inputs other than quoted prices included within Level 1 that are directly observable for the asset or liability or indirectly observable through corroboration with observable market data. NRG's financial assets and liabilities utilizing Level 2 inputs include fixed income securities, exchange-based derivatives, and over the counter derivatives such as swaps, options and forward contracts.</w:t>
      </w:r>
    </w:p>
    <w:p>
      <w:pPr>
        <w:spacing w:after="0" w:line="84" w:lineRule="exact"/>
        <w:rPr>
          <w:rFonts w:ascii="Arial" w:cs="Arial" w:eastAsia="Arial" w:hAnsi="Arial"/>
          <w:sz w:val="20"/>
          <w:szCs w:val="20"/>
          <w:color w:val="auto"/>
        </w:rPr>
      </w:pPr>
    </w:p>
    <w:p>
      <w:pPr>
        <w:jc w:val="both"/>
        <w:ind w:left="720" w:hanging="362"/>
        <w:spacing w:after="0" w:line="257" w:lineRule="auto"/>
        <w:tabs>
          <w:tab w:leader="none" w:pos="7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Level 3 — unobservable inputs for the asset or liability only used when there is little, if any, market activity for the asset or liability at the measurement date. NRG's financial assets and liabilities utilizing Level 3 inputs include infrequently-traded, non-exchange-based derivatives and commingled investment funds, and are measured using present value pricing models.</w:t>
      </w:r>
    </w:p>
    <w:p>
      <w:pPr>
        <w:spacing w:after="0" w:line="84" w:lineRule="exact"/>
        <w:rPr>
          <w:sz w:val="20"/>
          <w:szCs w:val="20"/>
          <w:color w:val="auto"/>
        </w:rPr>
      </w:pPr>
    </w:p>
    <w:p>
      <w:pPr>
        <w:ind w:firstLine="445"/>
        <w:spacing w:after="0" w:line="335"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 in its entirety.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Recurring Fair Value Measurements</w:t>
      </w:r>
    </w:p>
    <w:p>
      <w:pPr>
        <w:spacing w:after="0" w:line="134" w:lineRule="exact"/>
        <w:rPr>
          <w:sz w:val="20"/>
          <w:szCs w:val="20"/>
          <w:color w:val="auto"/>
        </w:rPr>
      </w:pPr>
    </w:p>
    <w:p>
      <w:pPr>
        <w:ind w:firstLine="487"/>
        <w:spacing w:after="0" w:line="277" w:lineRule="auto"/>
        <w:rPr>
          <w:sz w:val="20"/>
          <w:szCs w:val="20"/>
          <w:color w:val="auto"/>
        </w:rPr>
      </w:pPr>
      <w:r>
        <w:rPr>
          <w:rFonts w:ascii="Arial" w:cs="Arial" w:eastAsia="Arial" w:hAnsi="Arial"/>
          <w:sz w:val="20"/>
          <w:szCs w:val="20"/>
          <w:color w:val="auto"/>
        </w:rPr>
        <w:t>Derivative assets and liabilities, debt securities, equity securities and trust fund investments, which were comprised of various U.S. debt and equity securities, are carried at fair market value.</w:t>
      </w:r>
    </w:p>
    <w:p>
      <w:pPr>
        <w:spacing w:after="0" w:line="63" w:lineRule="exact"/>
        <w:rPr>
          <w:sz w:val="20"/>
          <w:szCs w:val="20"/>
          <w:color w:val="auto"/>
        </w:rPr>
      </w:pPr>
    </w:p>
    <w:p>
      <w:pPr>
        <w:ind w:firstLine="490"/>
        <w:spacing w:after="0" w:line="277" w:lineRule="auto"/>
        <w:rPr>
          <w:sz w:val="20"/>
          <w:szCs w:val="20"/>
          <w:color w:val="auto"/>
        </w:rPr>
      </w:pPr>
      <w:r>
        <w:rPr>
          <w:rFonts w:ascii="Arial" w:cs="Arial" w:eastAsia="Arial" w:hAnsi="Arial"/>
          <w:sz w:val="20"/>
          <w:szCs w:val="20"/>
          <w:color w:val="auto"/>
        </w:rPr>
        <w:t>The following tables present assets and liabilities measured and recorded at fair value on the Company's consolidated balance sheets on a recurring basis and their level within the fair value hierarchy:</w:t>
      </w:r>
    </w:p>
    <w:p>
      <w:pPr>
        <w:spacing w:after="0" w:line="1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jc w:val="right"/>
              <w:ind w:right="3"/>
              <w:spacing w:after="0"/>
              <w:rPr>
                <w:sz w:val="20"/>
                <w:szCs w:val="20"/>
                <w:color w:val="auto"/>
              </w:rPr>
            </w:pPr>
            <w:r>
              <w:rPr>
                <w:rFonts w:ascii="Arial" w:cs="Arial" w:eastAsia="Arial" w:hAnsi="Arial"/>
                <w:sz w:val="16"/>
                <w:szCs w:val="16"/>
                <w:b w:val="1"/>
                <w:bCs w:val="1"/>
                <w:color w:val="auto"/>
                <w:w w:val="92"/>
              </w:rPr>
              <w:t>As of December 31, 2024</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6"/>
                <w:szCs w:val="16"/>
                <w:b w:val="1"/>
                <w:bCs w:val="1"/>
                <w:color w:val="auto"/>
              </w:rPr>
              <w:t>Fair Value</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8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b w:val="1"/>
                <w:bCs w:val="1"/>
                <w:color w:val="auto"/>
                <w:w w:val="99"/>
              </w:rPr>
              <w:t>Total</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w w:val="92"/>
              </w:rPr>
              <w:t>Level 1</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w w:val="92"/>
              </w:rPr>
              <w:t>Level 2</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w w:val="88"/>
              </w:rPr>
              <w:t>Level 3</w:t>
            </w:r>
          </w:p>
        </w:tc>
        <w:tc>
          <w:tcPr>
            <w:tcW w:w="0" w:type="dxa"/>
            <w:vAlign w:val="bottom"/>
          </w:tcPr>
          <w:p>
            <w:pPr>
              <w:spacing w:after="0"/>
              <w:rPr>
                <w:sz w:val="1"/>
                <w:szCs w:val="1"/>
                <w:color w:val="auto"/>
              </w:rPr>
            </w:pPr>
          </w:p>
        </w:tc>
      </w:tr>
      <w:tr>
        <w:trPr>
          <w:trHeight w:val="210"/>
        </w:trPr>
        <w:tc>
          <w:tcPr>
            <w:tcW w:w="6280" w:type="dxa"/>
            <w:vAlign w:val="bottom"/>
          </w:tcPr>
          <w:p>
            <w:pPr>
              <w:spacing w:after="0" w:line="209" w:lineRule="exact"/>
              <w:rPr>
                <w:sz w:val="20"/>
                <w:szCs w:val="20"/>
                <w:color w:val="auto"/>
              </w:rPr>
            </w:pPr>
            <w:r>
              <w:rPr>
                <w:rFonts w:ascii="Arial" w:cs="Arial" w:eastAsia="Arial" w:hAnsi="Arial"/>
                <w:sz w:val="20"/>
                <w:szCs w:val="20"/>
                <w:b w:val="1"/>
                <w:bCs w:val="1"/>
                <w:color w:val="auto"/>
                <w:w w:val="90"/>
              </w:rPr>
              <w:t>Investments in securities (classified within other current and non-current</w:t>
            </w: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28</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20"/>
                <w:szCs w:val="20"/>
                <w:color w:val="auto"/>
              </w:rPr>
              <w:t>$</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28</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w:t>
            </w: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2"/>
        </w:trPr>
        <w:tc>
          <w:tcPr>
            <w:tcW w:w="6280" w:type="dxa"/>
            <w:vAlign w:val="bottom"/>
          </w:tcPr>
          <w:p>
            <w:pPr>
              <w:jc w:val="right"/>
              <w:spacing w:after="0"/>
              <w:rPr>
                <w:sz w:val="20"/>
                <w:szCs w:val="20"/>
                <w:color w:val="auto"/>
              </w:rPr>
            </w:pPr>
            <w:r>
              <w:rPr>
                <w:rFonts w:ascii="Arial" w:cs="Arial" w:eastAsia="Arial" w:hAnsi="Arial"/>
                <w:sz w:val="20"/>
                <w:szCs w:val="20"/>
                <w:b w:val="1"/>
                <w:bCs w:val="1"/>
                <w:color w:val="auto"/>
                <w:w w:val="91"/>
              </w:rPr>
              <w:t xml:space="preserve">assets) </w:t>
            </w:r>
            <w:r>
              <w:rPr>
                <w:rFonts w:ascii="Arial" w:cs="Arial" w:eastAsia="Arial" w:hAnsi="Arial"/>
                <w:sz w:val="20"/>
                <w:szCs w:val="20"/>
                <w:b w:val="1"/>
                <w:bCs w:val="1"/>
                <w:color w:val="B4B4B4"/>
                <w:w w:val="91"/>
              </w:rPr>
              <w:t>. . . . . . . . . . . . . . . . . . . . . . . . . . . . . . . . . . . . . . . . . . . . . . . . . . . . . . .</w:t>
            </w:r>
          </w:p>
        </w:tc>
        <w:tc>
          <w:tcPr>
            <w:tcW w:w="22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6280" w:type="dxa"/>
            <w:vAlign w:val="bottom"/>
          </w:tcPr>
          <w:p>
            <w:pPr>
              <w:spacing w:after="0"/>
              <w:rPr>
                <w:sz w:val="20"/>
                <w:szCs w:val="20"/>
                <w:color w:val="auto"/>
              </w:rPr>
            </w:pPr>
            <w:r>
              <w:rPr>
                <w:rFonts w:ascii="Arial" w:cs="Arial" w:eastAsia="Arial" w:hAnsi="Arial"/>
                <w:sz w:val="20"/>
                <w:szCs w:val="20"/>
                <w:b w:val="1"/>
                <w:bCs w:val="1"/>
                <w:color w:val="auto"/>
              </w:rPr>
              <w:t>Derivative assets:</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80" w:type="dxa"/>
            <w:vAlign w:val="bottom"/>
          </w:tcPr>
          <w:p>
            <w:pPr>
              <w:jc w:val="right"/>
              <w:spacing w:after="0"/>
              <w:rPr>
                <w:sz w:val="20"/>
                <w:szCs w:val="20"/>
                <w:color w:val="auto"/>
              </w:rPr>
            </w:pPr>
            <w:r>
              <w:rPr>
                <w:rFonts w:ascii="Arial" w:cs="Arial" w:eastAsia="Arial" w:hAnsi="Arial"/>
                <w:sz w:val="20"/>
                <w:szCs w:val="20"/>
                <w:color w:val="auto"/>
                <w:w w:val="97"/>
              </w:rPr>
              <w:t xml:space="preserve">Interest rate contracts </w:t>
            </w:r>
            <w:r>
              <w:rPr>
                <w:rFonts w:ascii="Arial" w:cs="Arial" w:eastAsia="Arial" w:hAnsi="Arial"/>
                <w:sz w:val="20"/>
                <w:szCs w:val="20"/>
                <w:color w:val="B4B4B4"/>
                <w:w w:val="97"/>
              </w:rPr>
              <w:t>. . . . . . . . . . . . . . . . . . . . . . . . . . . . . . . . . . . . . . . .</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6280" w:type="dxa"/>
            <w:vAlign w:val="bottom"/>
          </w:tcPr>
          <w:p>
            <w:pPr>
              <w:jc w:val="right"/>
              <w:spacing w:after="0"/>
              <w:rPr>
                <w:sz w:val="20"/>
                <w:szCs w:val="20"/>
                <w:color w:val="auto"/>
              </w:rPr>
            </w:pPr>
            <w:r>
              <w:rPr>
                <w:rFonts w:ascii="Arial" w:cs="Arial" w:eastAsia="Arial" w:hAnsi="Arial"/>
                <w:sz w:val="20"/>
                <w:szCs w:val="20"/>
                <w:color w:val="auto"/>
                <w:w w:val="95"/>
              </w:rPr>
              <w:t xml:space="preserve">Foreign exchange contracts </w:t>
            </w:r>
            <w:r>
              <w:rPr>
                <w:rFonts w:ascii="Arial" w:cs="Arial" w:eastAsia="Arial" w:hAnsi="Arial"/>
                <w:sz w:val="20"/>
                <w:szCs w:val="20"/>
                <w:color w:val="B4B4B4"/>
                <w:w w:val="95"/>
              </w:rPr>
              <w:t>. . . . . . . . . . . . . . . . . . . . . . . . . . . . . . . . . . . .</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7"/>
        </w:trPr>
        <w:tc>
          <w:tcPr>
            <w:tcW w:w="6280" w:type="dxa"/>
            <w:vAlign w:val="bottom"/>
          </w:tcPr>
          <w:p>
            <w:pPr>
              <w:jc w:val="right"/>
              <w:spacing w:after="0"/>
              <w:rPr>
                <w:sz w:val="20"/>
                <w:szCs w:val="20"/>
                <w:color w:val="auto"/>
              </w:rPr>
            </w:pPr>
            <w:r>
              <w:rPr>
                <w:rFonts w:ascii="Arial" w:cs="Arial" w:eastAsia="Arial" w:hAnsi="Arial"/>
                <w:sz w:val="20"/>
                <w:szCs w:val="20"/>
                <w:color w:val="auto"/>
                <w:w w:val="96"/>
              </w:rPr>
              <w:t>Commodity contracts</w:t>
            </w:r>
            <w:r>
              <w:rPr>
                <w:rFonts w:ascii="Arial" w:cs="Arial" w:eastAsia="Arial" w:hAnsi="Arial"/>
                <w:sz w:val="25"/>
                <w:szCs w:val="25"/>
                <w:color w:val="auto"/>
                <w:w w:val="96"/>
                <w:vertAlign w:val="superscript"/>
              </w:rPr>
              <w:t>(a)</w:t>
            </w:r>
            <w:r>
              <w:rPr>
                <w:rFonts w:ascii="Arial" w:cs="Arial" w:eastAsia="Arial" w:hAnsi="Arial"/>
                <w:sz w:val="20"/>
                <w:szCs w:val="20"/>
                <w:color w:val="auto"/>
                <w:w w:val="96"/>
              </w:rPr>
              <w:t xml:space="preserve"> </w:t>
            </w:r>
            <w:r>
              <w:rPr>
                <w:rFonts w:ascii="Arial" w:cs="Arial" w:eastAsia="Arial" w:hAnsi="Arial"/>
                <w:sz w:val="20"/>
                <w:szCs w:val="20"/>
                <w:color w:val="B4B4B4"/>
                <w:w w:val="96"/>
              </w:rPr>
              <w:t>. . . . . . . . . . . . . . . . . . . . . . . . . . . . . . . . . . . . . . .</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3,368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528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2,645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195</w:t>
            </w:r>
          </w:p>
        </w:tc>
        <w:tc>
          <w:tcPr>
            <w:tcW w:w="0" w:type="dxa"/>
            <w:vAlign w:val="bottom"/>
          </w:tcPr>
          <w:p>
            <w:pPr>
              <w:spacing w:after="0"/>
              <w:rPr>
                <w:sz w:val="1"/>
                <w:szCs w:val="1"/>
                <w:color w:val="auto"/>
              </w:rPr>
            </w:pPr>
          </w:p>
        </w:tc>
      </w:tr>
      <w:tr>
        <w:trPr>
          <w:trHeight w:val="202"/>
        </w:trPr>
        <w:tc>
          <w:tcPr>
            <w:tcW w:w="6280" w:type="dxa"/>
            <w:vAlign w:val="bottom"/>
          </w:tcPr>
          <w:p>
            <w:pPr>
              <w:spacing w:after="0" w:line="203" w:lineRule="exact"/>
              <w:rPr>
                <w:sz w:val="20"/>
                <w:szCs w:val="20"/>
                <w:color w:val="auto"/>
              </w:rPr>
            </w:pPr>
            <w:r>
              <w:rPr>
                <w:rFonts w:ascii="Arial" w:cs="Arial" w:eastAsia="Arial" w:hAnsi="Arial"/>
                <w:sz w:val="20"/>
                <w:szCs w:val="20"/>
                <w:b w:val="1"/>
                <w:bCs w:val="1"/>
                <w:color w:val="auto"/>
                <w:w w:val="95"/>
              </w:rPr>
              <w:t>Equity securities measured using net asset value practical expedient</w:t>
            </w:r>
          </w:p>
        </w:tc>
        <w:tc>
          <w:tcPr>
            <w:tcW w:w="22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280" w:type="dxa"/>
            <w:vAlign w:val="bottom"/>
          </w:tcPr>
          <w:p>
            <w:pPr>
              <w:jc w:val="right"/>
              <w:spacing w:after="0"/>
              <w:rPr>
                <w:sz w:val="20"/>
                <w:szCs w:val="20"/>
                <w:color w:val="auto"/>
              </w:rPr>
            </w:pPr>
            <w:r>
              <w:rPr>
                <w:rFonts w:ascii="Arial" w:cs="Arial" w:eastAsia="Arial" w:hAnsi="Arial"/>
                <w:sz w:val="20"/>
                <w:szCs w:val="20"/>
                <w:b w:val="1"/>
                <w:bCs w:val="1"/>
                <w:color w:val="auto"/>
                <w:w w:val="88"/>
              </w:rPr>
              <w:t xml:space="preserve">(classified within other non-current assets) </w:t>
            </w:r>
            <w:r>
              <w:rPr>
                <w:rFonts w:ascii="Arial" w:cs="Arial" w:eastAsia="Arial" w:hAnsi="Arial"/>
                <w:sz w:val="20"/>
                <w:szCs w:val="20"/>
                <w:b w:val="1"/>
                <w:bCs w:val="1"/>
                <w:color w:val="B4B4B4"/>
                <w:w w:val="88"/>
              </w:rPr>
              <w:t>. . . . . . . . . . . . . . . . . . . . . . . . . .</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80" w:type="dxa"/>
            <w:vAlign w:val="bottom"/>
          </w:tcPr>
          <w:p>
            <w:pPr>
              <w:jc w:val="right"/>
              <w:spacing w:after="0"/>
              <w:rPr>
                <w:sz w:val="20"/>
                <w:szCs w:val="20"/>
                <w:color w:val="auto"/>
              </w:rPr>
            </w:pPr>
            <w:r>
              <w:rPr>
                <w:rFonts w:ascii="Arial" w:cs="Arial" w:eastAsia="Arial" w:hAnsi="Arial"/>
                <w:sz w:val="20"/>
                <w:szCs w:val="20"/>
                <w:b w:val="1"/>
                <w:bCs w:val="1"/>
                <w:color w:val="auto"/>
                <w:w w:val="97"/>
              </w:rPr>
              <w:t xml:space="preserve">Total assets </w:t>
            </w:r>
            <w:r>
              <w:rPr>
                <w:rFonts w:ascii="Arial" w:cs="Arial" w:eastAsia="Arial" w:hAnsi="Arial"/>
                <w:sz w:val="20"/>
                <w:szCs w:val="20"/>
                <w:b w:val="1"/>
                <w:bCs w:val="1"/>
                <w:color w:val="B4B4B4"/>
                <w:w w:val="97"/>
              </w:rPr>
              <w:t>. . . . . . . . . . . . . . . . . . . . . . . . . . . . . . . . . . . . . . . . . .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3,433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528</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2,704</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195</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20"/>
                <w:szCs w:val="20"/>
                <w:b w:val="1"/>
                <w:bCs w:val="1"/>
                <w:color w:val="auto"/>
              </w:rPr>
              <w:t>Derivative 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2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280" w:type="dxa"/>
            <w:vAlign w:val="bottom"/>
          </w:tcPr>
          <w:p>
            <w:pPr>
              <w:jc w:val="right"/>
              <w:spacing w:after="0"/>
              <w:rPr>
                <w:sz w:val="20"/>
                <w:szCs w:val="20"/>
                <w:color w:val="auto"/>
              </w:rPr>
            </w:pPr>
            <w:r>
              <w:rPr>
                <w:rFonts w:ascii="Arial" w:cs="Arial" w:eastAsia="Arial" w:hAnsi="Arial"/>
                <w:sz w:val="20"/>
                <w:szCs w:val="20"/>
                <w:color w:val="auto"/>
                <w:w w:val="95"/>
              </w:rPr>
              <w:t xml:space="preserve">Interest rate contracts </w:t>
            </w:r>
            <w:r>
              <w:rPr>
                <w:rFonts w:ascii="Arial" w:cs="Arial" w:eastAsia="Arial" w:hAnsi="Arial"/>
                <w:sz w:val="20"/>
                <w:szCs w:val="20"/>
                <w:color w:val="B4B4B4"/>
                <w:w w:val="95"/>
              </w:rPr>
              <w:t>. . . . . . . . . . . . . . . . . . . . . . . . . . . . . . . . . . . .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3</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6280" w:type="dxa"/>
            <w:vAlign w:val="bottom"/>
          </w:tcPr>
          <w:p>
            <w:pPr>
              <w:jc w:val="right"/>
              <w:spacing w:after="0"/>
              <w:rPr>
                <w:sz w:val="20"/>
                <w:szCs w:val="20"/>
                <w:color w:val="auto"/>
              </w:rPr>
            </w:pPr>
            <w:r>
              <w:rPr>
                <w:rFonts w:ascii="Arial" w:cs="Arial" w:eastAsia="Arial" w:hAnsi="Arial"/>
                <w:sz w:val="20"/>
                <w:szCs w:val="20"/>
                <w:color w:val="auto"/>
                <w:w w:val="95"/>
              </w:rPr>
              <w:t xml:space="preserve">Foreign exchange contracts </w:t>
            </w:r>
            <w:r>
              <w:rPr>
                <w:rFonts w:ascii="Arial" w:cs="Arial" w:eastAsia="Arial" w:hAnsi="Arial"/>
                <w:sz w:val="20"/>
                <w:szCs w:val="20"/>
                <w:color w:val="B4B4B4"/>
                <w:w w:val="95"/>
              </w:rPr>
              <w:t>. . . . . . . . . . . . . . . . . . . . . . . . . . . . . . . . . . . .</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36"/>
        </w:trPr>
        <w:tc>
          <w:tcPr>
            <w:tcW w:w="6280" w:type="dxa"/>
            <w:vAlign w:val="bottom"/>
          </w:tcPr>
          <w:p>
            <w:pPr>
              <w:jc w:val="right"/>
              <w:spacing w:after="0"/>
              <w:rPr>
                <w:sz w:val="20"/>
                <w:szCs w:val="20"/>
                <w:color w:val="auto"/>
              </w:rPr>
            </w:pPr>
            <w:r>
              <w:rPr>
                <w:rFonts w:ascii="Arial" w:cs="Arial" w:eastAsia="Arial" w:hAnsi="Arial"/>
                <w:sz w:val="20"/>
                <w:szCs w:val="20"/>
                <w:color w:val="auto"/>
                <w:w w:val="95"/>
              </w:rPr>
              <w:t>Commodity contracts</w:t>
            </w:r>
            <w:r>
              <w:rPr>
                <w:rFonts w:ascii="Arial" w:cs="Arial" w:eastAsia="Arial" w:hAnsi="Arial"/>
                <w:sz w:val="25"/>
                <w:szCs w:val="25"/>
                <w:color w:val="auto"/>
                <w:w w:val="95"/>
                <w:vertAlign w:val="superscript"/>
              </w:rPr>
              <w:t>(a)</w:t>
            </w:r>
            <w:r>
              <w:rPr>
                <w:rFonts w:ascii="Arial" w:cs="Arial" w:eastAsia="Arial" w:hAnsi="Arial"/>
                <w:sz w:val="20"/>
                <w:szCs w:val="20"/>
                <w:color w:val="auto"/>
                <w:w w:val="95"/>
              </w:rPr>
              <w:t xml:space="preserve">  </w:t>
            </w:r>
            <w:r>
              <w:rPr>
                <w:rFonts w:ascii="Arial" w:cs="Arial" w:eastAsia="Arial" w:hAnsi="Arial"/>
                <w:sz w:val="20"/>
                <w:szCs w:val="20"/>
                <w:color w:val="B4B4B4"/>
                <w:w w:val="95"/>
              </w:rPr>
              <w:t>. . . . . . . . . . . . . . . . . . . . . . . . . . . . . . . . . . . . . . .</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2,970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432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2,382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156</w:t>
            </w:r>
          </w:p>
        </w:tc>
        <w:tc>
          <w:tcPr>
            <w:tcW w:w="0" w:type="dxa"/>
            <w:vAlign w:val="bottom"/>
          </w:tcPr>
          <w:p>
            <w:pPr>
              <w:spacing w:after="0"/>
              <w:rPr>
                <w:sz w:val="1"/>
                <w:szCs w:val="1"/>
                <w:color w:val="auto"/>
              </w:rPr>
            </w:pPr>
          </w:p>
        </w:tc>
      </w:tr>
      <w:tr>
        <w:trPr>
          <w:trHeight w:val="261"/>
        </w:trPr>
        <w:tc>
          <w:tcPr>
            <w:tcW w:w="6280" w:type="dxa"/>
            <w:vAlign w:val="bottom"/>
          </w:tcPr>
          <w:p>
            <w:pPr>
              <w:jc w:val="right"/>
              <w:spacing w:after="0"/>
              <w:rPr>
                <w:sz w:val="20"/>
                <w:szCs w:val="20"/>
                <w:color w:val="auto"/>
              </w:rPr>
            </w:pPr>
            <w:r>
              <w:rPr>
                <w:rFonts w:ascii="Arial" w:cs="Arial" w:eastAsia="Arial" w:hAnsi="Arial"/>
                <w:sz w:val="20"/>
                <w:szCs w:val="20"/>
                <w:color w:val="auto"/>
                <w:w w:val="96"/>
              </w:rPr>
              <w:t xml:space="preserve">Consumer Financing Program </w:t>
            </w:r>
            <w:r>
              <w:rPr>
                <w:rFonts w:ascii="Arial" w:cs="Arial" w:eastAsia="Arial" w:hAnsi="Arial"/>
                <w:sz w:val="20"/>
                <w:szCs w:val="20"/>
                <w:color w:val="B4B4B4"/>
                <w:w w:val="96"/>
              </w:rPr>
              <w:t>. . . . . . . . . . . . . . . . . . . . . . . . . . . . . . . . . .</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203</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203</w:t>
            </w:r>
          </w:p>
        </w:tc>
        <w:tc>
          <w:tcPr>
            <w:tcW w:w="0" w:type="dxa"/>
            <w:vAlign w:val="bottom"/>
          </w:tcPr>
          <w:p>
            <w:pPr>
              <w:spacing w:after="0"/>
              <w:rPr>
                <w:sz w:val="1"/>
                <w:szCs w:val="1"/>
                <w:color w:val="auto"/>
              </w:rPr>
            </w:pPr>
          </w:p>
        </w:tc>
      </w:tr>
      <w:tr>
        <w:trPr>
          <w:trHeight w:val="257"/>
        </w:trPr>
        <w:tc>
          <w:tcPr>
            <w:tcW w:w="6280" w:type="dxa"/>
            <w:vAlign w:val="bottom"/>
          </w:tcPr>
          <w:p>
            <w:pPr>
              <w:jc w:val="right"/>
              <w:spacing w:after="0"/>
              <w:rPr>
                <w:sz w:val="20"/>
                <w:szCs w:val="20"/>
                <w:color w:val="auto"/>
              </w:rPr>
            </w:pPr>
            <w:r>
              <w:rPr>
                <w:rFonts w:ascii="Arial" w:cs="Arial" w:eastAsia="Arial" w:hAnsi="Arial"/>
                <w:sz w:val="20"/>
                <w:szCs w:val="20"/>
                <w:b w:val="1"/>
                <w:bCs w:val="1"/>
                <w:color w:val="auto"/>
                <w:w w:val="98"/>
              </w:rPr>
              <w:t xml:space="preserve">Total liabilities </w:t>
            </w:r>
            <w:r>
              <w:rPr>
                <w:rFonts w:ascii="Arial" w:cs="Arial" w:eastAsia="Arial" w:hAnsi="Arial"/>
                <w:sz w:val="20"/>
                <w:szCs w:val="20"/>
                <w:b w:val="1"/>
                <w:bCs w:val="1"/>
                <w:color w:val="B4B4B4"/>
                <w:w w:val="98"/>
              </w:rPr>
              <w:t>. . . . . . . . . . . . . . . . . . . . . . . . . . . . . . . . . . . . . . .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3,177</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432</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2,386</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359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-2727960</wp:posOffset>
            </wp:positionV>
            <wp:extent cx="6456680" cy="27349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2">
                      <a:extLst>
                        <a:ext uri="{28A0092B-C50C-407E-A947-70E740481C1C}"/>
                      </a:extLst>
                    </a:blip>
                    <a:srcRect/>
                    <a:stretch>
                      <a:fillRect/>
                    </a:stretch>
                  </pic:blipFill>
                  <pic:spPr bwMode="auto">
                    <a:xfrm>
                      <a:off x="0" y="0"/>
                      <a:ext cx="6456680" cy="2734945"/>
                    </a:xfrm>
                    <a:prstGeom prst="rect">
                      <a:avLst/>
                    </a:prstGeom>
                    <a:noFill/>
                  </pic:spPr>
                </pic:pic>
              </a:graphicData>
            </a:graphic>
          </wp:anchor>
        </w:drawing>
      </w:r>
    </w:p>
    <w:p>
      <w:pPr>
        <w:ind w:left="440" w:hanging="439"/>
        <w:spacing w:after="0" w:line="352" w:lineRule="auto"/>
        <w:tabs>
          <w:tab w:leader="none" w:pos="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 xml:space="preserve">Excludes $997 million of derivative assets and $227 million of derivative liabilities that were elected as NPNS on October 1, 2024 and are no longer valued at fair value on a recurring basis. For further discussion, see Item 15 — Note 6, </w:t>
      </w:r>
      <w:r>
        <w:rPr>
          <w:rFonts w:ascii="Arial" w:cs="Arial" w:eastAsia="Arial" w:hAnsi="Arial"/>
          <w:sz w:val="14"/>
          <w:szCs w:val="14"/>
          <w:b w:val="1"/>
          <w:bCs w:val="1"/>
          <w:i w:val="1"/>
          <w:iCs w:val="1"/>
          <w:color w:val="auto"/>
        </w:rPr>
        <w:t>Accounting for Derivative Instruments and Hedging Activities</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ectPr>
          <w:pgSz w:w="11880" w:h="15480" w:orient="portrait"/>
          <w:cols w:equalWidth="0" w:num="1">
            <w:col w:w="10160"/>
          </w:cols>
          <w:pgMar w:left="860" w:top="512" w:right="860" w:bottom="0" w:gutter="0" w:footer="0" w:header="0"/>
          <w:type w:val="continuous"/>
        </w:sectPr>
      </w:pPr>
    </w:p>
    <w:bookmarkStart w:id="114" w:name="page115"/>
    <w:bookmarkEnd w:id="114"/>
    <w:tbl>
      <w:tblPr>
        <w:tblLayout w:type="fixed"/>
        <w:tblInd w:w="6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jc w:val="right"/>
              <w:ind w:right="3"/>
              <w:spacing w:after="0"/>
              <w:rPr>
                <w:sz w:val="20"/>
                <w:szCs w:val="20"/>
                <w:color w:val="auto"/>
              </w:rPr>
            </w:pPr>
            <w:r>
              <w:rPr>
                <w:rFonts w:ascii="Arial" w:cs="Arial" w:eastAsia="Arial" w:hAnsi="Arial"/>
                <w:sz w:val="16"/>
                <w:szCs w:val="16"/>
                <w:b w:val="1"/>
                <w:bCs w:val="1"/>
                <w:color w:val="auto"/>
                <w:w w:val="92"/>
              </w:rPr>
              <w:t>As of December 31, 2023</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6"/>
                <w:szCs w:val="16"/>
                <w:b w:val="1"/>
                <w:bCs w:val="1"/>
                <w:color w:val="auto"/>
              </w:rPr>
              <w:t>Fair Value</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28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b w:val="1"/>
                <w:bCs w:val="1"/>
                <w:color w:val="auto"/>
                <w:w w:val="99"/>
              </w:rPr>
              <w:t>Total</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w w:val="92"/>
              </w:rPr>
              <w:t>Level 1</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w w:val="92"/>
              </w:rPr>
              <w:t>Level 2</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w w:val="88"/>
              </w:rPr>
              <w:t>Level 3</w:t>
            </w:r>
          </w:p>
        </w:tc>
        <w:tc>
          <w:tcPr>
            <w:tcW w:w="0" w:type="dxa"/>
            <w:vAlign w:val="bottom"/>
          </w:tcPr>
          <w:p>
            <w:pPr>
              <w:spacing w:after="0"/>
              <w:rPr>
                <w:sz w:val="1"/>
                <w:szCs w:val="1"/>
                <w:color w:val="auto"/>
              </w:rPr>
            </w:pPr>
          </w:p>
        </w:tc>
      </w:tr>
      <w:tr>
        <w:trPr>
          <w:trHeight w:val="210"/>
        </w:trPr>
        <w:tc>
          <w:tcPr>
            <w:tcW w:w="6280" w:type="dxa"/>
            <w:vAlign w:val="bottom"/>
          </w:tcPr>
          <w:p>
            <w:pPr>
              <w:spacing w:after="0" w:line="209" w:lineRule="exact"/>
              <w:rPr>
                <w:sz w:val="20"/>
                <w:szCs w:val="20"/>
                <w:color w:val="auto"/>
              </w:rPr>
            </w:pPr>
            <w:r>
              <w:rPr>
                <w:rFonts w:ascii="Arial" w:cs="Arial" w:eastAsia="Arial" w:hAnsi="Arial"/>
                <w:sz w:val="20"/>
                <w:szCs w:val="20"/>
                <w:b w:val="1"/>
                <w:bCs w:val="1"/>
                <w:color w:val="auto"/>
                <w:w w:val="90"/>
              </w:rPr>
              <w:t>Investments in securities (classified within other current and non-current</w:t>
            </w: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21</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20"/>
                <w:szCs w:val="20"/>
                <w:color w:val="auto"/>
              </w:rPr>
              <w:t>$</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21</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w:t>
            </w: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2"/>
        </w:trPr>
        <w:tc>
          <w:tcPr>
            <w:tcW w:w="6280" w:type="dxa"/>
            <w:vAlign w:val="bottom"/>
          </w:tcPr>
          <w:p>
            <w:pPr>
              <w:spacing w:after="0"/>
              <w:rPr>
                <w:sz w:val="20"/>
                <w:szCs w:val="20"/>
                <w:color w:val="auto"/>
              </w:rPr>
            </w:pPr>
            <w:r>
              <w:rPr>
                <w:rFonts w:ascii="Arial" w:cs="Arial" w:eastAsia="Arial" w:hAnsi="Arial"/>
                <w:sz w:val="20"/>
                <w:szCs w:val="20"/>
                <w:b w:val="1"/>
                <w:bCs w:val="1"/>
                <w:color w:val="auto"/>
                <w:w w:val="89"/>
              </w:rPr>
              <w:t xml:space="preserve">assets) </w:t>
            </w:r>
            <w:r>
              <w:rPr>
                <w:rFonts w:ascii="Arial" w:cs="Arial" w:eastAsia="Arial" w:hAnsi="Arial"/>
                <w:sz w:val="20"/>
                <w:szCs w:val="20"/>
                <w:b w:val="1"/>
                <w:bCs w:val="1"/>
                <w:color w:val="B4B4B4"/>
                <w:w w:val="89"/>
              </w:rPr>
              <w:t>. . . . . . . . . . . . . . . . . . . . . . . . . . . . . . . . . . . . . . . . . . . . . . . . . . . . . . . . .</w:t>
            </w:r>
          </w:p>
        </w:tc>
        <w:tc>
          <w:tcPr>
            <w:tcW w:w="22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280" w:type="dxa"/>
            <w:vAlign w:val="bottom"/>
          </w:tcPr>
          <w:p>
            <w:pPr>
              <w:spacing w:after="0"/>
              <w:rPr>
                <w:sz w:val="20"/>
                <w:szCs w:val="20"/>
                <w:color w:val="auto"/>
              </w:rPr>
            </w:pPr>
            <w:r>
              <w:rPr>
                <w:rFonts w:ascii="Arial" w:cs="Arial" w:eastAsia="Arial" w:hAnsi="Arial"/>
                <w:sz w:val="20"/>
                <w:szCs w:val="20"/>
                <w:b w:val="1"/>
                <w:bCs w:val="1"/>
                <w:color w:val="auto"/>
              </w:rPr>
              <w:t>Derivative assets:</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80" w:type="dxa"/>
            <w:vAlign w:val="bottom"/>
          </w:tcPr>
          <w:p>
            <w:pPr>
              <w:ind w:left="480"/>
              <w:spacing w:after="0"/>
              <w:rPr>
                <w:sz w:val="20"/>
                <w:szCs w:val="20"/>
                <w:color w:val="auto"/>
              </w:rPr>
            </w:pPr>
            <w:r>
              <w:rPr>
                <w:rFonts w:ascii="Arial" w:cs="Arial" w:eastAsia="Arial" w:hAnsi="Arial"/>
                <w:sz w:val="20"/>
                <w:szCs w:val="20"/>
                <w:color w:val="auto"/>
                <w:w w:val="90"/>
              </w:rPr>
              <w:t xml:space="preserve">Interest rate contracts </w:t>
            </w:r>
            <w:r>
              <w:rPr>
                <w:rFonts w:ascii="Arial" w:cs="Arial" w:eastAsia="Arial" w:hAnsi="Arial"/>
                <w:sz w:val="20"/>
                <w:szCs w:val="20"/>
                <w:color w:val="B4B4B4"/>
                <w:w w:val="90"/>
              </w:rPr>
              <w:t>. . . . . . . . . . . . . . . . . . . . . . . . . . . . . . . . . . . . . . . .</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6280" w:type="dxa"/>
            <w:vAlign w:val="bottom"/>
          </w:tcPr>
          <w:p>
            <w:pPr>
              <w:ind w:left="480"/>
              <w:spacing w:after="0"/>
              <w:rPr>
                <w:sz w:val="20"/>
                <w:szCs w:val="20"/>
                <w:color w:val="auto"/>
              </w:rPr>
            </w:pPr>
            <w:r>
              <w:rPr>
                <w:rFonts w:ascii="Arial" w:cs="Arial" w:eastAsia="Arial" w:hAnsi="Arial"/>
                <w:sz w:val="20"/>
                <w:szCs w:val="20"/>
                <w:color w:val="auto"/>
                <w:w w:val="89"/>
              </w:rPr>
              <w:t xml:space="preserve">Foreign exchange contracts </w:t>
            </w:r>
            <w:r>
              <w:rPr>
                <w:rFonts w:ascii="Arial" w:cs="Arial" w:eastAsia="Arial" w:hAnsi="Arial"/>
                <w:sz w:val="20"/>
                <w:szCs w:val="20"/>
                <w:color w:val="B4B4B4"/>
                <w:w w:val="89"/>
              </w:rPr>
              <w:t>. . . . . . . . . . . . . . . . . . . . . . . . . . . . . . . . . . . .</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6280" w:type="dxa"/>
            <w:vAlign w:val="bottom"/>
          </w:tcPr>
          <w:p>
            <w:pPr>
              <w:ind w:left="480"/>
              <w:spacing w:after="0"/>
              <w:rPr>
                <w:sz w:val="20"/>
                <w:szCs w:val="20"/>
                <w:color w:val="auto"/>
              </w:rPr>
            </w:pPr>
            <w:r>
              <w:rPr>
                <w:rFonts w:ascii="Arial" w:cs="Arial" w:eastAsia="Arial" w:hAnsi="Arial"/>
                <w:sz w:val="20"/>
                <w:szCs w:val="20"/>
                <w:color w:val="auto"/>
                <w:w w:val="91"/>
              </w:rPr>
              <w:t xml:space="preserve">Commodity contracts </w:t>
            </w:r>
            <w:r>
              <w:rPr>
                <w:rFonts w:ascii="Arial" w:cs="Arial" w:eastAsia="Arial" w:hAnsi="Arial"/>
                <w:sz w:val="20"/>
                <w:szCs w:val="20"/>
                <w:color w:val="B4B4B4"/>
                <w:w w:val="91"/>
              </w:rPr>
              <w:t>. . . . . . . . . . . . . . . . . . . . . . . . . . . . . . . . . . . . . . . .</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6,138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1,334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4,470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334</w:t>
            </w:r>
          </w:p>
        </w:tc>
        <w:tc>
          <w:tcPr>
            <w:tcW w:w="0" w:type="dxa"/>
            <w:vAlign w:val="bottom"/>
          </w:tcPr>
          <w:p>
            <w:pPr>
              <w:spacing w:after="0"/>
              <w:rPr>
                <w:sz w:val="1"/>
                <w:szCs w:val="1"/>
                <w:color w:val="auto"/>
              </w:rPr>
            </w:pPr>
          </w:p>
        </w:tc>
      </w:tr>
      <w:tr>
        <w:trPr>
          <w:trHeight w:val="232"/>
        </w:trPr>
        <w:tc>
          <w:tcPr>
            <w:tcW w:w="6280" w:type="dxa"/>
            <w:vAlign w:val="bottom"/>
          </w:tcPr>
          <w:p>
            <w:pPr>
              <w:spacing w:after="0"/>
              <w:rPr>
                <w:sz w:val="20"/>
                <w:szCs w:val="20"/>
                <w:color w:val="auto"/>
              </w:rPr>
            </w:pPr>
            <w:r>
              <w:rPr>
                <w:rFonts w:ascii="Arial" w:cs="Arial" w:eastAsia="Arial" w:hAnsi="Arial"/>
                <w:sz w:val="20"/>
                <w:szCs w:val="20"/>
                <w:b w:val="1"/>
                <w:bCs w:val="1"/>
                <w:color w:val="auto"/>
                <w:w w:val="95"/>
              </w:rPr>
              <w:t>Equity securities measured using net asset value practical expedient</w:t>
            </w:r>
          </w:p>
        </w:tc>
        <w:tc>
          <w:tcPr>
            <w:tcW w:w="220" w:type="dxa"/>
            <w:vAlign w:val="bottom"/>
          </w:tcPr>
          <w:p>
            <w:pPr>
              <w:spacing w:after="0"/>
              <w:rPr>
                <w:sz w:val="20"/>
                <w:szCs w:val="20"/>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280" w:type="dxa"/>
            <w:vAlign w:val="bottom"/>
          </w:tcPr>
          <w:p>
            <w:pPr>
              <w:spacing w:after="0"/>
              <w:rPr>
                <w:sz w:val="20"/>
                <w:szCs w:val="20"/>
                <w:color w:val="auto"/>
              </w:rPr>
            </w:pPr>
            <w:r>
              <w:rPr>
                <w:rFonts w:ascii="Arial" w:cs="Arial" w:eastAsia="Arial" w:hAnsi="Arial"/>
                <w:sz w:val="20"/>
                <w:szCs w:val="20"/>
                <w:b w:val="1"/>
                <w:bCs w:val="1"/>
                <w:color w:val="auto"/>
              </w:rPr>
              <w:t>(classified within other non-current assets)</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80" w:type="dxa"/>
            <w:vAlign w:val="bottom"/>
          </w:tcPr>
          <w:p>
            <w:pPr>
              <w:ind w:left="580"/>
              <w:spacing w:after="0"/>
              <w:rPr>
                <w:sz w:val="20"/>
                <w:szCs w:val="20"/>
                <w:color w:val="auto"/>
              </w:rPr>
            </w:pPr>
            <w:r>
              <w:rPr>
                <w:rFonts w:ascii="Arial" w:cs="Arial" w:eastAsia="Arial" w:hAnsi="Arial"/>
                <w:sz w:val="20"/>
                <w:szCs w:val="20"/>
                <w:b w:val="1"/>
                <w:bCs w:val="1"/>
                <w:color w:val="auto"/>
                <w:w w:val="88"/>
              </w:rPr>
              <w:t xml:space="preserve">Total assets </w:t>
            </w:r>
            <w:r>
              <w:rPr>
                <w:rFonts w:ascii="Arial" w:cs="Arial" w:eastAsia="Arial" w:hAnsi="Arial"/>
                <w:sz w:val="20"/>
                <w:szCs w:val="20"/>
                <w:b w:val="1"/>
                <w:bCs w:val="1"/>
                <w:color w:val="B4B4B4"/>
                <w:w w:val="88"/>
              </w:rPr>
              <w:t>. . . . . . . . . . . . . . . . . . . . . . . . . . . . . . . . . . . . . . . . . .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6,182</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1,334</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4,508</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334</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20"/>
                <w:szCs w:val="20"/>
                <w:b w:val="1"/>
                <w:bCs w:val="1"/>
                <w:color w:val="auto"/>
              </w:rPr>
              <w:t>Derivative 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2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280" w:type="dxa"/>
            <w:vAlign w:val="bottom"/>
          </w:tcPr>
          <w:p>
            <w:pPr>
              <w:ind w:left="480"/>
              <w:spacing w:after="0"/>
              <w:rPr>
                <w:sz w:val="20"/>
                <w:szCs w:val="20"/>
                <w:color w:val="auto"/>
              </w:rPr>
            </w:pPr>
            <w:r>
              <w:rPr>
                <w:rFonts w:ascii="Arial" w:cs="Arial" w:eastAsia="Arial" w:hAnsi="Arial"/>
                <w:sz w:val="20"/>
                <w:szCs w:val="20"/>
                <w:color w:val="auto"/>
                <w:w w:val="90"/>
              </w:rPr>
              <w:t xml:space="preserve">Interest rate contracts </w:t>
            </w:r>
            <w:r>
              <w:rPr>
                <w:rFonts w:ascii="Arial" w:cs="Arial" w:eastAsia="Arial" w:hAnsi="Arial"/>
                <w:sz w:val="20"/>
                <w:szCs w:val="20"/>
                <w:color w:val="B4B4B4"/>
                <w:w w:val="90"/>
              </w:rPr>
              <w:t>. . . . . . . . . . . . . . . . . . . . . . . . . . . . . . . . . . .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8</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8</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6280" w:type="dxa"/>
            <w:vAlign w:val="bottom"/>
          </w:tcPr>
          <w:p>
            <w:pPr>
              <w:ind w:left="480"/>
              <w:spacing w:after="0"/>
              <w:rPr>
                <w:sz w:val="20"/>
                <w:szCs w:val="20"/>
                <w:color w:val="auto"/>
              </w:rPr>
            </w:pPr>
            <w:r>
              <w:rPr>
                <w:rFonts w:ascii="Arial" w:cs="Arial" w:eastAsia="Arial" w:hAnsi="Arial"/>
                <w:sz w:val="20"/>
                <w:szCs w:val="20"/>
                <w:color w:val="auto"/>
                <w:w w:val="89"/>
              </w:rPr>
              <w:t xml:space="preserve">Foreign exchange contracts </w:t>
            </w:r>
            <w:r>
              <w:rPr>
                <w:rFonts w:ascii="Arial" w:cs="Arial" w:eastAsia="Arial" w:hAnsi="Arial"/>
                <w:sz w:val="20"/>
                <w:szCs w:val="20"/>
                <w:color w:val="B4B4B4"/>
                <w:w w:val="89"/>
              </w:rPr>
              <w:t>. . . . . . . . . . . . . . . . . . . . . . . . . . . . . . . . . . . .</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6280" w:type="dxa"/>
            <w:vAlign w:val="bottom"/>
          </w:tcPr>
          <w:p>
            <w:pPr>
              <w:ind w:left="480"/>
              <w:spacing w:after="0"/>
              <w:rPr>
                <w:sz w:val="20"/>
                <w:szCs w:val="20"/>
                <w:color w:val="auto"/>
              </w:rPr>
            </w:pPr>
            <w:r>
              <w:rPr>
                <w:rFonts w:ascii="Arial" w:cs="Arial" w:eastAsia="Arial" w:hAnsi="Arial"/>
                <w:sz w:val="20"/>
                <w:szCs w:val="20"/>
                <w:color w:val="auto"/>
                <w:w w:val="91"/>
              </w:rPr>
              <w:t xml:space="preserve">Commodity contracts </w:t>
            </w:r>
            <w:r>
              <w:rPr>
                <w:rFonts w:ascii="Arial" w:cs="Arial" w:eastAsia="Arial" w:hAnsi="Arial"/>
                <w:sz w:val="20"/>
                <w:szCs w:val="20"/>
                <w:color w:val="B4B4B4"/>
                <w:w w:val="91"/>
              </w:rPr>
              <w:t>. . . . . . . . . . . . . . . . . . . . . . . . . . . . . . . . . . . . . . . .</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5,356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1,413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3,728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215</w:t>
            </w:r>
          </w:p>
        </w:tc>
        <w:tc>
          <w:tcPr>
            <w:tcW w:w="0" w:type="dxa"/>
            <w:vAlign w:val="bottom"/>
          </w:tcPr>
          <w:p>
            <w:pPr>
              <w:spacing w:after="0"/>
              <w:rPr>
                <w:sz w:val="1"/>
                <w:szCs w:val="1"/>
                <w:color w:val="auto"/>
              </w:rPr>
            </w:pPr>
          </w:p>
        </w:tc>
      </w:tr>
      <w:tr>
        <w:trPr>
          <w:trHeight w:val="299"/>
        </w:trPr>
        <w:tc>
          <w:tcPr>
            <w:tcW w:w="6280" w:type="dxa"/>
            <w:vAlign w:val="bottom"/>
          </w:tcPr>
          <w:p>
            <w:pPr>
              <w:ind w:left="480"/>
              <w:spacing w:after="0"/>
              <w:rPr>
                <w:sz w:val="20"/>
                <w:szCs w:val="20"/>
                <w:color w:val="auto"/>
              </w:rPr>
            </w:pPr>
            <w:r>
              <w:rPr>
                <w:rFonts w:ascii="Arial" w:cs="Arial" w:eastAsia="Arial" w:hAnsi="Arial"/>
                <w:sz w:val="20"/>
                <w:szCs w:val="20"/>
                <w:color w:val="auto"/>
                <w:w w:val="90"/>
              </w:rPr>
              <w:t xml:space="preserve">Consumer Financing Program  </w:t>
            </w:r>
            <w:r>
              <w:rPr>
                <w:rFonts w:ascii="Arial" w:cs="Arial" w:eastAsia="Arial" w:hAnsi="Arial"/>
                <w:sz w:val="20"/>
                <w:szCs w:val="20"/>
                <w:color w:val="B4B4B4"/>
                <w:w w:val="90"/>
              </w:rPr>
              <w:t>. . . . . . . . . . . . . . . . . . . . . . . . . . . . . . . . .</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w:t>
            </w:r>
          </w:p>
        </w:tc>
        <w:tc>
          <w:tcPr>
            <w:tcW w:w="0" w:type="dxa"/>
            <w:vAlign w:val="bottom"/>
          </w:tcPr>
          <w:p>
            <w:pPr>
              <w:spacing w:after="0"/>
              <w:rPr>
                <w:sz w:val="1"/>
                <w:szCs w:val="1"/>
                <w:color w:val="auto"/>
              </w:rPr>
            </w:pPr>
          </w:p>
        </w:tc>
      </w:tr>
      <w:tr>
        <w:trPr>
          <w:trHeight w:val="257"/>
        </w:trPr>
        <w:tc>
          <w:tcPr>
            <w:tcW w:w="6280" w:type="dxa"/>
            <w:vAlign w:val="bottom"/>
          </w:tcPr>
          <w:p>
            <w:pPr>
              <w:ind w:left="580"/>
              <w:spacing w:after="0"/>
              <w:rPr>
                <w:sz w:val="20"/>
                <w:szCs w:val="20"/>
                <w:color w:val="auto"/>
              </w:rPr>
            </w:pPr>
            <w:r>
              <w:rPr>
                <w:rFonts w:ascii="Arial" w:cs="Arial" w:eastAsia="Arial" w:hAnsi="Arial"/>
                <w:sz w:val="20"/>
                <w:szCs w:val="20"/>
                <w:b w:val="1"/>
                <w:bCs w:val="1"/>
                <w:color w:val="auto"/>
                <w:w w:val="90"/>
              </w:rPr>
              <w:t xml:space="preserve">Total liabilities </w:t>
            </w:r>
            <w:r>
              <w:rPr>
                <w:rFonts w:ascii="Arial" w:cs="Arial" w:eastAsia="Arial" w:hAnsi="Arial"/>
                <w:sz w:val="20"/>
                <w:szCs w:val="20"/>
                <w:b w:val="1"/>
                <w:bCs w:val="1"/>
                <w:color w:val="B4B4B4"/>
                <w:w w:val="90"/>
              </w:rPr>
              <w:t>. . . . . . . . . . . . . . . . . . . . . . . . . . . . . . . . . . . . . . .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5,507</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1,413</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3,745</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349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-2708910</wp:posOffset>
            </wp:positionV>
            <wp:extent cx="6456680" cy="27158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3">
                      <a:extLst>
                        <a:ext uri="{28A0092B-C50C-407E-A947-70E740481C1C}"/>
                      </a:extLst>
                    </a:blip>
                    <a:srcRect/>
                    <a:stretch>
                      <a:fillRect/>
                    </a:stretch>
                  </pic:blipFill>
                  <pic:spPr bwMode="auto">
                    <a:xfrm>
                      <a:off x="0" y="0"/>
                      <a:ext cx="6456680" cy="2715895"/>
                    </a:xfrm>
                    <a:prstGeom prst="rect">
                      <a:avLst/>
                    </a:prstGeom>
                    <a:noFill/>
                  </pic:spPr>
                </pic:pic>
              </a:graphicData>
            </a:graphic>
          </wp:anchor>
        </w:drawing>
      </w:r>
    </w:p>
    <w:p>
      <w:pPr>
        <w:spacing w:after="0" w:line="226"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20"/>
          <w:szCs w:val="20"/>
          <w:color w:val="auto"/>
        </w:rPr>
        <w:t>The following table reconciles, for the years ended December 31, 2024 and 2023, the beginning and ending balances for financial instruments that are recognized at fair value in the consolidated financial statements using significant unobservable inputs, for commodity derivatives:</w:t>
      </w:r>
    </w:p>
    <w:p>
      <w:pPr>
        <w:sectPr>
          <w:pgSz w:w="11880" w:h="15480" w:orient="portrait"/>
          <w:cols w:equalWidth="0" w:num="1">
            <w:col w:w="10160"/>
          </w:cols>
          <w:pgMar w:left="860" w:top="63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13335</wp:posOffset>
            </wp:positionV>
            <wp:extent cx="6475095" cy="15087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4">
                      <a:extLst>
                        <a:ext uri="{28A0092B-C50C-407E-A947-70E740481C1C}"/>
                      </a:extLst>
                    </a:blip>
                    <a:srcRect/>
                    <a:stretch>
                      <a:fillRect/>
                    </a:stretch>
                  </pic:blipFill>
                  <pic:spPr bwMode="auto">
                    <a:xfrm>
                      <a:off x="0" y="0"/>
                      <a:ext cx="6475095" cy="150876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Beginning balance </w:t>
      </w:r>
      <w:r>
        <w:rPr>
          <w:rFonts w:ascii="Arial" w:cs="Arial" w:eastAsia="Arial" w:hAnsi="Arial"/>
          <w:sz w:val="16"/>
          <w:szCs w:val="16"/>
          <w:b w:val="1"/>
          <w:bCs w:val="1"/>
          <w:color w:val="B4B4B4"/>
        </w:rPr>
        <w:t>. . . . . . . . . . . . . . . . . . . . . . . . . . . . . . . . . . . . . . . . . . . . . . . . .</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Total (losses) realized/unrealized included in earnings  </w:t>
      </w:r>
      <w:r>
        <w:rPr>
          <w:rFonts w:ascii="Arial" w:cs="Arial" w:eastAsia="Arial" w:hAnsi="Arial"/>
          <w:sz w:val="18"/>
          <w:szCs w:val="18"/>
          <w:color w:val="B4B4B4"/>
        </w:rPr>
        <w:t>. . . . . . . . . . . . . . . . . . . .</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Purchases </w:t>
      </w:r>
      <w:r>
        <w:rPr>
          <w:rFonts w:ascii="Arial" w:cs="Arial" w:eastAsia="Arial" w:hAnsi="Arial"/>
          <w:sz w:val="18"/>
          <w:szCs w:val="18"/>
          <w:color w:val="B4B4B4"/>
        </w:rPr>
        <w:t>. . . . . . . . . . . . . . . . . . . . . . . . . . . . . . . . . . . . . . . . . . . . . . . . . . . . . . . .</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Transfers into Level 3</w:t>
      </w:r>
      <w:r>
        <w:rPr>
          <w:rFonts w:ascii="Arial" w:cs="Arial" w:eastAsia="Arial" w:hAnsi="Arial"/>
          <w:sz w:val="23"/>
          <w:szCs w:val="23"/>
          <w:color w:val="auto"/>
          <w:vertAlign w:val="superscript"/>
        </w:rPr>
        <w:t>(b)</w:t>
      </w:r>
      <w:r>
        <w:rPr>
          <w:rFonts w:ascii="Arial" w:cs="Arial" w:eastAsia="Arial" w:hAnsi="Arial"/>
          <w:sz w:val="18"/>
          <w:szCs w:val="18"/>
          <w:color w:val="auto"/>
        </w:rPr>
        <w:t xml:space="preserve">  </w:t>
      </w:r>
      <w:r>
        <w:rPr>
          <w:rFonts w:ascii="Arial" w:cs="Arial" w:eastAsia="Arial" w:hAnsi="Arial"/>
          <w:sz w:val="18"/>
          <w:szCs w:val="18"/>
          <w:color w:val="B4B4B4"/>
        </w:rPr>
        <w:t>. . . . . . . . . . . . . . . . . . . . . . . . . . . . . . . . . . . . . . . . . . . .</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Transfers out of Level 3</w:t>
      </w:r>
      <w:r>
        <w:rPr>
          <w:rFonts w:ascii="Arial" w:cs="Arial" w:eastAsia="Arial" w:hAnsi="Arial"/>
          <w:sz w:val="23"/>
          <w:szCs w:val="23"/>
          <w:color w:val="auto"/>
          <w:vertAlign w:val="superscript"/>
        </w:rPr>
        <w:t>(b)(c)</w:t>
      </w:r>
      <w:r>
        <w:rPr>
          <w:rFonts w:ascii="Arial" w:cs="Arial" w:eastAsia="Arial" w:hAnsi="Arial"/>
          <w:sz w:val="18"/>
          <w:szCs w:val="18"/>
          <w:color w:val="auto"/>
        </w:rPr>
        <w:t xml:space="preserve">  </w:t>
      </w:r>
      <w:r>
        <w:rPr>
          <w:rFonts w:ascii="Arial" w:cs="Arial" w:eastAsia="Arial" w:hAnsi="Arial"/>
          <w:sz w:val="18"/>
          <w:szCs w:val="18"/>
          <w:color w:val="B4B4B4"/>
        </w:rPr>
        <w:t>. . . . . . . . . . . . . . . . . . . . . . . . . . . . . . . . . . . . . . . . .</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Ending balance </w:t>
      </w:r>
      <w:r>
        <w:rPr>
          <w:rFonts w:ascii="Arial" w:cs="Arial" w:eastAsia="Arial" w:hAnsi="Arial"/>
          <w:sz w:val="16"/>
          <w:szCs w:val="16"/>
          <w:b w:val="1"/>
          <w:bCs w:val="1"/>
          <w:color w:val="B4B4B4"/>
        </w:rPr>
        <w:t>. . . . . . . . . . . . . . . . . . . . . . . . . . . . . . . . . . . . . . . . . . . . . . . . . . . .</w:t>
      </w:r>
    </w:p>
    <w:p>
      <w:pPr>
        <w:spacing w:after="0" w:line="91" w:lineRule="exact"/>
        <w:rPr>
          <w:sz w:val="20"/>
          <w:szCs w:val="20"/>
          <w:color w:val="auto"/>
        </w:rPr>
      </w:pPr>
    </w:p>
    <w:p>
      <w:pPr>
        <w:jc w:val="both"/>
        <w:ind w:left="60"/>
        <w:spacing w:after="0" w:line="323" w:lineRule="auto"/>
        <w:rPr>
          <w:sz w:val="20"/>
          <w:szCs w:val="20"/>
          <w:color w:val="auto"/>
        </w:rPr>
      </w:pPr>
      <w:r>
        <w:rPr>
          <w:rFonts w:ascii="Arial" w:cs="Arial" w:eastAsia="Arial" w:hAnsi="Arial"/>
          <w:sz w:val="18"/>
          <w:szCs w:val="18"/>
          <w:color w:val="auto"/>
        </w:rPr>
        <w:t xml:space="preserve">(Losses) for the period included in earnings attributable to the change in unrealized gains or losses relating to assets or liabilities still held as of year-end </w:t>
      </w:r>
      <w:r>
        <w:rPr>
          <w:rFonts w:ascii="Arial" w:cs="Arial" w:eastAsia="Arial" w:hAnsi="Arial"/>
          <w:sz w:val="18"/>
          <w:szCs w:val="18"/>
          <w:color w:val="B4B4B4"/>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Fair Value Measurement Using Significant</w:t>
      </w:r>
    </w:p>
    <w:p>
      <w:pPr>
        <w:jc w:val="center"/>
        <w:spacing w:after="0"/>
        <w:rPr>
          <w:sz w:val="20"/>
          <w:szCs w:val="20"/>
          <w:color w:val="auto"/>
        </w:rPr>
      </w:pPr>
      <w:r>
        <w:rPr>
          <w:rFonts w:ascii="Arial" w:cs="Arial" w:eastAsia="Arial" w:hAnsi="Arial"/>
          <w:sz w:val="16"/>
          <w:szCs w:val="16"/>
          <w:b w:val="1"/>
          <w:bCs w:val="1"/>
          <w:color w:val="auto"/>
        </w:rPr>
        <w:t>Unobservable Inputs (Level 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12700</wp:posOffset>
                </wp:positionV>
                <wp:extent cx="219646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64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pt" to="172.9pt,1pt" o:allowincell="f" strokecolor="#000000" strokeweight="1pt"/>
            </w:pict>
          </mc:Fallback>
        </mc:AlternateConten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Commodity Derivatives </w:t>
      </w:r>
      <w:r>
        <w:rPr>
          <w:rFonts w:ascii="Arial" w:cs="Arial" w:eastAsia="Arial" w:hAnsi="Arial"/>
          <w:sz w:val="20"/>
          <w:szCs w:val="20"/>
          <w:b w:val="1"/>
          <w:bCs w:val="1"/>
          <w:color w:val="auto"/>
          <w:vertAlign w:val="superscript"/>
        </w:rPr>
        <w: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5080</wp:posOffset>
                </wp:positionV>
                <wp:extent cx="219646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64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0.4pt" to="172.9pt,0.4pt" o:allowincell="f" strokecolor="#000000" strokeweight="1pt"/>
            </w:pict>
          </mc:Fallback>
        </mc:AlternateConten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22225</wp:posOffset>
                </wp:positionV>
                <wp:extent cx="219646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64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75pt" to="172.9pt,1.75pt" o:allowincell="f" strokecolor="#000000" strokeweight="1pt"/>
            </w:pict>
          </mc:Fallback>
        </mc:AlternateConten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3"/>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3"/>
              <w:spacing w:after="0"/>
              <w:rPr>
                <w:sz w:val="20"/>
                <w:szCs w:val="20"/>
                <w:color w:val="auto"/>
              </w:rPr>
            </w:pPr>
            <w:r>
              <w:rPr>
                <w:rFonts w:ascii="Arial" w:cs="Arial" w:eastAsia="Arial" w:hAnsi="Arial"/>
                <w:sz w:val="16"/>
                <w:szCs w:val="16"/>
                <w:b w:val="1"/>
                <w:bCs w:val="1"/>
                <w:color w:val="auto"/>
              </w:rPr>
              <w:t>2023</w:t>
            </w:r>
          </w:p>
        </w:tc>
      </w:tr>
      <w:tr>
        <w:trPr>
          <w:trHeight w:val="275"/>
        </w:trPr>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119</w:t>
            </w:r>
          </w:p>
        </w:tc>
        <w:tc>
          <w:tcPr>
            <w:tcW w:w="52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505</w:t>
            </w:r>
          </w:p>
        </w:tc>
      </w:tr>
      <w:tr>
        <w:trPr>
          <w:trHeight w:val="297"/>
        </w:trPr>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(113)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(164)</w:t>
            </w:r>
          </w:p>
        </w:tc>
      </w:tr>
      <w:tr>
        <w:trPr>
          <w:trHeight w:val="297"/>
        </w:trPr>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97"/>
        </w:trPr>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99"/>
        </w:trPr>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(342)</w:t>
            </w:r>
          </w:p>
        </w:tc>
      </w:tr>
      <w:tr>
        <w:trPr>
          <w:trHeight w:val="257"/>
        </w:trPr>
        <w:tc>
          <w:tcPr>
            <w:tcW w:w="42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75"/>
        </w:trPr>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(55)</w:t>
            </w:r>
          </w:p>
        </w:tc>
        <w:tc>
          <w:tcPr>
            <w:tcW w:w="52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0"/>
        </w:trPr>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880" w:h="15480" w:orient="portrait"/>
          <w:cols w:equalWidth="0" w:num="2">
            <w:col w:w="6540" w:space="160"/>
            <w:col w:w="3460"/>
          </w:cols>
          <w:pgMar w:left="860" w:top="631" w:right="860" w:bottom="0" w:gutter="0" w:footer="0" w:header="0"/>
          <w:type w:val="continuous"/>
        </w:sectPr>
      </w:pPr>
    </w:p>
    <w:p>
      <w:pPr>
        <w:ind w:left="440" w:hanging="439"/>
        <w:spacing w:after="0" w:line="259" w:lineRule="auto"/>
        <w:tabs>
          <w:tab w:leader="none" w:pos="4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Consists of derivatives assets and liabilities, net, excluding derivative liabilities from Consumer Financing Program, which are presented in a separate table below</w:t>
      </w:r>
    </w:p>
    <w:p>
      <w:pPr>
        <w:ind w:left="440" w:hanging="439"/>
        <w:spacing w:after="0" w:line="247" w:lineRule="auto"/>
        <w:tabs>
          <w:tab w:leader="none" w:pos="4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Transfers into/out of Level 3 are related to the availability of consensus pricing and external broker quotes, and are valued as of the end of the reporting period. Except for the transfers out of Level 3 noted below, all other transfers into/out of Level 3 are from/to Level 2</w:t>
      </w:r>
    </w:p>
    <w:p>
      <w:pPr>
        <w:spacing w:after="0" w:line="1" w:lineRule="exact"/>
        <w:rPr>
          <w:rFonts w:ascii="Arial" w:cs="Arial" w:eastAsia="Arial" w:hAnsi="Arial"/>
          <w:sz w:val="16"/>
          <w:szCs w:val="16"/>
          <w:color w:val="auto"/>
        </w:rPr>
      </w:pPr>
    </w:p>
    <w:p>
      <w:pPr>
        <w:ind w:left="440" w:hanging="439"/>
        <w:spacing w:after="0" w:line="255" w:lineRule="auto"/>
        <w:tabs>
          <w:tab w:leader="none" w:pos="4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the year ended December 31, 2023, due to the change to use consensus pricing, there was a decrease in the number of contracts valued with prices provided by models and other valuation techniques, which resulted in a large transfer out of Level 3</w:t>
      </w:r>
    </w:p>
    <w:p>
      <w:pPr>
        <w:spacing w:after="0" w:line="210" w:lineRule="exact"/>
        <w:rPr>
          <w:sz w:val="20"/>
          <w:szCs w:val="20"/>
          <w:color w:val="auto"/>
        </w:rPr>
      </w:pPr>
    </w:p>
    <w:p>
      <w:pPr>
        <w:ind w:right="20" w:firstLine="445"/>
        <w:spacing w:after="0" w:line="277" w:lineRule="auto"/>
        <w:rPr>
          <w:sz w:val="20"/>
          <w:szCs w:val="20"/>
          <w:color w:val="auto"/>
        </w:rPr>
      </w:pPr>
      <w:r>
        <w:rPr>
          <w:rFonts w:ascii="Arial" w:cs="Arial" w:eastAsia="Arial" w:hAnsi="Arial"/>
          <w:sz w:val="20"/>
          <w:szCs w:val="20"/>
          <w:color w:val="auto"/>
        </w:rPr>
        <w:t>Realized and unrealized gains and losses included in earnings that are related to the commodity derivatives are recorded in revenues and cost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ectPr>
          <w:pgSz w:w="11880" w:h="15480" w:orient="portrait"/>
          <w:cols w:equalWidth="0" w:num="1">
            <w:col w:w="10160"/>
          </w:cols>
          <w:pgMar w:left="860" w:top="631" w:right="860" w:bottom="0" w:gutter="0" w:footer="0" w:header="0"/>
          <w:type w:val="continuous"/>
        </w:sectPr>
      </w:pPr>
    </w:p>
    <w:bookmarkStart w:id="115" w:name="page116"/>
    <w:bookmarkEnd w:id="115"/>
    <w:p>
      <w:pPr>
        <w:jc w:val="both"/>
        <w:ind w:firstLine="445"/>
        <w:spacing w:after="0" w:line="262" w:lineRule="auto"/>
        <w:rPr>
          <w:sz w:val="20"/>
          <w:szCs w:val="20"/>
          <w:color w:val="auto"/>
        </w:rPr>
      </w:pPr>
      <w:r>
        <w:rPr>
          <w:rFonts w:ascii="Arial" w:cs="Arial" w:eastAsia="Arial" w:hAnsi="Arial"/>
          <w:sz w:val="20"/>
          <w:szCs w:val="20"/>
          <w:color w:val="auto"/>
        </w:rPr>
        <w:t>The following table reconciles, for the years ended December 31, 2024 and 2023, the beginning and ending balances of the contractual obligations from the Consumer Financing Program that are recognized at fair value in the condensed consolidated financial statements, using significant unobservable inputs:</w:t>
      </w:r>
    </w:p>
    <w:p>
      <w:pPr>
        <w:spacing w:after="0" w:line="48" w:lineRule="exact"/>
        <w:rPr>
          <w:sz w:val="20"/>
          <w:szCs w:val="20"/>
          <w:color w:val="auto"/>
        </w:rPr>
      </w:pPr>
    </w:p>
    <w:p>
      <w:pPr>
        <w:jc w:val="center"/>
        <w:ind w:left="6740"/>
        <w:spacing w:after="0"/>
        <w:rPr>
          <w:sz w:val="20"/>
          <w:szCs w:val="20"/>
          <w:color w:val="auto"/>
        </w:rPr>
      </w:pPr>
      <w:r>
        <w:rPr>
          <w:rFonts w:ascii="Arial" w:cs="Arial" w:eastAsia="Arial" w:hAnsi="Arial"/>
          <w:sz w:val="16"/>
          <w:szCs w:val="16"/>
          <w:b w:val="1"/>
          <w:bCs w:val="1"/>
          <w:color w:val="auto"/>
        </w:rPr>
        <w:t>Fair Value Measurement Using Significant</w:t>
      </w:r>
    </w:p>
    <w:p>
      <w:pPr>
        <w:jc w:val="center"/>
        <w:ind w:left="6740"/>
        <w:spacing w:after="0"/>
        <w:rPr>
          <w:sz w:val="20"/>
          <w:szCs w:val="20"/>
          <w:color w:val="auto"/>
        </w:rPr>
      </w:pPr>
      <w:r>
        <w:rPr>
          <w:rFonts w:ascii="Arial" w:cs="Arial" w:eastAsia="Arial" w:hAnsi="Arial"/>
          <w:sz w:val="16"/>
          <w:szCs w:val="16"/>
          <w:b w:val="1"/>
          <w:bCs w:val="1"/>
          <w:color w:val="auto"/>
        </w:rPr>
        <w:t>Unobservable Inputs (Level 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4281805</wp:posOffset>
                </wp:positionH>
                <wp:positionV relativeFrom="paragraph">
                  <wp:posOffset>12700</wp:posOffset>
                </wp:positionV>
                <wp:extent cx="216852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685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15pt,1pt" to="507.9pt,1pt" o:allowincell="f" strokecolor="#000000" strokeweight="1pt"/>
            </w:pict>
          </mc:Fallback>
        </mc:AlternateConten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6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6"/>
                <w:szCs w:val="16"/>
                <w:b w:val="1"/>
                <w:bCs w:val="1"/>
                <w:color w:val="auto"/>
              </w:rPr>
              <w:t>Consumer Financing Program</w:t>
            </w:r>
          </w:p>
        </w:tc>
      </w:tr>
      <w:tr>
        <w:trPr>
          <w:trHeight w:val="232"/>
        </w:trPr>
        <w:tc>
          <w:tcPr>
            <w:tcW w:w="6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6"/>
                <w:szCs w:val="16"/>
                <w:b w:val="1"/>
                <w:bCs w:val="1"/>
                <w:color w:val="auto"/>
                <w:w w:val="97"/>
              </w:rPr>
              <w:t>For the Year Ended December 31,</w:t>
            </w:r>
          </w:p>
        </w:tc>
      </w:tr>
      <w:tr>
        <w:trPr>
          <w:trHeight w:val="232"/>
        </w:trPr>
        <w:tc>
          <w:tcPr>
            <w:tcW w:w="6680" w:type="dxa"/>
            <w:vAlign w:val="bottom"/>
          </w:tcPr>
          <w:p>
            <w:pPr>
              <w:jc w:val="right"/>
              <w:ind w:right="5772"/>
              <w:spacing w:after="0"/>
              <w:rPr>
                <w:sz w:val="20"/>
                <w:szCs w:val="20"/>
                <w:color w:val="auto"/>
              </w:rPr>
            </w:pPr>
            <w:r>
              <w:rPr>
                <w:rFonts w:ascii="Arial" w:cs="Arial" w:eastAsia="Arial" w:hAnsi="Arial"/>
                <w:sz w:val="16"/>
                <w:szCs w:val="16"/>
                <w:b w:val="1"/>
                <w:bCs w:val="1"/>
                <w:color w:val="auto"/>
                <w:w w:val="89"/>
              </w:rPr>
              <w:t>(In millions)</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2023</w:t>
            </w:r>
          </w:p>
        </w:tc>
      </w:tr>
      <w:tr>
        <w:trPr>
          <w:trHeight w:val="258"/>
        </w:trPr>
        <w:tc>
          <w:tcPr>
            <w:tcW w:w="6680" w:type="dxa"/>
            <w:vAlign w:val="bottom"/>
          </w:tcPr>
          <w:p>
            <w:pPr>
              <w:jc w:val="right"/>
              <w:spacing w:after="0"/>
              <w:rPr>
                <w:sz w:val="20"/>
                <w:szCs w:val="20"/>
                <w:color w:val="auto"/>
              </w:rPr>
            </w:pPr>
            <w:r>
              <w:rPr>
                <w:rFonts w:ascii="Arial" w:cs="Arial" w:eastAsia="Arial" w:hAnsi="Arial"/>
                <w:sz w:val="18"/>
                <w:szCs w:val="18"/>
                <w:b w:val="1"/>
                <w:bCs w:val="1"/>
                <w:color w:val="auto"/>
                <w:w w:val="89"/>
              </w:rPr>
              <w:t xml:space="preserve">Beginning balance </w:t>
            </w:r>
            <w:r>
              <w:rPr>
                <w:rFonts w:ascii="Arial" w:cs="Arial" w:eastAsia="Arial" w:hAnsi="Arial"/>
                <w:sz w:val="18"/>
                <w:szCs w:val="18"/>
                <w:b w:val="1"/>
                <w:bCs w:val="1"/>
                <w:color w:val="B4B4B4"/>
                <w:w w:val="89"/>
              </w:rPr>
              <w:t>. . . . . . . . . . . . . . . . . . . . . . . . . . . . . . . . . . . . . . . . . . . . . . . . . . . . . . . . . .</w:t>
            </w:r>
          </w:p>
        </w:tc>
        <w:tc>
          <w:tcPr>
            <w:tcW w:w="3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(134)</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2"/>
        </w:trPr>
        <w:tc>
          <w:tcPr>
            <w:tcW w:w="6680" w:type="dxa"/>
            <w:vAlign w:val="bottom"/>
          </w:tcPr>
          <w:p>
            <w:pPr>
              <w:jc w:val="right"/>
              <w:spacing w:after="0"/>
              <w:rPr>
                <w:sz w:val="20"/>
                <w:szCs w:val="20"/>
                <w:color w:val="auto"/>
              </w:rPr>
            </w:pPr>
            <w:r>
              <w:rPr>
                <w:rFonts w:ascii="Arial" w:cs="Arial" w:eastAsia="Arial" w:hAnsi="Arial"/>
                <w:sz w:val="18"/>
                <w:szCs w:val="18"/>
                <w:color w:val="auto"/>
                <w:w w:val="93"/>
              </w:rPr>
              <w:t xml:space="preserve">Contractual obligations added from the acquisition of Vivint Smart Home  </w:t>
            </w:r>
            <w:r>
              <w:rPr>
                <w:rFonts w:ascii="Arial" w:cs="Arial" w:eastAsia="Arial" w:hAnsi="Arial"/>
                <w:sz w:val="18"/>
                <w:szCs w:val="18"/>
                <w:color w:val="B4B4B4"/>
                <w:w w:val="93"/>
              </w:rPr>
              <w:t>. . . . . . . . . . . . .</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82"/>
        </w:trPr>
        <w:tc>
          <w:tcPr>
            <w:tcW w:w="6680" w:type="dxa"/>
            <w:vAlign w:val="bottom"/>
          </w:tcPr>
          <w:p>
            <w:pPr>
              <w:jc w:val="right"/>
              <w:spacing w:after="0"/>
              <w:rPr>
                <w:sz w:val="20"/>
                <w:szCs w:val="20"/>
                <w:color w:val="auto"/>
              </w:rPr>
            </w:pPr>
            <w:r>
              <w:rPr>
                <w:rFonts w:ascii="Arial" w:cs="Arial" w:eastAsia="Arial" w:hAnsi="Arial"/>
                <w:sz w:val="18"/>
                <w:szCs w:val="18"/>
                <w:color w:val="auto"/>
                <w:w w:val="91"/>
              </w:rPr>
              <w:t xml:space="preserve">New contractual obligations </w:t>
            </w:r>
            <w:r>
              <w:rPr>
                <w:rFonts w:ascii="Arial" w:cs="Arial" w:eastAsia="Arial" w:hAnsi="Arial"/>
                <w:sz w:val="18"/>
                <w:szCs w:val="18"/>
                <w:color w:val="B4B4B4"/>
                <w:w w:val="91"/>
              </w:rPr>
              <w:t>. . . . . . . . . . . . . . . . . . . . . . . . . . . . . . . . . . . . . . . . . . . . . . . . . .</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82"/>
        </w:trPr>
        <w:tc>
          <w:tcPr>
            <w:tcW w:w="6680" w:type="dxa"/>
            <w:vAlign w:val="bottom"/>
          </w:tcPr>
          <w:p>
            <w:pPr>
              <w:jc w:val="right"/>
              <w:spacing w:after="0"/>
              <w:rPr>
                <w:sz w:val="20"/>
                <w:szCs w:val="20"/>
                <w:color w:val="auto"/>
              </w:rPr>
            </w:pPr>
            <w:r>
              <w:rPr>
                <w:rFonts w:ascii="Arial" w:cs="Arial" w:eastAsia="Arial" w:hAnsi="Arial"/>
                <w:sz w:val="18"/>
                <w:szCs w:val="18"/>
                <w:color w:val="auto"/>
                <w:w w:val="90"/>
              </w:rPr>
              <w:t xml:space="preserve">Settlements </w:t>
            </w:r>
            <w:r>
              <w:rPr>
                <w:rFonts w:ascii="Arial" w:cs="Arial" w:eastAsia="Arial" w:hAnsi="Arial"/>
                <w:sz w:val="18"/>
                <w:szCs w:val="18"/>
                <w:color w:val="B4B4B4"/>
                <w:w w:val="90"/>
              </w:rPr>
              <w:t>. . . . . . . . . . . . . . . . . . . . . . . . . . . . . . . . . . . . . . . . . . . . . . . . . . . . . . . . . . . . . . .</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86"/>
        </w:trPr>
        <w:tc>
          <w:tcPr>
            <w:tcW w:w="6680" w:type="dxa"/>
            <w:vAlign w:val="bottom"/>
          </w:tcPr>
          <w:p>
            <w:pPr>
              <w:jc w:val="right"/>
              <w:spacing w:after="0"/>
              <w:rPr>
                <w:sz w:val="20"/>
                <w:szCs w:val="20"/>
                <w:color w:val="auto"/>
              </w:rPr>
            </w:pPr>
            <w:r>
              <w:rPr>
                <w:rFonts w:ascii="Arial" w:cs="Arial" w:eastAsia="Arial" w:hAnsi="Arial"/>
                <w:sz w:val="18"/>
                <w:szCs w:val="18"/>
                <w:color w:val="auto"/>
                <w:w w:val="91"/>
              </w:rPr>
              <w:t xml:space="preserve">Total losses included in earnings </w:t>
            </w:r>
            <w:r>
              <w:rPr>
                <w:rFonts w:ascii="Arial" w:cs="Arial" w:eastAsia="Arial" w:hAnsi="Arial"/>
                <w:sz w:val="18"/>
                <w:szCs w:val="18"/>
                <w:color w:val="B4B4B4"/>
                <w:w w:val="91"/>
              </w:rPr>
              <w:t>. . . . . . . . . . . . . . . . . . . . . . . . . . . . . . . . . . . . . . . . . . . . . .</w:t>
            </w: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2"/>
        </w:trPr>
        <w:tc>
          <w:tcPr>
            <w:tcW w:w="6680" w:type="dxa"/>
            <w:vAlign w:val="bottom"/>
          </w:tcPr>
          <w:p>
            <w:pPr>
              <w:jc w:val="right"/>
              <w:spacing w:after="0"/>
              <w:rPr>
                <w:sz w:val="20"/>
                <w:szCs w:val="20"/>
                <w:color w:val="auto"/>
              </w:rPr>
            </w:pPr>
            <w:r>
              <w:rPr>
                <w:rFonts w:ascii="Arial" w:cs="Arial" w:eastAsia="Arial" w:hAnsi="Arial"/>
                <w:sz w:val="18"/>
                <w:szCs w:val="18"/>
                <w:b w:val="1"/>
                <w:bCs w:val="1"/>
                <w:color w:val="auto"/>
                <w:w w:val="93"/>
              </w:rPr>
              <w:t xml:space="preserve">Ending balance </w:t>
            </w:r>
            <w:r>
              <w:rPr>
                <w:rFonts w:ascii="Arial" w:cs="Arial" w:eastAsia="Arial" w:hAnsi="Arial"/>
                <w:sz w:val="18"/>
                <w:szCs w:val="18"/>
                <w:b w:val="1"/>
                <w:bCs w:val="1"/>
                <w:color w:val="B4B4B4"/>
                <w:w w:val="93"/>
              </w:rPr>
              <w:t>. . . . . . . . . . . . . . . . . . . . . . . . . . . . . . . . . . . . . . . . . . . . . . . . . . . . . . . . .</w:t>
            </w:r>
          </w:p>
        </w:tc>
        <w:tc>
          <w:tcPr>
            <w:tcW w:w="3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6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-1106170</wp:posOffset>
            </wp:positionV>
            <wp:extent cx="6475095" cy="11131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5">
                      <a:extLst>
                        <a:ext uri="{28A0092B-C50C-407E-A947-70E740481C1C}"/>
                      </a:extLst>
                    </a:blip>
                    <a:srcRect/>
                    <a:stretch>
                      <a:fillRect/>
                    </a:stretch>
                  </pic:blipFill>
                  <pic:spPr bwMode="auto">
                    <a:xfrm>
                      <a:off x="0" y="0"/>
                      <a:ext cx="6475095" cy="1113155"/>
                    </a:xfrm>
                    <a:prstGeom prst="rect">
                      <a:avLst/>
                    </a:prstGeom>
                    <a:noFill/>
                  </pic:spPr>
                </pic:pic>
              </a:graphicData>
            </a:graphic>
          </wp:anchor>
        </w:drawing>
      </w:r>
    </w:p>
    <w:p>
      <w:pPr>
        <w:spacing w:after="0" w:line="107" w:lineRule="exact"/>
        <w:rPr>
          <w:sz w:val="20"/>
          <w:szCs w:val="20"/>
          <w:color w:val="auto"/>
        </w:rPr>
      </w:pPr>
    </w:p>
    <w:p>
      <w:pPr>
        <w:ind w:left="440" w:right="680"/>
        <w:spacing w:after="0" w:line="371" w:lineRule="auto"/>
        <w:rPr>
          <w:sz w:val="20"/>
          <w:szCs w:val="20"/>
          <w:color w:val="auto"/>
        </w:rPr>
      </w:pPr>
      <w:r>
        <w:rPr>
          <w:rFonts w:ascii="Arial" w:cs="Arial" w:eastAsia="Arial" w:hAnsi="Arial"/>
          <w:sz w:val="20"/>
          <w:szCs w:val="20"/>
          <w:color w:val="auto"/>
        </w:rPr>
        <w:t xml:space="preserve">Gains and losses that are related to the Consumer Financing Program derivative are recorded in other income, net. </w:t>
      </w:r>
      <w:r>
        <w:rPr>
          <w:rFonts w:ascii="Arial" w:cs="Arial" w:eastAsia="Arial" w:hAnsi="Arial"/>
          <w:sz w:val="20"/>
          <w:szCs w:val="20"/>
          <w:b w:val="1"/>
          <w:bCs w:val="1"/>
          <w:i w:val="1"/>
          <w:iCs w:val="1"/>
          <w:color w:val="auto"/>
        </w:rPr>
        <w:t>Derivative fair value measurements</w:t>
      </w:r>
    </w:p>
    <w:p>
      <w:pPr>
        <w:spacing w:after="0" w:line="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The Company's contracts consist of non-exchange-traded contracts valued using prices provided by external sources and exchange-traded contracts with readily available quoted market prices. Beginning in of the fourth quarter of 2023, the fair value of non-exchange traded contracts were based on consensus pricing provided by independent pricing services. The pricing data was compiled from market makers with longer dated tenors as compared to broker quotes, enhancing reliability and increasing transparency.</w:t>
      </w:r>
    </w:p>
    <w:p>
      <w:pPr>
        <w:spacing w:after="0" w:line="8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Prior to the fourth quarter of 2023, the Company valued derivatives based on price quotes from brokers in active markets who regularly facilitate those transactions. For the majority of markets that NRG participates in, the Company would receive broker quotes from multiple sources and reflected the average of the bid-ask mid-point prices. The terms for which such price information is available vary by commodity, region and product. The Company believes both sources of price quotes are executable.</w:t>
      </w:r>
    </w:p>
    <w:p>
      <w:pPr>
        <w:spacing w:after="0" w:line="85" w:lineRule="exact"/>
        <w:rPr>
          <w:sz w:val="20"/>
          <w:szCs w:val="20"/>
          <w:color w:val="auto"/>
        </w:rPr>
      </w:pPr>
    </w:p>
    <w:p>
      <w:pPr>
        <w:jc w:val="both"/>
        <w:ind w:firstLine="445"/>
        <w:spacing w:after="0" w:line="280" w:lineRule="auto"/>
        <w:rPr>
          <w:sz w:val="20"/>
          <w:szCs w:val="20"/>
          <w:color w:val="auto"/>
        </w:rPr>
      </w:pPr>
      <w:r>
        <w:rPr>
          <w:rFonts w:ascii="Arial" w:cs="Arial" w:eastAsia="Arial" w:hAnsi="Arial"/>
          <w:sz w:val="18"/>
          <w:szCs w:val="18"/>
          <w:color w:val="auto"/>
        </w:rPr>
        <w:t>The remainder of the assets and liabilities represents contracts for which external sources or observable market quotes are not available. These contracts are valued based on various valuation techniques including but not limited to internal models based on a fundamental analysis of the market and extrapolation of observable market data with similar characteristics. As of December 31, 2024, contracts valued with prices provided by models and other valuation techniques make up 6% of derivative assets and 11% of derivative liabilities. The fair value of each contract is discounted using a risk free interest rate. In addition, the Company applies a credit reserve to reflect credit risk, which for foreign exchange contracts and interest rate swaps is calculated utilizing the bilateral method based on published default probabilities. For commodities, to the extent that NRG's net exposure under a specific master agreement is an asset, the Company uses the counterparty's default swap rate. If the exposure under a specific master agreement is a liability, the Company uses NRG's default swap rate. For foreign exchange contracts, interest rate swaps, and commodities, the credit reserve is added to the discounted fair value to reflect the exit price that a market participant would be willing to receive to assume NRG's liabilities or that a market participant would be willing to pay for NRG's assets. As of December 31, 2024, the credit reserve resulted in a $1 million decrease primarily within cost of operations. As of December 31, 2023, the credit reserve resulted in $18 million decrease primarily within cost of operations.</w:t>
      </w:r>
    </w:p>
    <w:p>
      <w:pPr>
        <w:spacing w:after="0" w:line="68"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The fair values in each category reflect the level of forward prices and volatility factors as of December 31, 2024 and may change as a result of changes in these factors. Management uses its best estimates to determine the fair value of commodity and derivative contracts NRG holds and sells. These estimates consider various factors including closing exchange, consensus and over-the-counter price quotations, time value, volatility factors and credit exposure. It is possible, however, that future market prices could vary from those used in recording assets and liabilities from energy marketing and trading activities and such variations could be material.</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ectPr>
          <w:pgSz w:w="11880" w:h="15480" w:orient="portrait"/>
          <w:cols w:equalWidth="0" w:num="1">
            <w:col w:w="10160"/>
          </w:cols>
          <w:pgMar w:left="860" w:top="512" w:right="860" w:bottom="0" w:gutter="0" w:footer="0" w:header="0"/>
          <w:type w:val="continuous"/>
        </w:sectPr>
      </w:pPr>
    </w:p>
    <w:bookmarkStart w:id="116" w:name="page117"/>
    <w:bookmarkEnd w:id="116"/>
    <w:p>
      <w:pPr>
        <w:jc w:val="both"/>
        <w:ind w:firstLine="445"/>
        <w:spacing w:after="0" w:line="282" w:lineRule="auto"/>
        <w:rPr>
          <w:sz w:val="20"/>
          <w:szCs w:val="20"/>
          <w:color w:val="auto"/>
        </w:rPr>
      </w:pPr>
      <w:r>
        <w:rPr>
          <w:rFonts w:ascii="Arial" w:cs="Arial" w:eastAsia="Arial" w:hAnsi="Arial"/>
          <w:sz w:val="18"/>
          <w:szCs w:val="18"/>
          <w:color w:val="auto"/>
        </w:rPr>
        <w:t>NRG's significant positions classified as Level 3 include physical and financial natural gas, power, capacity contracts and renewable energy certificates executed in illiquid markets as well as financial transmission rights ("FTRs"). The significant unobservable inputs used in developing fair value include illiquid natural gas and power location pricing, which is derived as a basis to liquid locations. The basis spread is based on observable market data when available or derived from historic prices and forward market prices from similar observable markets when not available. Forward capacity prices are based on market information, forecasted future electricity demand and supply, past auctions and internally developed pricing models. Renewable energy certificate prices are based on market information and internally developed pricing models. For FTRs, NRG uses the most recent auction prices to derive the fair value. The Consumer Financing Program derivatives are valued using a discounted cash flow model, with inputs consisting of available market data, such as market yield discount rates, as well as unobservable internally derived assumptions, such as collateral prepayment rates, collateral default rates and credit loss rates.</w:t>
      </w:r>
    </w:p>
    <w:p>
      <w:pPr>
        <w:spacing w:after="0" w:line="6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The following tables quantify the significant unobservable inputs used in developing the fair value of the Company's Level 3 positions as of December 31, 2024 and 2023:</w:t>
      </w:r>
    </w:p>
    <w:p>
      <w:pPr>
        <w:spacing w:after="0" w:line="156" w:lineRule="exact"/>
        <w:rPr>
          <w:sz w:val="20"/>
          <w:szCs w:val="20"/>
          <w:color w:val="auto"/>
        </w:rPr>
      </w:pPr>
    </w:p>
    <w:p>
      <w:pPr>
        <w:jc w:val="center"/>
        <w:ind w:left="1780"/>
        <w:spacing w:after="0"/>
        <w:rPr>
          <w:sz w:val="20"/>
          <w:szCs w:val="20"/>
          <w:color w:val="auto"/>
        </w:rPr>
      </w:pPr>
      <w:r>
        <w:rPr>
          <w:rFonts w:ascii="Arial" w:cs="Arial" w:eastAsia="Arial" w:hAnsi="Arial"/>
          <w:sz w:val="18"/>
          <w:szCs w:val="18"/>
          <w:b w:val="1"/>
          <w:bCs w:val="1"/>
          <w:color w:val="auto"/>
        </w:rPr>
        <w:t>Significant Unobservable Inputs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1132205</wp:posOffset>
                </wp:positionH>
                <wp:positionV relativeFrom="paragraph">
                  <wp:posOffset>27305</wp:posOffset>
                </wp:positionV>
                <wp:extent cx="531812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18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15pt,2.15pt" to="507.9pt,2.15pt" o:allowincell="f" strokecolor="#000000" strokeweight="1pt"/>
            </w:pict>
          </mc:Fallback>
        </mc:AlternateContent>
      </w:r>
    </w:p>
    <w:p>
      <w:pPr>
        <w:spacing w:after="0" w:line="55" w:lineRule="exact"/>
        <w:rPr>
          <w:sz w:val="20"/>
          <w:szCs w:val="20"/>
          <w:color w:val="auto"/>
        </w:rPr>
      </w:pPr>
    </w:p>
    <w:p>
      <w:pPr>
        <w:jc w:val="center"/>
        <w:ind w:left="1780"/>
        <w:spacing w:after="0"/>
        <w:rPr>
          <w:sz w:val="20"/>
          <w:szCs w:val="20"/>
          <w:color w:val="auto"/>
        </w:rPr>
      </w:pPr>
      <w:r>
        <w:rPr>
          <w:rFonts w:ascii="Arial" w:cs="Arial" w:eastAsia="Arial" w:hAnsi="Arial"/>
          <w:sz w:val="18"/>
          <w:szCs w:val="18"/>
          <w:b w:val="1"/>
          <w:bCs w:val="1"/>
          <w:color w:val="auto"/>
        </w:rPr>
        <w:t>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1132205</wp:posOffset>
                </wp:positionH>
                <wp:positionV relativeFrom="paragraph">
                  <wp:posOffset>27305</wp:posOffset>
                </wp:positionV>
                <wp:extent cx="531812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18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15pt,2.15pt" to="507.9pt,2.15pt" o:allowincell="f" strokecolor="#000000" strokeweight="1pt"/>
            </w:pict>
          </mc:Fallback>
        </mc:AlternateContent>
      </w:r>
    </w:p>
    <w:p>
      <w:pPr>
        <w:spacing w:after="0" w:line="55"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1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Fair Value</w:t>
            </w: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Input/Range</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gridSpan w:val="2"/>
          </w:tcPr>
          <w:p>
            <w:pPr>
              <w:jc w:val="center"/>
              <w:ind w:right="60"/>
              <w:spacing w:after="0" w:line="204" w:lineRule="exact"/>
              <w:rPr>
                <w:sz w:val="20"/>
                <w:szCs w:val="20"/>
                <w:color w:val="auto"/>
              </w:rPr>
            </w:pPr>
            <w:r>
              <w:rPr>
                <w:rFonts w:ascii="Arial" w:cs="Arial" w:eastAsia="Arial" w:hAnsi="Arial"/>
                <w:sz w:val="18"/>
                <w:szCs w:val="18"/>
                <w:b w:val="1"/>
                <w:bCs w:val="1"/>
                <w:color w:val="auto"/>
                <w:w w:val="89"/>
              </w:rPr>
              <w:t>Significant</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80" w:type="dxa"/>
            <w:vAlign w:val="bottom"/>
            <w:gridSpan w:val="2"/>
          </w:tcPr>
          <w:p>
            <w:pPr>
              <w:spacing w:after="0"/>
              <w:rPr>
                <w:sz w:val="20"/>
                <w:szCs w:val="20"/>
                <w:color w:val="auto"/>
              </w:rPr>
            </w:pPr>
            <w:r>
              <w:rPr>
                <w:rFonts w:ascii="Arial" w:cs="Arial" w:eastAsia="Arial" w:hAnsi="Arial"/>
                <w:sz w:val="16"/>
                <w:szCs w:val="16"/>
                <w:b w:val="1"/>
                <w:bCs w:val="1"/>
                <w:color w:val="auto"/>
              </w:rPr>
              <w:t>(in millions, except as</w:t>
            </w:r>
          </w:p>
        </w:tc>
        <w:tc>
          <w:tcPr>
            <w:tcW w:w="660" w:type="dxa"/>
            <w:vAlign w:val="bottom"/>
            <w:vMerge w:val="restart"/>
          </w:tcPr>
          <w:p>
            <w:pPr>
              <w:jc w:val="right"/>
              <w:ind w:right="82"/>
              <w:spacing w:after="0"/>
              <w:rPr>
                <w:sz w:val="20"/>
                <w:szCs w:val="20"/>
                <w:color w:val="auto"/>
              </w:rPr>
            </w:pPr>
            <w:r>
              <w:rPr>
                <w:rFonts w:ascii="Arial" w:cs="Arial" w:eastAsia="Arial" w:hAnsi="Arial"/>
                <w:sz w:val="18"/>
                <w:szCs w:val="18"/>
                <w:b w:val="1"/>
                <w:bCs w:val="1"/>
                <w:color w:val="auto"/>
                <w:w w:val="77"/>
              </w:rPr>
              <w:t>Assets</w:t>
            </w:r>
          </w:p>
        </w:tc>
        <w:tc>
          <w:tcPr>
            <w:tcW w:w="80" w:type="dxa"/>
            <w:vAlign w:val="bottom"/>
          </w:tcPr>
          <w:p>
            <w:pPr>
              <w:spacing w:after="0"/>
              <w:rPr>
                <w:sz w:val="17"/>
                <w:szCs w:val="17"/>
                <w:color w:val="auto"/>
              </w:rPr>
            </w:pPr>
          </w:p>
        </w:tc>
        <w:tc>
          <w:tcPr>
            <w:tcW w:w="980" w:type="dxa"/>
            <w:vAlign w:val="bottom"/>
            <w:gridSpan w:val="2"/>
            <w:vMerge w:val="restart"/>
          </w:tcPr>
          <w:p>
            <w:pPr>
              <w:jc w:val="right"/>
              <w:ind w:right="2"/>
              <w:spacing w:after="0"/>
              <w:rPr>
                <w:sz w:val="20"/>
                <w:szCs w:val="20"/>
                <w:color w:val="auto"/>
              </w:rPr>
            </w:pPr>
            <w:r>
              <w:rPr>
                <w:rFonts w:ascii="Arial" w:cs="Arial" w:eastAsia="Arial" w:hAnsi="Arial"/>
                <w:sz w:val="18"/>
                <w:szCs w:val="18"/>
                <w:b w:val="1"/>
                <w:bCs w:val="1"/>
                <w:color w:val="auto"/>
              </w:rPr>
              <w:t>Liabilities</w:t>
            </w:r>
          </w:p>
        </w:tc>
        <w:tc>
          <w:tcPr>
            <w:tcW w:w="80" w:type="dxa"/>
            <w:vAlign w:val="bottom"/>
          </w:tcPr>
          <w:p>
            <w:pPr>
              <w:spacing w:after="0"/>
              <w:rPr>
                <w:sz w:val="17"/>
                <w:szCs w:val="17"/>
                <w:color w:val="auto"/>
              </w:rPr>
            </w:pPr>
          </w:p>
        </w:tc>
        <w:tc>
          <w:tcPr>
            <w:tcW w:w="1540" w:type="dxa"/>
            <w:vAlign w:val="bottom"/>
          </w:tcPr>
          <w:p>
            <w:pPr>
              <w:ind w:left="400"/>
              <w:spacing w:after="0" w:line="202" w:lineRule="exact"/>
              <w:rPr>
                <w:sz w:val="20"/>
                <w:szCs w:val="20"/>
                <w:color w:val="auto"/>
              </w:rPr>
            </w:pPr>
            <w:r>
              <w:rPr>
                <w:rFonts w:ascii="Arial" w:cs="Arial" w:eastAsia="Arial" w:hAnsi="Arial"/>
                <w:sz w:val="18"/>
                <w:szCs w:val="18"/>
                <w:b w:val="1"/>
                <w:bCs w:val="1"/>
                <w:color w:val="auto"/>
              </w:rPr>
              <w:t>Valuation</w:t>
            </w:r>
          </w:p>
        </w:tc>
        <w:tc>
          <w:tcPr>
            <w:tcW w:w="60" w:type="dxa"/>
            <w:vAlign w:val="bottom"/>
          </w:tcPr>
          <w:p>
            <w:pPr>
              <w:spacing w:after="0"/>
              <w:rPr>
                <w:sz w:val="17"/>
                <w:szCs w:val="17"/>
                <w:color w:val="auto"/>
              </w:rPr>
            </w:pPr>
          </w:p>
        </w:tc>
        <w:tc>
          <w:tcPr>
            <w:tcW w:w="168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89"/>
              </w:rPr>
              <w:t>Unobservable</w:t>
            </w:r>
          </w:p>
        </w:tc>
        <w:tc>
          <w:tcPr>
            <w:tcW w:w="240" w:type="dxa"/>
            <w:vAlign w:val="bottom"/>
          </w:tcPr>
          <w:p>
            <w:pPr>
              <w:spacing w:after="0"/>
              <w:rPr>
                <w:sz w:val="17"/>
                <w:szCs w:val="17"/>
                <w:color w:val="auto"/>
              </w:rPr>
            </w:pPr>
          </w:p>
        </w:tc>
        <w:tc>
          <w:tcPr>
            <w:tcW w:w="760" w:type="dxa"/>
            <w:vAlign w:val="bottom"/>
            <w:vMerge w:val="restart"/>
          </w:tcPr>
          <w:p>
            <w:pPr>
              <w:jc w:val="right"/>
              <w:ind w:right="222"/>
              <w:spacing w:after="0"/>
              <w:rPr>
                <w:sz w:val="20"/>
                <w:szCs w:val="20"/>
                <w:color w:val="auto"/>
              </w:rPr>
            </w:pPr>
            <w:r>
              <w:rPr>
                <w:rFonts w:ascii="Arial" w:cs="Arial" w:eastAsia="Arial" w:hAnsi="Arial"/>
                <w:sz w:val="18"/>
                <w:szCs w:val="18"/>
                <w:b w:val="1"/>
                <w:bCs w:val="1"/>
                <w:color w:val="auto"/>
              </w:rPr>
              <w:t>Low</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restart"/>
          </w:tcPr>
          <w:p>
            <w:pPr>
              <w:jc w:val="right"/>
              <w:ind w:right="202"/>
              <w:spacing w:after="0"/>
              <w:rPr>
                <w:sz w:val="20"/>
                <w:szCs w:val="20"/>
                <w:color w:val="auto"/>
              </w:rPr>
            </w:pPr>
            <w:r>
              <w:rPr>
                <w:rFonts w:ascii="Arial" w:cs="Arial" w:eastAsia="Arial" w:hAnsi="Arial"/>
                <w:sz w:val="18"/>
                <w:szCs w:val="18"/>
                <w:b w:val="1"/>
                <w:bCs w:val="1"/>
                <w:color w:val="auto"/>
              </w:rPr>
              <w:t>High</w:t>
            </w:r>
          </w:p>
        </w:tc>
        <w:tc>
          <w:tcPr>
            <w:tcW w:w="80" w:type="dxa"/>
            <w:vAlign w:val="bottom"/>
          </w:tcPr>
          <w:p>
            <w:pPr>
              <w:spacing w:after="0"/>
              <w:rPr>
                <w:sz w:val="17"/>
                <w:szCs w:val="17"/>
                <w:color w:val="auto"/>
              </w:rPr>
            </w:pPr>
          </w:p>
        </w:tc>
        <w:tc>
          <w:tcPr>
            <w:tcW w:w="1000" w:type="dxa"/>
            <w:vAlign w:val="bottom"/>
            <w:gridSpan w:val="2"/>
          </w:tcPr>
          <w:p>
            <w:pPr>
              <w:jc w:val="right"/>
              <w:ind w:right="42"/>
              <w:spacing w:after="0" w:line="202" w:lineRule="exact"/>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2"/>
        </w:trPr>
        <w:tc>
          <w:tcPr>
            <w:tcW w:w="1720" w:type="dxa"/>
            <w:vAlign w:val="bottom"/>
          </w:tcPr>
          <w:p>
            <w:pPr>
              <w:spacing w:after="0"/>
              <w:rPr>
                <w:sz w:val="20"/>
                <w:szCs w:val="20"/>
                <w:color w:val="auto"/>
              </w:rPr>
            </w:pPr>
            <w:r>
              <w:rPr>
                <w:rFonts w:ascii="Arial" w:cs="Arial" w:eastAsia="Arial" w:hAnsi="Arial"/>
                <w:sz w:val="16"/>
                <w:szCs w:val="16"/>
                <w:b w:val="1"/>
                <w:bCs w:val="1"/>
                <w:color w:val="auto"/>
              </w:rPr>
              <w:t>noted)</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Technique</w:t>
            </w:r>
          </w:p>
        </w:tc>
        <w:tc>
          <w:tcPr>
            <w:tcW w:w="6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Input</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20"/>
        </w:trPr>
        <w:tc>
          <w:tcPr>
            <w:tcW w:w="1880" w:type="dxa"/>
            <w:vAlign w:val="bottom"/>
            <w:gridSpan w:val="2"/>
            <w:vMerge w:val="restart"/>
          </w:tcPr>
          <w:p>
            <w:pPr>
              <w:spacing w:after="0"/>
              <w:rPr>
                <w:sz w:val="20"/>
                <w:szCs w:val="20"/>
                <w:color w:val="auto"/>
              </w:rPr>
            </w:pPr>
            <w:r>
              <w:rPr>
                <w:rFonts w:ascii="Arial" w:cs="Arial" w:eastAsia="Arial" w:hAnsi="Arial"/>
                <w:sz w:val="20"/>
                <w:szCs w:val="20"/>
                <w:color w:val="auto"/>
              </w:rPr>
              <w:t>Natural Gas</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vMerge w:val="restart"/>
          </w:tcPr>
          <w:p>
            <w:pPr>
              <w:ind w:left="60"/>
              <w:spacing w:after="0"/>
              <w:rPr>
                <w:sz w:val="20"/>
                <w:szCs w:val="20"/>
                <w:color w:val="auto"/>
              </w:rPr>
            </w:pPr>
            <w:r>
              <w:rPr>
                <w:rFonts w:ascii="Arial" w:cs="Arial" w:eastAsia="Arial" w:hAnsi="Arial"/>
                <w:sz w:val="20"/>
                <w:szCs w:val="20"/>
                <w:color w:val="auto"/>
                <w:w w:val="95"/>
              </w:rPr>
              <w:t>Discounted Cash</w:t>
            </w:r>
          </w:p>
        </w:tc>
        <w:tc>
          <w:tcPr>
            <w:tcW w:w="60" w:type="dxa"/>
            <w:vAlign w:val="bottom"/>
          </w:tcPr>
          <w:p>
            <w:pPr>
              <w:spacing w:after="0"/>
              <w:rPr>
                <w:sz w:val="19"/>
                <w:szCs w:val="19"/>
                <w:color w:val="auto"/>
              </w:rPr>
            </w:pPr>
          </w:p>
        </w:tc>
        <w:tc>
          <w:tcPr>
            <w:tcW w:w="1680" w:type="dxa"/>
            <w:vAlign w:val="bottom"/>
            <w:gridSpan w:val="2"/>
          </w:tcPr>
          <w:p>
            <w:pPr>
              <w:ind w:left="60"/>
              <w:spacing w:after="0" w:line="220" w:lineRule="exact"/>
              <w:rPr>
                <w:sz w:val="20"/>
                <w:szCs w:val="20"/>
                <w:color w:val="auto"/>
              </w:rPr>
            </w:pPr>
            <w:r>
              <w:rPr>
                <w:rFonts w:ascii="Arial" w:cs="Arial" w:eastAsia="Arial" w:hAnsi="Arial"/>
                <w:sz w:val="20"/>
                <w:szCs w:val="20"/>
                <w:color w:val="auto"/>
              </w:rPr>
              <w:t>Forward Market</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880" w:type="dxa"/>
            <w:vAlign w:val="bottom"/>
            <w:gridSpan w:val="2"/>
            <w:vMerge w:val="continue"/>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56</w:t>
            </w:r>
          </w:p>
        </w:tc>
        <w:tc>
          <w:tcPr>
            <w:tcW w:w="380" w:type="dxa"/>
            <w:vAlign w:val="bottom"/>
            <w:gridSpan w:val="2"/>
            <w:vMerge w:val="restart"/>
          </w:tcPr>
          <w:p>
            <w:pPr>
              <w:jc w:val="right"/>
              <w:ind w:right="71"/>
              <w:spacing w:after="0"/>
              <w:rPr>
                <w:sz w:val="20"/>
                <w:szCs w:val="20"/>
                <w:color w:val="auto"/>
              </w:rPr>
            </w:pPr>
            <w:r>
              <w:rPr>
                <w:rFonts w:ascii="Arial" w:cs="Arial" w:eastAsia="Arial" w:hAnsi="Arial"/>
                <w:sz w:val="20"/>
                <w:szCs w:val="20"/>
                <w:color w:val="auto"/>
              </w:rPr>
              <w:t>$</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15</w:t>
            </w:r>
          </w:p>
        </w:tc>
        <w:tc>
          <w:tcPr>
            <w:tcW w:w="8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gridSpan w:val="2"/>
          </w:tcPr>
          <w:p>
            <w:pPr>
              <w:ind w:left="60"/>
              <w:spacing w:after="0" w:line="198" w:lineRule="exact"/>
              <w:rPr>
                <w:sz w:val="20"/>
                <w:szCs w:val="20"/>
                <w:color w:val="auto"/>
              </w:rPr>
            </w:pPr>
            <w:r>
              <w:rPr>
                <w:rFonts w:ascii="Arial" w:cs="Arial" w:eastAsia="Arial" w:hAnsi="Arial"/>
                <w:sz w:val="20"/>
                <w:szCs w:val="20"/>
                <w:color w:val="auto"/>
              </w:rPr>
              <w:t>Price ($ per</w:t>
            </w:r>
          </w:p>
        </w:tc>
        <w:tc>
          <w:tcPr>
            <w:tcW w:w="2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ind w:right="142"/>
              <w:spacing w:after="0"/>
              <w:rPr>
                <w:sz w:val="20"/>
                <w:szCs w:val="20"/>
                <w:color w:val="auto"/>
              </w:rPr>
            </w:pPr>
            <w:r>
              <w:rPr>
                <w:rFonts w:ascii="Arial" w:cs="Arial" w:eastAsia="Arial" w:hAnsi="Arial"/>
                <w:sz w:val="20"/>
                <w:szCs w:val="20"/>
                <w:color w:val="auto"/>
              </w:rPr>
              <w:t>2</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00" w:type="dxa"/>
            <w:vAlign w:val="bottom"/>
            <w:vMerge w:val="restart"/>
          </w:tcPr>
          <w:p>
            <w:pPr>
              <w:jc w:val="right"/>
              <w:ind w:right="142"/>
              <w:spacing w:after="0"/>
              <w:rPr>
                <w:sz w:val="20"/>
                <w:szCs w:val="20"/>
                <w:color w:val="auto"/>
              </w:rPr>
            </w:pPr>
            <w:r>
              <w:rPr>
                <w:rFonts w:ascii="Arial" w:cs="Arial" w:eastAsia="Arial" w:hAnsi="Arial"/>
                <w:sz w:val="20"/>
                <w:szCs w:val="20"/>
                <w:color w:val="auto"/>
              </w:rPr>
              <w:t>27</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40" w:type="dxa"/>
            <w:vAlign w:val="bottom"/>
            <w:vMerge w:val="restart"/>
          </w:tcPr>
          <w:p>
            <w:pPr>
              <w:jc w:val="right"/>
              <w:ind w:right="142"/>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58"/>
        </w:trPr>
        <w:tc>
          <w:tcPr>
            <w:tcW w:w="1880" w:type="dxa"/>
            <w:vAlign w:val="bottom"/>
            <w:gridSpan w:val="2"/>
          </w:tcPr>
          <w:p>
            <w:pPr>
              <w:spacing w:after="0"/>
              <w:rPr>
                <w:sz w:val="20"/>
                <w:szCs w:val="20"/>
                <w:color w:val="auto"/>
              </w:rPr>
            </w:pPr>
            <w:r>
              <w:rPr>
                <w:rFonts w:ascii="Arial" w:cs="Arial" w:eastAsia="Arial" w:hAnsi="Arial"/>
                <w:sz w:val="20"/>
                <w:szCs w:val="20"/>
                <w:color w:val="auto"/>
                <w:w w:val="91"/>
              </w:rPr>
              <w:t xml:space="preserve">Contracts </w:t>
            </w:r>
            <w:r>
              <w:rPr>
                <w:rFonts w:ascii="Arial" w:cs="Arial" w:eastAsia="Arial" w:hAnsi="Arial"/>
                <w:sz w:val="20"/>
                <w:szCs w:val="20"/>
                <w:color w:val="B4B4B4"/>
                <w:w w:val="91"/>
              </w:rPr>
              <w:t>. . . . . . . . .</w:t>
            </w:r>
            <w:r>
              <w:rPr>
                <w:rFonts w:ascii="Arial" w:cs="Arial" w:eastAsia="Arial" w:hAnsi="Arial"/>
                <w:sz w:val="20"/>
                <w:szCs w:val="20"/>
                <w:color w:val="auto"/>
                <w:w w:val="91"/>
              </w:rPr>
              <w:t xml:space="preserve"> $</w:t>
            </w:r>
          </w:p>
        </w:tc>
        <w:tc>
          <w:tcPr>
            <w:tcW w:w="66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rPr>
              <w:t>Flow</w:t>
            </w:r>
          </w:p>
        </w:tc>
        <w:tc>
          <w:tcPr>
            <w:tcW w:w="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MMBtu)</w:t>
            </w:r>
          </w:p>
        </w:tc>
        <w:tc>
          <w:tcPr>
            <w:tcW w:w="24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vMerge w:val="restart"/>
          </w:tcPr>
          <w:p>
            <w:pPr>
              <w:ind w:left="60"/>
              <w:spacing w:after="0"/>
              <w:rPr>
                <w:sz w:val="20"/>
                <w:szCs w:val="20"/>
                <w:color w:val="auto"/>
              </w:rPr>
            </w:pPr>
            <w:r>
              <w:rPr>
                <w:rFonts w:ascii="Arial" w:cs="Arial" w:eastAsia="Arial" w:hAnsi="Arial"/>
                <w:sz w:val="20"/>
                <w:szCs w:val="20"/>
                <w:color w:val="auto"/>
                <w:w w:val="95"/>
              </w:rPr>
              <w:t>Discounted Cash</w:t>
            </w:r>
          </w:p>
        </w:tc>
        <w:tc>
          <w:tcPr>
            <w:tcW w:w="60" w:type="dxa"/>
            <w:vAlign w:val="bottom"/>
          </w:tcPr>
          <w:p>
            <w:pPr>
              <w:spacing w:after="0"/>
              <w:rPr>
                <w:sz w:val="21"/>
                <w:szCs w:val="21"/>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Forward Market</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880" w:type="dxa"/>
            <w:vAlign w:val="bottom"/>
            <w:gridSpan w:val="2"/>
            <w:vMerge w:val="restart"/>
          </w:tcPr>
          <w:p>
            <w:pPr>
              <w:spacing w:after="0"/>
              <w:rPr>
                <w:sz w:val="20"/>
                <w:szCs w:val="20"/>
                <w:color w:val="auto"/>
              </w:rPr>
            </w:pPr>
            <w:r>
              <w:rPr>
                <w:rFonts w:ascii="Arial" w:cs="Arial" w:eastAsia="Arial" w:hAnsi="Arial"/>
                <w:sz w:val="20"/>
                <w:szCs w:val="20"/>
                <w:color w:val="auto"/>
              </w:rPr>
              <w:t xml:space="preserve">Power Contracts </w:t>
            </w:r>
            <w:r>
              <w:rPr>
                <w:rFonts w:ascii="Arial" w:cs="Arial" w:eastAsia="Arial" w:hAnsi="Arial"/>
                <w:sz w:val="20"/>
                <w:szCs w:val="20"/>
                <w:color w:val="B4B4B4"/>
              </w:rPr>
              <w:t>. . .</w:t>
            </w: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57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86</w:t>
            </w:r>
          </w:p>
        </w:tc>
        <w:tc>
          <w:tcPr>
            <w:tcW w:w="8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gridSpan w:val="2"/>
          </w:tcPr>
          <w:p>
            <w:pPr>
              <w:ind w:left="60"/>
              <w:spacing w:after="0" w:line="198" w:lineRule="exact"/>
              <w:rPr>
                <w:sz w:val="20"/>
                <w:szCs w:val="20"/>
                <w:color w:val="auto"/>
              </w:rPr>
            </w:pPr>
            <w:r>
              <w:rPr>
                <w:rFonts w:ascii="Arial" w:cs="Arial" w:eastAsia="Arial" w:hAnsi="Arial"/>
                <w:sz w:val="20"/>
                <w:szCs w:val="20"/>
                <w:color w:val="auto"/>
              </w:rPr>
              <w:t>Price ($ per</w:t>
            </w:r>
          </w:p>
        </w:tc>
        <w:tc>
          <w:tcPr>
            <w:tcW w:w="240" w:type="dxa"/>
            <w:vAlign w:val="bottom"/>
          </w:tcPr>
          <w:p>
            <w:pPr>
              <w:spacing w:after="0"/>
              <w:rPr>
                <w:sz w:val="17"/>
                <w:szCs w:val="17"/>
                <w:color w:val="auto"/>
              </w:rPr>
            </w:pPr>
          </w:p>
        </w:tc>
        <w:tc>
          <w:tcPr>
            <w:tcW w:w="760" w:type="dxa"/>
            <w:vAlign w:val="bottom"/>
            <w:vMerge w:val="restart"/>
          </w:tcPr>
          <w:p>
            <w:pPr>
              <w:jc w:val="right"/>
              <w:ind w:right="142"/>
              <w:spacing w:after="0"/>
              <w:rPr>
                <w:sz w:val="20"/>
                <w:szCs w:val="20"/>
                <w:color w:val="auto"/>
              </w:rPr>
            </w:pPr>
            <w:r>
              <w:rPr>
                <w:rFonts w:ascii="Arial" w:cs="Arial" w:eastAsia="Arial" w:hAnsi="Arial"/>
                <w:sz w:val="20"/>
                <w:szCs w:val="20"/>
                <w:color w:val="auto"/>
              </w:rPr>
              <w:t>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restart"/>
          </w:tcPr>
          <w:p>
            <w:pPr>
              <w:jc w:val="right"/>
              <w:ind w:right="142"/>
              <w:spacing w:after="0"/>
              <w:rPr>
                <w:sz w:val="20"/>
                <w:szCs w:val="20"/>
                <w:color w:val="auto"/>
              </w:rPr>
            </w:pPr>
            <w:r>
              <w:rPr>
                <w:rFonts w:ascii="Arial" w:cs="Arial" w:eastAsia="Arial" w:hAnsi="Arial"/>
                <w:sz w:val="20"/>
                <w:szCs w:val="20"/>
                <w:color w:val="auto"/>
              </w:rPr>
              <w:t>109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ind w:right="142"/>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58"/>
        </w:trPr>
        <w:tc>
          <w:tcPr>
            <w:tcW w:w="1880" w:type="dxa"/>
            <w:vAlign w:val="bottom"/>
            <w:gridSpan w:val="2"/>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rPr>
              <w:t>Flow</w:t>
            </w:r>
          </w:p>
        </w:tc>
        <w:tc>
          <w:tcPr>
            <w:tcW w:w="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MWh)</w:t>
            </w: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vMerge w:val="restart"/>
          </w:tcPr>
          <w:p>
            <w:pPr>
              <w:ind w:left="60"/>
              <w:spacing w:after="0"/>
              <w:rPr>
                <w:sz w:val="20"/>
                <w:szCs w:val="20"/>
                <w:color w:val="auto"/>
              </w:rPr>
            </w:pPr>
            <w:r>
              <w:rPr>
                <w:rFonts w:ascii="Arial" w:cs="Arial" w:eastAsia="Arial" w:hAnsi="Arial"/>
                <w:sz w:val="20"/>
                <w:szCs w:val="20"/>
                <w:color w:val="auto"/>
                <w:w w:val="95"/>
              </w:rPr>
              <w:t>Discounted Cash</w:t>
            </w:r>
          </w:p>
        </w:tc>
        <w:tc>
          <w:tcPr>
            <w:tcW w:w="60" w:type="dxa"/>
            <w:vAlign w:val="bottom"/>
          </w:tcPr>
          <w:p>
            <w:pPr>
              <w:spacing w:after="0"/>
              <w:rPr>
                <w:sz w:val="21"/>
                <w:szCs w:val="21"/>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Forward Market</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880" w:type="dxa"/>
            <w:vAlign w:val="bottom"/>
            <w:gridSpan w:val="2"/>
            <w:vMerge w:val="restart"/>
          </w:tcPr>
          <w:p>
            <w:pPr>
              <w:spacing w:after="0"/>
              <w:rPr>
                <w:sz w:val="20"/>
                <w:szCs w:val="20"/>
                <w:color w:val="auto"/>
              </w:rPr>
            </w:pPr>
            <w:r>
              <w:rPr>
                <w:rFonts w:ascii="Arial" w:cs="Arial" w:eastAsia="Arial" w:hAnsi="Arial"/>
                <w:sz w:val="20"/>
                <w:szCs w:val="20"/>
                <w:color w:val="auto"/>
              </w:rPr>
              <w:t xml:space="preserve">Capacity Contracts </w:t>
            </w:r>
            <w:r>
              <w:rPr>
                <w:rFonts w:ascii="Arial" w:cs="Arial" w:eastAsia="Arial" w:hAnsi="Arial"/>
                <w:sz w:val="20"/>
                <w:szCs w:val="20"/>
                <w:color w:val="B4B4B4"/>
              </w:rPr>
              <w:t>.</w:t>
            </w: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34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13</w:t>
            </w:r>
          </w:p>
        </w:tc>
        <w:tc>
          <w:tcPr>
            <w:tcW w:w="8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gridSpan w:val="2"/>
          </w:tcPr>
          <w:p>
            <w:pPr>
              <w:ind w:left="60"/>
              <w:spacing w:after="0" w:line="198" w:lineRule="exact"/>
              <w:rPr>
                <w:sz w:val="20"/>
                <w:szCs w:val="20"/>
                <w:color w:val="auto"/>
              </w:rPr>
            </w:pPr>
            <w:r>
              <w:rPr>
                <w:rFonts w:ascii="Arial" w:cs="Arial" w:eastAsia="Arial" w:hAnsi="Arial"/>
                <w:sz w:val="20"/>
                <w:szCs w:val="20"/>
                <w:color w:val="auto"/>
              </w:rPr>
              <w:t>Price ($ per MW/</w:t>
            </w:r>
          </w:p>
        </w:tc>
        <w:tc>
          <w:tcPr>
            <w:tcW w:w="240" w:type="dxa"/>
            <w:vAlign w:val="bottom"/>
          </w:tcPr>
          <w:p>
            <w:pPr>
              <w:spacing w:after="0"/>
              <w:rPr>
                <w:sz w:val="17"/>
                <w:szCs w:val="17"/>
                <w:color w:val="auto"/>
              </w:rPr>
            </w:pPr>
          </w:p>
        </w:tc>
        <w:tc>
          <w:tcPr>
            <w:tcW w:w="760" w:type="dxa"/>
            <w:vAlign w:val="bottom"/>
            <w:vMerge w:val="restart"/>
          </w:tcPr>
          <w:p>
            <w:pPr>
              <w:jc w:val="right"/>
              <w:ind w:right="142"/>
              <w:spacing w:after="0"/>
              <w:rPr>
                <w:sz w:val="20"/>
                <w:szCs w:val="20"/>
                <w:color w:val="auto"/>
              </w:rPr>
            </w:pPr>
            <w:r>
              <w:rPr>
                <w:rFonts w:ascii="Arial" w:cs="Arial" w:eastAsia="Arial" w:hAnsi="Arial"/>
                <w:sz w:val="20"/>
                <w:szCs w:val="20"/>
                <w:color w:val="auto"/>
              </w:rPr>
              <w:t>16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restart"/>
          </w:tcPr>
          <w:p>
            <w:pPr>
              <w:jc w:val="right"/>
              <w:ind w:right="142"/>
              <w:spacing w:after="0"/>
              <w:rPr>
                <w:sz w:val="20"/>
                <w:szCs w:val="20"/>
                <w:color w:val="auto"/>
              </w:rPr>
            </w:pPr>
            <w:r>
              <w:rPr>
                <w:rFonts w:ascii="Arial" w:cs="Arial" w:eastAsia="Arial" w:hAnsi="Arial"/>
                <w:sz w:val="20"/>
                <w:szCs w:val="20"/>
                <w:color w:val="auto"/>
              </w:rPr>
              <w:t>510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ind w:right="142"/>
              <w:spacing w:after="0"/>
              <w:rPr>
                <w:sz w:val="20"/>
                <w:szCs w:val="20"/>
                <w:color w:val="auto"/>
              </w:rPr>
            </w:pPr>
            <w:r>
              <w:rPr>
                <w:rFonts w:ascii="Arial" w:cs="Arial" w:eastAsia="Arial" w:hAnsi="Arial"/>
                <w:sz w:val="20"/>
                <w:szCs w:val="20"/>
                <w:color w:val="auto"/>
              </w:rPr>
              <w:t>220</w:t>
            </w:r>
          </w:p>
        </w:tc>
        <w:tc>
          <w:tcPr>
            <w:tcW w:w="0" w:type="dxa"/>
            <w:vAlign w:val="bottom"/>
          </w:tcPr>
          <w:p>
            <w:pPr>
              <w:spacing w:after="0"/>
              <w:rPr>
                <w:sz w:val="1"/>
                <w:szCs w:val="1"/>
                <w:color w:val="auto"/>
              </w:rPr>
            </w:pPr>
          </w:p>
        </w:tc>
      </w:tr>
      <w:tr>
        <w:trPr>
          <w:trHeight w:val="258"/>
        </w:trPr>
        <w:tc>
          <w:tcPr>
            <w:tcW w:w="1880" w:type="dxa"/>
            <w:vAlign w:val="bottom"/>
            <w:gridSpan w:val="2"/>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rPr>
              <w:t>Flow</w:t>
            </w:r>
          </w:p>
        </w:tc>
        <w:tc>
          <w:tcPr>
            <w:tcW w:w="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Day)</w:t>
            </w: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880" w:type="dxa"/>
            <w:vAlign w:val="bottom"/>
            <w:gridSpan w:val="2"/>
            <w:vMerge w:val="restart"/>
          </w:tcPr>
          <w:p>
            <w:pPr>
              <w:spacing w:after="0"/>
              <w:rPr>
                <w:sz w:val="20"/>
                <w:szCs w:val="20"/>
                <w:color w:val="auto"/>
              </w:rPr>
            </w:pPr>
            <w:r>
              <w:rPr>
                <w:rFonts w:ascii="Arial" w:cs="Arial" w:eastAsia="Arial" w:hAnsi="Arial"/>
                <w:sz w:val="20"/>
                <w:szCs w:val="20"/>
                <w:color w:val="auto"/>
              </w:rPr>
              <w:t>Renewable Energy</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vMerge w:val="restart"/>
          </w:tcPr>
          <w:p>
            <w:pPr>
              <w:ind w:left="60"/>
              <w:spacing w:after="0"/>
              <w:rPr>
                <w:sz w:val="20"/>
                <w:szCs w:val="20"/>
                <w:color w:val="auto"/>
              </w:rPr>
            </w:pPr>
            <w:r>
              <w:rPr>
                <w:rFonts w:ascii="Arial" w:cs="Arial" w:eastAsia="Arial" w:hAnsi="Arial"/>
                <w:sz w:val="20"/>
                <w:szCs w:val="20"/>
                <w:color w:val="auto"/>
                <w:w w:val="95"/>
              </w:rPr>
              <w:t>Discounted Cash</w:t>
            </w:r>
          </w:p>
        </w:tc>
        <w:tc>
          <w:tcPr>
            <w:tcW w:w="60" w:type="dxa"/>
            <w:vAlign w:val="bottom"/>
          </w:tcPr>
          <w:p>
            <w:pPr>
              <w:spacing w:after="0"/>
              <w:rPr>
                <w:sz w:val="21"/>
                <w:szCs w:val="21"/>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Forward Market</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880" w:type="dxa"/>
            <w:vAlign w:val="bottom"/>
            <w:gridSpan w:val="2"/>
            <w:vMerge w:val="continue"/>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30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14</w:t>
            </w:r>
          </w:p>
        </w:tc>
        <w:tc>
          <w:tcPr>
            <w:tcW w:w="8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gridSpan w:val="2"/>
          </w:tcPr>
          <w:p>
            <w:pPr>
              <w:ind w:left="60"/>
              <w:spacing w:after="0" w:line="198" w:lineRule="exact"/>
              <w:rPr>
                <w:sz w:val="20"/>
                <w:szCs w:val="20"/>
                <w:color w:val="auto"/>
              </w:rPr>
            </w:pPr>
            <w:r>
              <w:rPr>
                <w:rFonts w:ascii="Arial" w:cs="Arial" w:eastAsia="Arial" w:hAnsi="Arial"/>
                <w:sz w:val="20"/>
                <w:szCs w:val="20"/>
                <w:color w:val="auto"/>
              </w:rPr>
              <w:t>Price ($ per</w:t>
            </w:r>
          </w:p>
        </w:tc>
        <w:tc>
          <w:tcPr>
            <w:tcW w:w="240" w:type="dxa"/>
            <w:vAlign w:val="bottom"/>
          </w:tcPr>
          <w:p>
            <w:pPr>
              <w:spacing w:after="0"/>
              <w:rPr>
                <w:sz w:val="17"/>
                <w:szCs w:val="17"/>
                <w:color w:val="auto"/>
              </w:rPr>
            </w:pPr>
          </w:p>
        </w:tc>
        <w:tc>
          <w:tcPr>
            <w:tcW w:w="760" w:type="dxa"/>
            <w:vAlign w:val="bottom"/>
            <w:vMerge w:val="restart"/>
          </w:tcPr>
          <w:p>
            <w:pPr>
              <w:jc w:val="right"/>
              <w:ind w:right="142"/>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restart"/>
          </w:tcPr>
          <w:p>
            <w:pPr>
              <w:jc w:val="right"/>
              <w:ind w:right="142"/>
              <w:spacing w:after="0"/>
              <w:rPr>
                <w:sz w:val="20"/>
                <w:szCs w:val="20"/>
                <w:color w:val="auto"/>
              </w:rPr>
            </w:pPr>
            <w:r>
              <w:rPr>
                <w:rFonts w:ascii="Arial" w:cs="Arial" w:eastAsia="Arial" w:hAnsi="Arial"/>
                <w:sz w:val="20"/>
                <w:szCs w:val="20"/>
                <w:color w:val="auto"/>
              </w:rPr>
              <w:t>375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ind w:right="142"/>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58"/>
        </w:trPr>
        <w:tc>
          <w:tcPr>
            <w:tcW w:w="1880" w:type="dxa"/>
            <w:vAlign w:val="bottom"/>
            <w:gridSpan w:val="2"/>
          </w:tcPr>
          <w:p>
            <w:pPr>
              <w:spacing w:after="0"/>
              <w:rPr>
                <w:sz w:val="20"/>
                <w:szCs w:val="20"/>
                <w:color w:val="auto"/>
              </w:rPr>
            </w:pPr>
            <w:r>
              <w:rPr>
                <w:rFonts w:ascii="Arial" w:cs="Arial" w:eastAsia="Arial" w:hAnsi="Arial"/>
                <w:sz w:val="20"/>
                <w:szCs w:val="20"/>
                <w:color w:val="auto"/>
              </w:rPr>
              <w:t xml:space="preserve">Certificates </w:t>
            </w:r>
            <w:r>
              <w:rPr>
                <w:rFonts w:ascii="Arial" w:cs="Arial" w:eastAsia="Arial" w:hAnsi="Arial"/>
                <w:sz w:val="20"/>
                <w:szCs w:val="20"/>
                <w:color w:val="B4B4B4"/>
              </w:rPr>
              <w:t>. . . . . . .</w:t>
            </w:r>
          </w:p>
        </w:tc>
        <w:tc>
          <w:tcPr>
            <w:tcW w:w="6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rPr>
              <w:t>Flow</w:t>
            </w:r>
          </w:p>
        </w:tc>
        <w:tc>
          <w:tcPr>
            <w:tcW w:w="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Certificate)</w:t>
            </w: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880" w:type="dxa"/>
            <w:vAlign w:val="bottom"/>
            <w:gridSpan w:val="2"/>
            <w:vMerge w:val="restart"/>
          </w:tcPr>
          <w:p>
            <w:pPr>
              <w:spacing w:after="0"/>
              <w:rPr>
                <w:sz w:val="20"/>
                <w:szCs w:val="20"/>
                <w:color w:val="auto"/>
              </w:rPr>
            </w:pPr>
            <w:r>
              <w:rPr>
                <w:rFonts w:ascii="Arial" w:cs="Arial" w:eastAsia="Arial" w:hAnsi="Arial"/>
                <w:sz w:val="20"/>
                <w:szCs w:val="20"/>
                <w:color w:val="auto"/>
              </w:rPr>
              <w:t xml:space="preserve">FTRs </w:t>
            </w:r>
            <w:r>
              <w:rPr>
                <w:rFonts w:ascii="Arial" w:cs="Arial" w:eastAsia="Arial" w:hAnsi="Arial"/>
                <w:sz w:val="20"/>
                <w:szCs w:val="20"/>
                <w:color w:val="B4B4B4"/>
              </w:rPr>
              <w:t>. . . . . . . . . . . .</w:t>
            </w: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18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28</w:t>
            </w:r>
          </w:p>
        </w:tc>
        <w:tc>
          <w:tcPr>
            <w:tcW w:w="80" w:type="dxa"/>
            <w:vAlign w:val="bottom"/>
          </w:tcPr>
          <w:p>
            <w:pPr>
              <w:spacing w:after="0"/>
              <w:rPr>
                <w:sz w:val="20"/>
                <w:szCs w:val="20"/>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w w:val="95"/>
              </w:rPr>
              <w:t>Discounted Cash</w:t>
            </w:r>
          </w:p>
        </w:tc>
        <w:tc>
          <w:tcPr>
            <w:tcW w:w="6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Auction Prices ($</w:t>
            </w:r>
          </w:p>
        </w:tc>
        <w:tc>
          <w:tcPr>
            <w:tcW w:w="240" w:type="dxa"/>
            <w:vAlign w:val="bottom"/>
          </w:tcPr>
          <w:p>
            <w:pPr>
              <w:spacing w:after="0"/>
              <w:rPr>
                <w:sz w:val="20"/>
                <w:szCs w:val="20"/>
                <w:color w:val="auto"/>
              </w:rPr>
            </w:pPr>
          </w:p>
        </w:tc>
        <w:tc>
          <w:tcPr>
            <w:tcW w:w="760" w:type="dxa"/>
            <w:vAlign w:val="bottom"/>
            <w:vMerge w:val="restart"/>
          </w:tcPr>
          <w:p>
            <w:pPr>
              <w:jc w:val="right"/>
              <w:ind w:right="82"/>
              <w:spacing w:after="0"/>
              <w:rPr>
                <w:sz w:val="20"/>
                <w:szCs w:val="20"/>
                <w:color w:val="auto"/>
              </w:rPr>
            </w:pPr>
            <w:r>
              <w:rPr>
                <w:rFonts w:ascii="Arial" w:cs="Arial" w:eastAsia="Arial" w:hAnsi="Arial"/>
                <w:sz w:val="20"/>
                <w:szCs w:val="20"/>
                <w:color w:val="auto"/>
              </w:rPr>
              <w:t>(50)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restart"/>
          </w:tcPr>
          <w:p>
            <w:pPr>
              <w:jc w:val="right"/>
              <w:ind w:right="142"/>
              <w:spacing w:after="0"/>
              <w:rPr>
                <w:sz w:val="20"/>
                <w:szCs w:val="20"/>
                <w:color w:val="auto"/>
              </w:rPr>
            </w:pPr>
            <w:r>
              <w:rPr>
                <w:rFonts w:ascii="Arial" w:cs="Arial" w:eastAsia="Arial" w:hAnsi="Arial"/>
                <w:sz w:val="20"/>
                <w:szCs w:val="20"/>
                <w:color w:val="auto"/>
                <w:w w:val="88"/>
              </w:rPr>
              <w:t>16,180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restart"/>
          </w:tcPr>
          <w:p>
            <w:pPr>
              <w:jc w:val="right"/>
              <w:ind w:right="142"/>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58"/>
        </w:trPr>
        <w:tc>
          <w:tcPr>
            <w:tcW w:w="1880" w:type="dxa"/>
            <w:vAlign w:val="bottom"/>
            <w:gridSpan w:val="2"/>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rPr>
              <w:t>Flow</w:t>
            </w:r>
          </w:p>
        </w:tc>
        <w:tc>
          <w:tcPr>
            <w:tcW w:w="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per MWh)</w:t>
            </w: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880" w:type="dxa"/>
            <w:vAlign w:val="bottom"/>
            <w:gridSpan w:val="2"/>
          </w:tcPr>
          <w:p>
            <w:pPr>
              <w:spacing w:after="0"/>
              <w:rPr>
                <w:sz w:val="20"/>
                <w:szCs w:val="20"/>
                <w:color w:val="auto"/>
              </w:rPr>
            </w:pPr>
            <w:r>
              <w:rPr>
                <w:rFonts w:ascii="Arial" w:cs="Arial" w:eastAsia="Arial" w:hAnsi="Arial"/>
                <w:sz w:val="20"/>
                <w:szCs w:val="20"/>
                <w:color w:val="auto"/>
              </w:rPr>
              <w:t>Consumer Financing</w:t>
            </w: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203</w:t>
            </w:r>
          </w:p>
        </w:tc>
        <w:tc>
          <w:tcPr>
            <w:tcW w:w="80" w:type="dxa"/>
            <w:vAlign w:val="bottom"/>
          </w:tcPr>
          <w:p>
            <w:pPr>
              <w:spacing w:after="0"/>
              <w:rPr>
                <w:sz w:val="20"/>
                <w:szCs w:val="20"/>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w w:val="95"/>
              </w:rPr>
              <w:t>Discounted Cash</w:t>
            </w:r>
          </w:p>
        </w:tc>
        <w:tc>
          <w:tcPr>
            <w:tcW w:w="6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Collateral Default</w:t>
            </w:r>
          </w:p>
        </w:tc>
        <w:tc>
          <w:tcPr>
            <w:tcW w:w="2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0.52%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76.80%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11.71%</w:t>
            </w:r>
          </w:p>
        </w:tc>
        <w:tc>
          <w:tcPr>
            <w:tcW w:w="0" w:type="dxa"/>
            <w:vAlign w:val="bottom"/>
          </w:tcPr>
          <w:p>
            <w:pPr>
              <w:spacing w:after="0"/>
              <w:rPr>
                <w:sz w:val="1"/>
                <w:szCs w:val="1"/>
                <w:color w:val="auto"/>
              </w:rPr>
            </w:pPr>
          </w:p>
        </w:tc>
      </w:tr>
      <w:tr>
        <w:trPr>
          <w:trHeight w:val="258"/>
        </w:trPr>
        <w:tc>
          <w:tcPr>
            <w:tcW w:w="1880" w:type="dxa"/>
            <w:vAlign w:val="bottom"/>
            <w:gridSpan w:val="2"/>
          </w:tcPr>
          <w:p>
            <w:pPr>
              <w:spacing w:after="0"/>
              <w:rPr>
                <w:sz w:val="20"/>
                <w:szCs w:val="20"/>
                <w:color w:val="auto"/>
              </w:rPr>
            </w:pPr>
            <w:r>
              <w:rPr>
                <w:rFonts w:ascii="Arial" w:cs="Arial" w:eastAsia="Arial" w:hAnsi="Arial"/>
                <w:sz w:val="20"/>
                <w:szCs w:val="20"/>
                <w:color w:val="auto"/>
                <w:w w:val="98"/>
              </w:rPr>
              <w:t xml:space="preserve">Program </w:t>
            </w:r>
            <w:r>
              <w:rPr>
                <w:rFonts w:ascii="Arial" w:cs="Arial" w:eastAsia="Arial" w:hAnsi="Arial"/>
                <w:sz w:val="20"/>
                <w:szCs w:val="20"/>
                <w:color w:val="B4B4B4"/>
                <w:w w:val="98"/>
              </w:rPr>
              <w:t>. . . . . . . . . .</w:t>
            </w:r>
          </w:p>
        </w:tc>
        <w:tc>
          <w:tcPr>
            <w:tcW w:w="6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rPr>
              <w:t>Flow</w:t>
            </w:r>
          </w:p>
        </w:tc>
        <w:tc>
          <w:tcPr>
            <w:tcW w:w="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Rates</w:t>
            </w: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w w:val="95"/>
              </w:rPr>
              <w:t>Discounted Cash</w:t>
            </w:r>
          </w:p>
        </w:tc>
        <w:tc>
          <w:tcPr>
            <w:tcW w:w="6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Collateral</w:t>
            </w:r>
          </w:p>
        </w:tc>
        <w:tc>
          <w:tcPr>
            <w:tcW w:w="2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2.00%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3.00%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2.83%</w:t>
            </w: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rPr>
              <w:t>Flow</w:t>
            </w:r>
          </w:p>
        </w:tc>
        <w:tc>
          <w:tcPr>
            <w:tcW w:w="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w w:val="96"/>
              </w:rPr>
              <w:t>Prepayment Rates</w:t>
            </w: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w w:val="95"/>
              </w:rPr>
              <w:t>Discounted Cash</w:t>
            </w:r>
          </w:p>
        </w:tc>
        <w:tc>
          <w:tcPr>
            <w:tcW w:w="60" w:type="dxa"/>
            <w:vAlign w:val="bottom"/>
          </w:tcPr>
          <w:p>
            <w:pPr>
              <w:spacing w:after="0"/>
              <w:rPr>
                <w:sz w:val="20"/>
                <w:szCs w:val="20"/>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20"/>
                <w:szCs w:val="20"/>
                <w:color w:val="auto"/>
              </w:rPr>
              <w:t>Credit Loss Rates</w:t>
            </w:r>
          </w:p>
        </w:tc>
        <w:tc>
          <w:tcPr>
            <w:tcW w:w="2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6.00%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60.00%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14.22%</w:t>
            </w:r>
          </w:p>
        </w:tc>
        <w:tc>
          <w:tcPr>
            <w:tcW w:w="0" w:type="dxa"/>
            <w:vAlign w:val="bottom"/>
          </w:tcPr>
          <w:p>
            <w:pPr>
              <w:spacing w:after="0"/>
              <w:rPr>
                <w:sz w:val="1"/>
                <w:szCs w:val="1"/>
                <w:color w:val="auto"/>
              </w:rPr>
            </w:pPr>
          </w:p>
        </w:tc>
      </w:tr>
      <w:tr>
        <w:trPr>
          <w:trHeight w:val="260"/>
        </w:trPr>
        <w:tc>
          <w:tcPr>
            <w:tcW w:w="17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rPr>
              <w:t>Flow</w:t>
            </w:r>
          </w:p>
        </w:tc>
        <w:tc>
          <w:tcPr>
            <w:tcW w:w="60" w:type="dxa"/>
            <w:vAlign w:val="bottom"/>
          </w:tcPr>
          <w:p>
            <w:pPr>
              <w:spacing w:after="0"/>
              <w:rPr>
                <w:sz w:val="22"/>
                <w:szCs w:val="22"/>
                <w:color w:val="auto"/>
              </w:rPr>
            </w:pPr>
          </w:p>
        </w:tc>
        <w:tc>
          <w:tcPr>
            <w:tcW w:w="168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80" w:type="dxa"/>
            <w:vAlign w:val="bottom"/>
            <w:gridSpan w:val="2"/>
          </w:tcPr>
          <w:p>
            <w:pPr>
              <w:ind w:left="1780"/>
              <w:spacing w:after="0"/>
              <w:rPr>
                <w:sz w:val="20"/>
                <w:szCs w:val="20"/>
                <w:color w:val="auto"/>
              </w:rPr>
            </w:pPr>
            <w:r>
              <w:rPr>
                <w:rFonts w:ascii="Arial" w:cs="Arial" w:eastAsia="Arial" w:hAnsi="Arial"/>
                <w:sz w:val="20"/>
                <w:szCs w:val="20"/>
                <w:color w:val="auto"/>
                <w:w w:val="71"/>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195</w:t>
            </w:r>
          </w:p>
        </w:tc>
        <w:tc>
          <w:tcPr>
            <w:tcW w:w="380" w:type="dxa"/>
            <w:vAlign w:val="bottom"/>
            <w:gridSpan w:val="2"/>
          </w:tcPr>
          <w:p>
            <w:pPr>
              <w:jc w:val="right"/>
              <w:ind w:right="71"/>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359</w:t>
            </w: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-3237230</wp:posOffset>
            </wp:positionV>
            <wp:extent cx="6475095" cy="21094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6">
                      <a:extLst>
                        <a:ext uri="{28A0092B-C50C-407E-A947-70E740481C1C}"/>
                      </a:extLst>
                    </a:blip>
                    <a:srcRect/>
                    <a:stretch>
                      <a:fillRect/>
                    </a:stretch>
                  </pic:blipFill>
                  <pic:spPr bwMode="auto">
                    <a:xfrm>
                      <a:off x="0" y="0"/>
                      <a:ext cx="6475095" cy="2109470"/>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-43815</wp:posOffset>
            </wp:positionV>
            <wp:extent cx="1223010"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7">
                      <a:extLst>
                        <a:ext uri="{28A0092B-C50C-407E-A947-70E740481C1C}"/>
                      </a:extLst>
                    </a:blip>
                    <a:srcRect/>
                    <a:stretch>
                      <a:fillRect/>
                    </a:stretch>
                  </pic:blipFill>
                  <pic:spPr bwMode="auto">
                    <a:xfrm>
                      <a:off x="0" y="0"/>
                      <a:ext cx="1223010" cy="50800"/>
                    </a:xfrm>
                    <a:prstGeom prst="rect">
                      <a:avLst/>
                    </a:prstGeom>
                    <a:noFill/>
                  </pic:spPr>
                </pic:pic>
              </a:graphicData>
            </a:graphic>
          </wp:anchor>
        </w:drawing>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ectPr>
          <w:pgSz w:w="11880" w:h="15480" w:orient="portrait"/>
          <w:cols w:equalWidth="0" w:num="1">
            <w:col w:w="10160"/>
          </w:cols>
          <w:pgMar w:left="860" w:top="512" w:right="860" w:bottom="0" w:gutter="0" w:footer="0" w:header="0"/>
          <w:type w:val="continuous"/>
        </w:sectPr>
      </w:pPr>
    </w:p>
    <w:bookmarkStart w:id="117" w:name="page118"/>
    <w:bookmarkEnd w:id="117"/>
    <w:p>
      <w:pPr>
        <w:jc w:val="center"/>
        <w:ind w:left="1780"/>
        <w:spacing w:after="0"/>
        <w:rPr>
          <w:sz w:val="20"/>
          <w:szCs w:val="20"/>
          <w:color w:val="auto"/>
        </w:rPr>
      </w:pPr>
      <w:r>
        <w:rPr>
          <w:rFonts w:ascii="Arial" w:cs="Arial" w:eastAsia="Arial" w:hAnsi="Arial"/>
          <w:sz w:val="18"/>
          <w:szCs w:val="18"/>
          <w:b w:val="1"/>
          <w:bCs w:val="1"/>
          <w:color w:val="auto"/>
        </w:rPr>
        <w:t>Significant Unobservable Inputs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1132205</wp:posOffset>
                </wp:positionH>
                <wp:positionV relativeFrom="paragraph">
                  <wp:posOffset>27305</wp:posOffset>
                </wp:positionV>
                <wp:extent cx="531812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18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15pt,2.15pt" to="507.9pt,2.15pt" o:allowincell="f" strokecolor="#000000" strokeweight="1pt"/>
            </w:pict>
          </mc:Fallback>
        </mc:AlternateContent>
      </w:r>
    </w:p>
    <w:p>
      <w:pPr>
        <w:spacing w:after="0" w:line="55" w:lineRule="exact"/>
        <w:rPr>
          <w:sz w:val="20"/>
          <w:szCs w:val="20"/>
          <w:color w:val="auto"/>
        </w:rPr>
      </w:pPr>
    </w:p>
    <w:p>
      <w:pPr>
        <w:jc w:val="center"/>
        <w:ind w:left="1780"/>
        <w:spacing w:after="0"/>
        <w:rPr>
          <w:sz w:val="20"/>
          <w:szCs w:val="20"/>
          <w:color w:val="auto"/>
        </w:rPr>
      </w:pPr>
      <w:r>
        <w:rPr>
          <w:rFonts w:ascii="Arial" w:cs="Arial" w:eastAsia="Arial" w:hAnsi="Arial"/>
          <w:sz w:val="18"/>
          <w:szCs w:val="18"/>
          <w:b w:val="1"/>
          <w:bCs w:val="1"/>
          <w:color w:val="auto"/>
        </w:rPr>
        <w:t>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1132205</wp:posOffset>
                </wp:positionH>
                <wp:positionV relativeFrom="paragraph">
                  <wp:posOffset>27305</wp:posOffset>
                </wp:positionV>
                <wp:extent cx="531812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18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15pt,2.15pt" to="507.9pt,2.15pt" o:allowincell="f" strokecolor="#000000" strokeweight="1pt"/>
            </w:pict>
          </mc:Fallback>
        </mc:AlternateContent>
      </w:r>
    </w:p>
    <w:p>
      <w:pPr>
        <w:spacing w:after="0" w:line="55"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1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Fair Value</w:t>
            </w: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Input/Range</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gridSpan w:val="2"/>
          </w:tcPr>
          <w:p>
            <w:pPr>
              <w:jc w:val="center"/>
              <w:ind w:right="60"/>
              <w:spacing w:after="0" w:line="204" w:lineRule="exact"/>
              <w:rPr>
                <w:sz w:val="20"/>
                <w:szCs w:val="20"/>
                <w:color w:val="auto"/>
              </w:rPr>
            </w:pPr>
            <w:r>
              <w:rPr>
                <w:rFonts w:ascii="Arial" w:cs="Arial" w:eastAsia="Arial" w:hAnsi="Arial"/>
                <w:sz w:val="18"/>
                <w:szCs w:val="18"/>
                <w:b w:val="1"/>
                <w:bCs w:val="1"/>
                <w:color w:val="auto"/>
                <w:w w:val="89"/>
              </w:rPr>
              <w:t>Significant</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80" w:type="dxa"/>
            <w:vAlign w:val="bottom"/>
            <w:gridSpan w:val="2"/>
          </w:tcPr>
          <w:p>
            <w:pPr>
              <w:spacing w:after="0"/>
              <w:rPr>
                <w:sz w:val="20"/>
                <w:szCs w:val="20"/>
                <w:color w:val="auto"/>
              </w:rPr>
            </w:pPr>
            <w:r>
              <w:rPr>
                <w:rFonts w:ascii="Arial" w:cs="Arial" w:eastAsia="Arial" w:hAnsi="Arial"/>
                <w:sz w:val="16"/>
                <w:szCs w:val="16"/>
                <w:b w:val="1"/>
                <w:bCs w:val="1"/>
                <w:color w:val="auto"/>
              </w:rPr>
              <w:t>(in millions, except as</w:t>
            </w:r>
          </w:p>
        </w:tc>
        <w:tc>
          <w:tcPr>
            <w:tcW w:w="660" w:type="dxa"/>
            <w:vAlign w:val="bottom"/>
            <w:vMerge w:val="restart"/>
          </w:tcPr>
          <w:p>
            <w:pPr>
              <w:jc w:val="right"/>
              <w:ind w:right="82"/>
              <w:spacing w:after="0"/>
              <w:rPr>
                <w:sz w:val="20"/>
                <w:szCs w:val="20"/>
                <w:color w:val="auto"/>
              </w:rPr>
            </w:pPr>
            <w:r>
              <w:rPr>
                <w:rFonts w:ascii="Arial" w:cs="Arial" w:eastAsia="Arial" w:hAnsi="Arial"/>
                <w:sz w:val="18"/>
                <w:szCs w:val="18"/>
                <w:b w:val="1"/>
                <w:bCs w:val="1"/>
                <w:color w:val="auto"/>
                <w:w w:val="77"/>
              </w:rPr>
              <w:t>Assets</w:t>
            </w:r>
          </w:p>
        </w:tc>
        <w:tc>
          <w:tcPr>
            <w:tcW w:w="80" w:type="dxa"/>
            <w:vAlign w:val="bottom"/>
          </w:tcPr>
          <w:p>
            <w:pPr>
              <w:spacing w:after="0"/>
              <w:rPr>
                <w:sz w:val="17"/>
                <w:szCs w:val="17"/>
                <w:color w:val="auto"/>
              </w:rPr>
            </w:pPr>
          </w:p>
        </w:tc>
        <w:tc>
          <w:tcPr>
            <w:tcW w:w="980" w:type="dxa"/>
            <w:vAlign w:val="bottom"/>
            <w:gridSpan w:val="2"/>
            <w:vMerge w:val="restart"/>
          </w:tcPr>
          <w:p>
            <w:pPr>
              <w:jc w:val="right"/>
              <w:ind w:right="2"/>
              <w:spacing w:after="0"/>
              <w:rPr>
                <w:sz w:val="20"/>
                <w:szCs w:val="20"/>
                <w:color w:val="auto"/>
              </w:rPr>
            </w:pPr>
            <w:r>
              <w:rPr>
                <w:rFonts w:ascii="Arial" w:cs="Arial" w:eastAsia="Arial" w:hAnsi="Arial"/>
                <w:sz w:val="18"/>
                <w:szCs w:val="18"/>
                <w:b w:val="1"/>
                <w:bCs w:val="1"/>
                <w:color w:val="auto"/>
              </w:rPr>
              <w:t>Liabilities</w:t>
            </w:r>
          </w:p>
        </w:tc>
        <w:tc>
          <w:tcPr>
            <w:tcW w:w="80" w:type="dxa"/>
            <w:vAlign w:val="bottom"/>
          </w:tcPr>
          <w:p>
            <w:pPr>
              <w:spacing w:after="0"/>
              <w:rPr>
                <w:sz w:val="17"/>
                <w:szCs w:val="17"/>
                <w:color w:val="auto"/>
              </w:rPr>
            </w:pPr>
          </w:p>
        </w:tc>
        <w:tc>
          <w:tcPr>
            <w:tcW w:w="1540" w:type="dxa"/>
            <w:vAlign w:val="bottom"/>
          </w:tcPr>
          <w:p>
            <w:pPr>
              <w:ind w:left="400"/>
              <w:spacing w:after="0" w:line="202" w:lineRule="exact"/>
              <w:rPr>
                <w:sz w:val="20"/>
                <w:szCs w:val="20"/>
                <w:color w:val="auto"/>
              </w:rPr>
            </w:pPr>
            <w:r>
              <w:rPr>
                <w:rFonts w:ascii="Arial" w:cs="Arial" w:eastAsia="Arial" w:hAnsi="Arial"/>
                <w:sz w:val="18"/>
                <w:szCs w:val="18"/>
                <w:b w:val="1"/>
                <w:bCs w:val="1"/>
                <w:color w:val="auto"/>
              </w:rPr>
              <w:t>Valuation</w:t>
            </w:r>
          </w:p>
        </w:tc>
        <w:tc>
          <w:tcPr>
            <w:tcW w:w="60" w:type="dxa"/>
            <w:vAlign w:val="bottom"/>
          </w:tcPr>
          <w:p>
            <w:pPr>
              <w:spacing w:after="0"/>
              <w:rPr>
                <w:sz w:val="17"/>
                <w:szCs w:val="17"/>
                <w:color w:val="auto"/>
              </w:rPr>
            </w:pPr>
          </w:p>
        </w:tc>
        <w:tc>
          <w:tcPr>
            <w:tcW w:w="168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89"/>
              </w:rPr>
              <w:t>Unobservable</w:t>
            </w:r>
          </w:p>
        </w:tc>
        <w:tc>
          <w:tcPr>
            <w:tcW w:w="240" w:type="dxa"/>
            <w:vAlign w:val="bottom"/>
          </w:tcPr>
          <w:p>
            <w:pPr>
              <w:spacing w:after="0"/>
              <w:rPr>
                <w:sz w:val="17"/>
                <w:szCs w:val="17"/>
                <w:color w:val="auto"/>
              </w:rPr>
            </w:pPr>
          </w:p>
        </w:tc>
        <w:tc>
          <w:tcPr>
            <w:tcW w:w="760" w:type="dxa"/>
            <w:vAlign w:val="bottom"/>
            <w:vMerge w:val="restart"/>
          </w:tcPr>
          <w:p>
            <w:pPr>
              <w:jc w:val="right"/>
              <w:ind w:right="222"/>
              <w:spacing w:after="0"/>
              <w:rPr>
                <w:sz w:val="20"/>
                <w:szCs w:val="20"/>
                <w:color w:val="auto"/>
              </w:rPr>
            </w:pPr>
            <w:r>
              <w:rPr>
                <w:rFonts w:ascii="Arial" w:cs="Arial" w:eastAsia="Arial" w:hAnsi="Arial"/>
                <w:sz w:val="18"/>
                <w:szCs w:val="18"/>
                <w:b w:val="1"/>
                <w:bCs w:val="1"/>
                <w:color w:val="auto"/>
              </w:rPr>
              <w:t>Low</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8"/>
                <w:szCs w:val="18"/>
                <w:b w:val="1"/>
                <w:bCs w:val="1"/>
                <w:color w:val="auto"/>
              </w:rPr>
              <w:t>High</w:t>
            </w:r>
          </w:p>
        </w:tc>
        <w:tc>
          <w:tcPr>
            <w:tcW w:w="80" w:type="dxa"/>
            <w:vAlign w:val="bottom"/>
          </w:tcPr>
          <w:p>
            <w:pPr>
              <w:spacing w:after="0"/>
              <w:rPr>
                <w:sz w:val="17"/>
                <w:szCs w:val="17"/>
                <w:color w:val="auto"/>
              </w:rPr>
            </w:pPr>
          </w:p>
        </w:tc>
        <w:tc>
          <w:tcPr>
            <w:tcW w:w="1000" w:type="dxa"/>
            <w:vAlign w:val="bottom"/>
            <w:gridSpan w:val="2"/>
          </w:tcPr>
          <w:p>
            <w:pPr>
              <w:jc w:val="right"/>
              <w:ind w:right="42"/>
              <w:spacing w:after="0" w:line="202" w:lineRule="exact"/>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2"/>
        </w:trPr>
        <w:tc>
          <w:tcPr>
            <w:tcW w:w="1720" w:type="dxa"/>
            <w:vAlign w:val="bottom"/>
          </w:tcPr>
          <w:p>
            <w:pPr>
              <w:spacing w:after="0"/>
              <w:rPr>
                <w:sz w:val="20"/>
                <w:szCs w:val="20"/>
                <w:color w:val="auto"/>
              </w:rPr>
            </w:pPr>
            <w:r>
              <w:rPr>
                <w:rFonts w:ascii="Arial" w:cs="Arial" w:eastAsia="Arial" w:hAnsi="Arial"/>
                <w:sz w:val="16"/>
                <w:szCs w:val="16"/>
                <w:b w:val="1"/>
                <w:bCs w:val="1"/>
                <w:color w:val="auto"/>
              </w:rPr>
              <w:t>noted)</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Technique</w:t>
            </w:r>
          </w:p>
        </w:tc>
        <w:tc>
          <w:tcPr>
            <w:tcW w:w="6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Input</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20"/>
        </w:trPr>
        <w:tc>
          <w:tcPr>
            <w:tcW w:w="1880" w:type="dxa"/>
            <w:vAlign w:val="bottom"/>
            <w:gridSpan w:val="2"/>
            <w:vMerge w:val="restart"/>
          </w:tcPr>
          <w:p>
            <w:pPr>
              <w:spacing w:after="0"/>
              <w:rPr>
                <w:sz w:val="20"/>
                <w:szCs w:val="20"/>
                <w:color w:val="auto"/>
              </w:rPr>
            </w:pPr>
            <w:r>
              <w:rPr>
                <w:rFonts w:ascii="Arial" w:cs="Arial" w:eastAsia="Arial" w:hAnsi="Arial"/>
                <w:sz w:val="20"/>
                <w:szCs w:val="20"/>
                <w:color w:val="auto"/>
              </w:rPr>
              <w:t>Natural Gas</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vMerge w:val="restart"/>
          </w:tcPr>
          <w:p>
            <w:pPr>
              <w:ind w:left="60"/>
              <w:spacing w:after="0"/>
              <w:rPr>
                <w:sz w:val="20"/>
                <w:szCs w:val="20"/>
                <w:color w:val="auto"/>
              </w:rPr>
            </w:pPr>
            <w:r>
              <w:rPr>
                <w:rFonts w:ascii="Arial" w:cs="Arial" w:eastAsia="Arial" w:hAnsi="Arial"/>
                <w:sz w:val="20"/>
                <w:szCs w:val="20"/>
                <w:color w:val="auto"/>
                <w:w w:val="95"/>
              </w:rPr>
              <w:t>Discounted Cash</w:t>
            </w:r>
          </w:p>
        </w:tc>
        <w:tc>
          <w:tcPr>
            <w:tcW w:w="60" w:type="dxa"/>
            <w:vAlign w:val="bottom"/>
          </w:tcPr>
          <w:p>
            <w:pPr>
              <w:spacing w:after="0"/>
              <w:rPr>
                <w:sz w:val="19"/>
                <w:szCs w:val="19"/>
                <w:color w:val="auto"/>
              </w:rPr>
            </w:pPr>
          </w:p>
        </w:tc>
        <w:tc>
          <w:tcPr>
            <w:tcW w:w="1680" w:type="dxa"/>
            <w:vAlign w:val="bottom"/>
            <w:gridSpan w:val="2"/>
          </w:tcPr>
          <w:p>
            <w:pPr>
              <w:ind w:left="60"/>
              <w:spacing w:after="0" w:line="220" w:lineRule="exact"/>
              <w:rPr>
                <w:sz w:val="20"/>
                <w:szCs w:val="20"/>
                <w:color w:val="auto"/>
              </w:rPr>
            </w:pPr>
            <w:r>
              <w:rPr>
                <w:rFonts w:ascii="Arial" w:cs="Arial" w:eastAsia="Arial" w:hAnsi="Arial"/>
                <w:sz w:val="20"/>
                <w:szCs w:val="20"/>
                <w:color w:val="auto"/>
              </w:rPr>
              <w:t>Forward Market</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880" w:type="dxa"/>
            <w:vAlign w:val="bottom"/>
            <w:gridSpan w:val="2"/>
            <w:vMerge w:val="continue"/>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39</w:t>
            </w:r>
          </w:p>
        </w:tc>
        <w:tc>
          <w:tcPr>
            <w:tcW w:w="380" w:type="dxa"/>
            <w:vAlign w:val="bottom"/>
            <w:gridSpan w:val="2"/>
            <w:vMerge w:val="restart"/>
          </w:tcPr>
          <w:p>
            <w:pPr>
              <w:jc w:val="right"/>
              <w:ind w:right="71"/>
              <w:spacing w:after="0"/>
              <w:rPr>
                <w:sz w:val="20"/>
                <w:szCs w:val="20"/>
                <w:color w:val="auto"/>
              </w:rPr>
            </w:pPr>
            <w:r>
              <w:rPr>
                <w:rFonts w:ascii="Arial" w:cs="Arial" w:eastAsia="Arial" w:hAnsi="Arial"/>
                <w:sz w:val="20"/>
                <w:szCs w:val="20"/>
                <w:color w:val="auto"/>
              </w:rPr>
              <w:t>$</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65</w:t>
            </w:r>
          </w:p>
        </w:tc>
        <w:tc>
          <w:tcPr>
            <w:tcW w:w="8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gridSpan w:val="2"/>
          </w:tcPr>
          <w:p>
            <w:pPr>
              <w:ind w:left="60"/>
              <w:spacing w:after="0" w:line="198" w:lineRule="exact"/>
              <w:rPr>
                <w:sz w:val="20"/>
                <w:szCs w:val="20"/>
                <w:color w:val="auto"/>
              </w:rPr>
            </w:pPr>
            <w:r>
              <w:rPr>
                <w:rFonts w:ascii="Arial" w:cs="Arial" w:eastAsia="Arial" w:hAnsi="Arial"/>
                <w:sz w:val="20"/>
                <w:szCs w:val="20"/>
                <w:color w:val="auto"/>
              </w:rPr>
              <w:t>Price ($ per</w:t>
            </w:r>
          </w:p>
        </w:tc>
        <w:tc>
          <w:tcPr>
            <w:tcW w:w="2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ind w:right="142"/>
              <w:spacing w:after="0"/>
              <w:rPr>
                <w:sz w:val="20"/>
                <w:szCs w:val="20"/>
                <w:color w:val="auto"/>
              </w:rPr>
            </w:pPr>
            <w:r>
              <w:rPr>
                <w:rFonts w:ascii="Arial" w:cs="Arial" w:eastAsia="Arial" w:hAnsi="Arial"/>
                <w:sz w:val="20"/>
                <w:szCs w:val="20"/>
                <w:color w:val="auto"/>
              </w:rPr>
              <w:t>1</w:t>
            </w: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ind w:right="142"/>
              <w:spacing w:after="0"/>
              <w:rPr>
                <w:sz w:val="20"/>
                <w:szCs w:val="20"/>
                <w:color w:val="auto"/>
              </w:rPr>
            </w:pPr>
            <w:r>
              <w:rPr>
                <w:rFonts w:ascii="Arial" w:cs="Arial" w:eastAsia="Arial" w:hAnsi="Arial"/>
                <w:sz w:val="20"/>
                <w:szCs w:val="20"/>
                <w:color w:val="auto"/>
              </w:rPr>
              <w:t>15</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40" w:type="dxa"/>
            <w:vAlign w:val="bottom"/>
            <w:vMerge w:val="restart"/>
          </w:tcPr>
          <w:p>
            <w:pPr>
              <w:jc w:val="right"/>
              <w:ind w:right="142"/>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58"/>
        </w:trPr>
        <w:tc>
          <w:tcPr>
            <w:tcW w:w="1880" w:type="dxa"/>
            <w:vAlign w:val="bottom"/>
            <w:gridSpan w:val="2"/>
          </w:tcPr>
          <w:p>
            <w:pPr>
              <w:spacing w:after="0"/>
              <w:rPr>
                <w:sz w:val="20"/>
                <w:szCs w:val="20"/>
                <w:color w:val="auto"/>
              </w:rPr>
            </w:pPr>
            <w:r>
              <w:rPr>
                <w:rFonts w:ascii="Arial" w:cs="Arial" w:eastAsia="Arial" w:hAnsi="Arial"/>
                <w:sz w:val="20"/>
                <w:szCs w:val="20"/>
                <w:color w:val="auto"/>
                <w:w w:val="91"/>
              </w:rPr>
              <w:t xml:space="preserve">Contracts </w:t>
            </w:r>
            <w:r>
              <w:rPr>
                <w:rFonts w:ascii="Arial" w:cs="Arial" w:eastAsia="Arial" w:hAnsi="Arial"/>
                <w:sz w:val="20"/>
                <w:szCs w:val="20"/>
                <w:color w:val="B4B4B4"/>
                <w:w w:val="91"/>
              </w:rPr>
              <w:t>. . . . . . . . .</w:t>
            </w:r>
            <w:r>
              <w:rPr>
                <w:rFonts w:ascii="Arial" w:cs="Arial" w:eastAsia="Arial" w:hAnsi="Arial"/>
                <w:sz w:val="20"/>
                <w:szCs w:val="20"/>
                <w:color w:val="auto"/>
                <w:w w:val="91"/>
              </w:rPr>
              <w:t xml:space="preserve"> $</w:t>
            </w:r>
          </w:p>
        </w:tc>
        <w:tc>
          <w:tcPr>
            <w:tcW w:w="66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rPr>
              <w:t>Flow</w:t>
            </w:r>
          </w:p>
        </w:tc>
        <w:tc>
          <w:tcPr>
            <w:tcW w:w="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MMBtu)</w:t>
            </w:r>
          </w:p>
        </w:tc>
        <w:tc>
          <w:tcPr>
            <w:tcW w:w="24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vMerge w:val="restart"/>
          </w:tcPr>
          <w:p>
            <w:pPr>
              <w:ind w:left="60"/>
              <w:spacing w:after="0"/>
              <w:rPr>
                <w:sz w:val="20"/>
                <w:szCs w:val="20"/>
                <w:color w:val="auto"/>
              </w:rPr>
            </w:pPr>
            <w:r>
              <w:rPr>
                <w:rFonts w:ascii="Arial" w:cs="Arial" w:eastAsia="Arial" w:hAnsi="Arial"/>
                <w:sz w:val="20"/>
                <w:szCs w:val="20"/>
                <w:color w:val="auto"/>
                <w:w w:val="95"/>
              </w:rPr>
              <w:t>Discounted Cash</w:t>
            </w:r>
          </w:p>
        </w:tc>
        <w:tc>
          <w:tcPr>
            <w:tcW w:w="60" w:type="dxa"/>
            <w:vAlign w:val="bottom"/>
          </w:tcPr>
          <w:p>
            <w:pPr>
              <w:spacing w:after="0"/>
              <w:rPr>
                <w:sz w:val="21"/>
                <w:szCs w:val="21"/>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Forward Market</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880" w:type="dxa"/>
            <w:vAlign w:val="bottom"/>
            <w:gridSpan w:val="2"/>
            <w:vMerge w:val="restart"/>
          </w:tcPr>
          <w:p>
            <w:pPr>
              <w:spacing w:after="0"/>
              <w:rPr>
                <w:sz w:val="20"/>
                <w:szCs w:val="20"/>
                <w:color w:val="auto"/>
              </w:rPr>
            </w:pPr>
            <w:r>
              <w:rPr>
                <w:rFonts w:ascii="Arial" w:cs="Arial" w:eastAsia="Arial" w:hAnsi="Arial"/>
                <w:sz w:val="20"/>
                <w:szCs w:val="20"/>
                <w:color w:val="auto"/>
              </w:rPr>
              <w:t xml:space="preserve">Power Contracts </w:t>
            </w:r>
            <w:r>
              <w:rPr>
                <w:rFonts w:ascii="Arial" w:cs="Arial" w:eastAsia="Arial" w:hAnsi="Arial"/>
                <w:sz w:val="20"/>
                <w:szCs w:val="20"/>
                <w:color w:val="B4B4B4"/>
              </w:rPr>
              <w:t>. . .</w:t>
            </w: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197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66</w:t>
            </w:r>
          </w:p>
        </w:tc>
        <w:tc>
          <w:tcPr>
            <w:tcW w:w="8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gridSpan w:val="2"/>
          </w:tcPr>
          <w:p>
            <w:pPr>
              <w:ind w:left="60"/>
              <w:spacing w:after="0" w:line="198" w:lineRule="exact"/>
              <w:rPr>
                <w:sz w:val="20"/>
                <w:szCs w:val="20"/>
                <w:color w:val="auto"/>
              </w:rPr>
            </w:pPr>
            <w:r>
              <w:rPr>
                <w:rFonts w:ascii="Arial" w:cs="Arial" w:eastAsia="Arial" w:hAnsi="Arial"/>
                <w:sz w:val="20"/>
                <w:szCs w:val="20"/>
                <w:color w:val="auto"/>
              </w:rPr>
              <w:t>Price ($ per</w:t>
            </w:r>
          </w:p>
        </w:tc>
        <w:tc>
          <w:tcPr>
            <w:tcW w:w="240" w:type="dxa"/>
            <w:vAlign w:val="bottom"/>
          </w:tcPr>
          <w:p>
            <w:pPr>
              <w:spacing w:after="0"/>
              <w:rPr>
                <w:sz w:val="17"/>
                <w:szCs w:val="17"/>
                <w:color w:val="auto"/>
              </w:rPr>
            </w:pPr>
          </w:p>
        </w:tc>
        <w:tc>
          <w:tcPr>
            <w:tcW w:w="760" w:type="dxa"/>
            <w:vAlign w:val="bottom"/>
            <w:vMerge w:val="restart"/>
          </w:tcPr>
          <w:p>
            <w:pPr>
              <w:jc w:val="right"/>
              <w:ind w:right="142"/>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restart"/>
          </w:tcPr>
          <w:p>
            <w:pPr>
              <w:jc w:val="right"/>
              <w:ind w:right="142"/>
              <w:spacing w:after="0"/>
              <w:rPr>
                <w:sz w:val="20"/>
                <w:szCs w:val="20"/>
                <w:color w:val="auto"/>
              </w:rPr>
            </w:pPr>
            <w:r>
              <w:rPr>
                <w:rFonts w:ascii="Arial" w:cs="Arial" w:eastAsia="Arial" w:hAnsi="Arial"/>
                <w:sz w:val="20"/>
                <w:szCs w:val="20"/>
                <w:color w:val="auto"/>
              </w:rPr>
              <w:t>210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ind w:right="142"/>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58"/>
        </w:trPr>
        <w:tc>
          <w:tcPr>
            <w:tcW w:w="1880" w:type="dxa"/>
            <w:vAlign w:val="bottom"/>
            <w:gridSpan w:val="2"/>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rPr>
              <w:t>Flow</w:t>
            </w:r>
          </w:p>
        </w:tc>
        <w:tc>
          <w:tcPr>
            <w:tcW w:w="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MWh)</w:t>
            </w: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vMerge w:val="restart"/>
          </w:tcPr>
          <w:p>
            <w:pPr>
              <w:ind w:left="60"/>
              <w:spacing w:after="0"/>
              <w:rPr>
                <w:sz w:val="20"/>
                <w:szCs w:val="20"/>
                <w:color w:val="auto"/>
              </w:rPr>
            </w:pPr>
            <w:r>
              <w:rPr>
                <w:rFonts w:ascii="Arial" w:cs="Arial" w:eastAsia="Arial" w:hAnsi="Arial"/>
                <w:sz w:val="20"/>
                <w:szCs w:val="20"/>
                <w:color w:val="auto"/>
                <w:w w:val="95"/>
              </w:rPr>
              <w:t>Discounted Cash</w:t>
            </w:r>
          </w:p>
        </w:tc>
        <w:tc>
          <w:tcPr>
            <w:tcW w:w="60" w:type="dxa"/>
            <w:vAlign w:val="bottom"/>
          </w:tcPr>
          <w:p>
            <w:pPr>
              <w:spacing w:after="0"/>
              <w:rPr>
                <w:sz w:val="21"/>
                <w:szCs w:val="21"/>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Forward Market</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880" w:type="dxa"/>
            <w:vAlign w:val="bottom"/>
            <w:gridSpan w:val="2"/>
            <w:vMerge w:val="restart"/>
          </w:tcPr>
          <w:p>
            <w:pPr>
              <w:spacing w:after="0"/>
              <w:rPr>
                <w:sz w:val="20"/>
                <w:szCs w:val="20"/>
                <w:color w:val="auto"/>
              </w:rPr>
            </w:pPr>
            <w:r>
              <w:rPr>
                <w:rFonts w:ascii="Arial" w:cs="Arial" w:eastAsia="Arial" w:hAnsi="Arial"/>
                <w:sz w:val="20"/>
                <w:szCs w:val="20"/>
                <w:color w:val="auto"/>
              </w:rPr>
              <w:t xml:space="preserve">Capacity Contracts </w:t>
            </w:r>
            <w:r>
              <w:rPr>
                <w:rFonts w:ascii="Arial" w:cs="Arial" w:eastAsia="Arial" w:hAnsi="Arial"/>
                <w:sz w:val="20"/>
                <w:szCs w:val="20"/>
                <w:color w:val="B4B4B4"/>
              </w:rPr>
              <w:t>.</w:t>
            </w: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33</w:t>
            </w:r>
          </w:p>
        </w:tc>
        <w:tc>
          <w:tcPr>
            <w:tcW w:w="8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gridSpan w:val="2"/>
          </w:tcPr>
          <w:p>
            <w:pPr>
              <w:ind w:left="60"/>
              <w:spacing w:after="0" w:line="198" w:lineRule="exact"/>
              <w:rPr>
                <w:sz w:val="20"/>
                <w:szCs w:val="20"/>
                <w:color w:val="auto"/>
              </w:rPr>
            </w:pPr>
            <w:r>
              <w:rPr>
                <w:rFonts w:ascii="Arial" w:cs="Arial" w:eastAsia="Arial" w:hAnsi="Arial"/>
                <w:sz w:val="20"/>
                <w:szCs w:val="20"/>
                <w:color w:val="auto"/>
              </w:rPr>
              <w:t>Price ($ per MW/</w:t>
            </w:r>
          </w:p>
        </w:tc>
        <w:tc>
          <w:tcPr>
            <w:tcW w:w="240" w:type="dxa"/>
            <w:vAlign w:val="bottom"/>
          </w:tcPr>
          <w:p>
            <w:pPr>
              <w:spacing w:after="0"/>
              <w:rPr>
                <w:sz w:val="17"/>
                <w:szCs w:val="17"/>
                <w:color w:val="auto"/>
              </w:rPr>
            </w:pPr>
          </w:p>
        </w:tc>
        <w:tc>
          <w:tcPr>
            <w:tcW w:w="760" w:type="dxa"/>
            <w:vAlign w:val="bottom"/>
            <w:vMerge w:val="restart"/>
          </w:tcPr>
          <w:p>
            <w:pPr>
              <w:jc w:val="right"/>
              <w:ind w:right="142"/>
              <w:spacing w:after="0"/>
              <w:rPr>
                <w:sz w:val="20"/>
                <w:szCs w:val="20"/>
                <w:color w:val="auto"/>
              </w:rPr>
            </w:pPr>
            <w:r>
              <w:rPr>
                <w:rFonts w:ascii="Arial" w:cs="Arial" w:eastAsia="Arial" w:hAnsi="Arial"/>
                <w:sz w:val="20"/>
                <w:szCs w:val="20"/>
                <w:color w:val="auto"/>
              </w:rPr>
              <w:t>49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restart"/>
          </w:tcPr>
          <w:p>
            <w:pPr>
              <w:jc w:val="right"/>
              <w:ind w:right="142"/>
              <w:spacing w:after="0"/>
              <w:rPr>
                <w:sz w:val="20"/>
                <w:szCs w:val="20"/>
                <w:color w:val="auto"/>
              </w:rPr>
            </w:pPr>
            <w:r>
              <w:rPr>
                <w:rFonts w:ascii="Arial" w:cs="Arial" w:eastAsia="Arial" w:hAnsi="Arial"/>
                <w:sz w:val="20"/>
                <w:szCs w:val="20"/>
                <w:color w:val="auto"/>
              </w:rPr>
              <w:t>658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ind w:right="142"/>
              <w:spacing w:after="0"/>
              <w:rPr>
                <w:sz w:val="20"/>
                <w:szCs w:val="20"/>
                <w:color w:val="auto"/>
              </w:rPr>
            </w:pPr>
            <w:r>
              <w:rPr>
                <w:rFonts w:ascii="Arial" w:cs="Arial" w:eastAsia="Arial" w:hAnsi="Arial"/>
                <w:sz w:val="20"/>
                <w:szCs w:val="20"/>
                <w:color w:val="auto"/>
              </w:rPr>
              <w:t>285</w:t>
            </w:r>
          </w:p>
        </w:tc>
        <w:tc>
          <w:tcPr>
            <w:tcW w:w="0" w:type="dxa"/>
            <w:vAlign w:val="bottom"/>
          </w:tcPr>
          <w:p>
            <w:pPr>
              <w:spacing w:after="0"/>
              <w:rPr>
                <w:sz w:val="1"/>
                <w:szCs w:val="1"/>
                <w:color w:val="auto"/>
              </w:rPr>
            </w:pPr>
          </w:p>
        </w:tc>
      </w:tr>
      <w:tr>
        <w:trPr>
          <w:trHeight w:val="258"/>
        </w:trPr>
        <w:tc>
          <w:tcPr>
            <w:tcW w:w="1880" w:type="dxa"/>
            <w:vAlign w:val="bottom"/>
            <w:gridSpan w:val="2"/>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rPr>
              <w:t>Flow</w:t>
            </w:r>
          </w:p>
        </w:tc>
        <w:tc>
          <w:tcPr>
            <w:tcW w:w="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Day)</w:t>
            </w: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880" w:type="dxa"/>
            <w:vAlign w:val="bottom"/>
            <w:gridSpan w:val="2"/>
            <w:vMerge w:val="restart"/>
          </w:tcPr>
          <w:p>
            <w:pPr>
              <w:spacing w:after="0"/>
              <w:rPr>
                <w:sz w:val="20"/>
                <w:szCs w:val="20"/>
                <w:color w:val="auto"/>
              </w:rPr>
            </w:pPr>
            <w:r>
              <w:rPr>
                <w:rFonts w:ascii="Arial" w:cs="Arial" w:eastAsia="Arial" w:hAnsi="Arial"/>
                <w:sz w:val="20"/>
                <w:szCs w:val="20"/>
                <w:color w:val="auto"/>
              </w:rPr>
              <w:t>Renewable Energy</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vMerge w:val="restart"/>
          </w:tcPr>
          <w:p>
            <w:pPr>
              <w:ind w:left="60"/>
              <w:spacing w:after="0"/>
              <w:rPr>
                <w:sz w:val="20"/>
                <w:szCs w:val="20"/>
                <w:color w:val="auto"/>
              </w:rPr>
            </w:pPr>
            <w:r>
              <w:rPr>
                <w:rFonts w:ascii="Arial" w:cs="Arial" w:eastAsia="Arial" w:hAnsi="Arial"/>
                <w:sz w:val="20"/>
                <w:szCs w:val="20"/>
                <w:color w:val="auto"/>
                <w:w w:val="95"/>
              </w:rPr>
              <w:t>Discounted Cash</w:t>
            </w:r>
          </w:p>
        </w:tc>
        <w:tc>
          <w:tcPr>
            <w:tcW w:w="60" w:type="dxa"/>
            <w:vAlign w:val="bottom"/>
          </w:tcPr>
          <w:p>
            <w:pPr>
              <w:spacing w:after="0"/>
              <w:rPr>
                <w:sz w:val="21"/>
                <w:szCs w:val="21"/>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Forward Market</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880" w:type="dxa"/>
            <w:vAlign w:val="bottom"/>
            <w:gridSpan w:val="2"/>
            <w:vMerge w:val="continue"/>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58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14</w:t>
            </w:r>
          </w:p>
        </w:tc>
        <w:tc>
          <w:tcPr>
            <w:tcW w:w="8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gridSpan w:val="2"/>
          </w:tcPr>
          <w:p>
            <w:pPr>
              <w:ind w:left="60"/>
              <w:spacing w:after="0" w:line="198" w:lineRule="exact"/>
              <w:rPr>
                <w:sz w:val="20"/>
                <w:szCs w:val="20"/>
                <w:color w:val="auto"/>
              </w:rPr>
            </w:pPr>
            <w:r>
              <w:rPr>
                <w:rFonts w:ascii="Arial" w:cs="Arial" w:eastAsia="Arial" w:hAnsi="Arial"/>
                <w:sz w:val="20"/>
                <w:szCs w:val="20"/>
                <w:color w:val="auto"/>
              </w:rPr>
              <w:t>Price ($ per</w:t>
            </w:r>
          </w:p>
        </w:tc>
        <w:tc>
          <w:tcPr>
            <w:tcW w:w="240" w:type="dxa"/>
            <w:vAlign w:val="bottom"/>
          </w:tcPr>
          <w:p>
            <w:pPr>
              <w:spacing w:after="0"/>
              <w:rPr>
                <w:sz w:val="17"/>
                <w:szCs w:val="17"/>
                <w:color w:val="auto"/>
              </w:rPr>
            </w:pPr>
          </w:p>
        </w:tc>
        <w:tc>
          <w:tcPr>
            <w:tcW w:w="760" w:type="dxa"/>
            <w:vAlign w:val="bottom"/>
            <w:vMerge w:val="restart"/>
          </w:tcPr>
          <w:p>
            <w:pPr>
              <w:jc w:val="right"/>
              <w:ind w:right="142"/>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restart"/>
          </w:tcPr>
          <w:p>
            <w:pPr>
              <w:jc w:val="right"/>
              <w:ind w:right="142"/>
              <w:spacing w:after="0"/>
              <w:rPr>
                <w:sz w:val="20"/>
                <w:szCs w:val="20"/>
                <w:color w:val="auto"/>
              </w:rPr>
            </w:pPr>
            <w:r>
              <w:rPr>
                <w:rFonts w:ascii="Arial" w:cs="Arial" w:eastAsia="Arial" w:hAnsi="Arial"/>
                <w:sz w:val="20"/>
                <w:szCs w:val="20"/>
                <w:color w:val="auto"/>
              </w:rPr>
              <w:t>320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ind w:right="142"/>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58"/>
        </w:trPr>
        <w:tc>
          <w:tcPr>
            <w:tcW w:w="1880" w:type="dxa"/>
            <w:vAlign w:val="bottom"/>
            <w:gridSpan w:val="2"/>
          </w:tcPr>
          <w:p>
            <w:pPr>
              <w:spacing w:after="0"/>
              <w:rPr>
                <w:sz w:val="20"/>
                <w:szCs w:val="20"/>
                <w:color w:val="auto"/>
              </w:rPr>
            </w:pPr>
            <w:r>
              <w:rPr>
                <w:rFonts w:ascii="Arial" w:cs="Arial" w:eastAsia="Arial" w:hAnsi="Arial"/>
                <w:sz w:val="20"/>
                <w:szCs w:val="20"/>
                <w:color w:val="auto"/>
              </w:rPr>
              <w:t xml:space="preserve">Certificates </w:t>
            </w:r>
            <w:r>
              <w:rPr>
                <w:rFonts w:ascii="Arial" w:cs="Arial" w:eastAsia="Arial" w:hAnsi="Arial"/>
                <w:sz w:val="20"/>
                <w:szCs w:val="20"/>
                <w:color w:val="B4B4B4"/>
              </w:rPr>
              <w:t>. . . . . . .</w:t>
            </w:r>
          </w:p>
        </w:tc>
        <w:tc>
          <w:tcPr>
            <w:tcW w:w="6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rPr>
              <w:t>Flow</w:t>
            </w:r>
          </w:p>
        </w:tc>
        <w:tc>
          <w:tcPr>
            <w:tcW w:w="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Certificate)</w:t>
            </w: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1880" w:type="dxa"/>
            <w:vAlign w:val="bottom"/>
            <w:gridSpan w:val="2"/>
            <w:vMerge w:val="restart"/>
          </w:tcPr>
          <w:p>
            <w:pPr>
              <w:spacing w:after="0"/>
              <w:rPr>
                <w:sz w:val="20"/>
                <w:szCs w:val="20"/>
                <w:color w:val="auto"/>
              </w:rPr>
            </w:pPr>
            <w:r>
              <w:rPr>
                <w:rFonts w:ascii="Arial" w:cs="Arial" w:eastAsia="Arial" w:hAnsi="Arial"/>
                <w:sz w:val="20"/>
                <w:szCs w:val="20"/>
                <w:color w:val="auto"/>
              </w:rPr>
              <w:t xml:space="preserve">FTRs </w:t>
            </w:r>
            <w:r>
              <w:rPr>
                <w:rFonts w:ascii="Arial" w:cs="Arial" w:eastAsia="Arial" w:hAnsi="Arial"/>
                <w:sz w:val="20"/>
                <w:szCs w:val="20"/>
                <w:color w:val="B4B4B4"/>
              </w:rPr>
              <w:t>. . . . . . . . . . . .</w:t>
            </w: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19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37</w:t>
            </w:r>
          </w:p>
        </w:tc>
        <w:tc>
          <w:tcPr>
            <w:tcW w:w="8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w w:val="95"/>
              </w:rPr>
              <w:t>Discounted Cash</w:t>
            </w:r>
          </w:p>
        </w:tc>
        <w:tc>
          <w:tcPr>
            <w:tcW w:w="60" w:type="dxa"/>
            <w:vAlign w:val="bottom"/>
          </w:tcPr>
          <w:p>
            <w:pPr>
              <w:spacing w:after="0"/>
              <w:rPr>
                <w:sz w:val="24"/>
                <w:szCs w:val="24"/>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Auction Prices ($</w:t>
            </w:r>
          </w:p>
        </w:tc>
        <w:tc>
          <w:tcPr>
            <w:tcW w:w="240" w:type="dxa"/>
            <w:vAlign w:val="bottom"/>
          </w:tcPr>
          <w:p>
            <w:pPr>
              <w:spacing w:after="0"/>
              <w:rPr>
                <w:sz w:val="24"/>
                <w:szCs w:val="24"/>
                <w:color w:val="auto"/>
              </w:rPr>
            </w:pPr>
          </w:p>
        </w:tc>
        <w:tc>
          <w:tcPr>
            <w:tcW w:w="760" w:type="dxa"/>
            <w:vAlign w:val="bottom"/>
            <w:vMerge w:val="restart"/>
          </w:tcPr>
          <w:p>
            <w:pPr>
              <w:jc w:val="right"/>
              <w:ind w:right="82"/>
              <w:spacing w:after="0"/>
              <w:rPr>
                <w:sz w:val="20"/>
                <w:szCs w:val="20"/>
                <w:color w:val="auto"/>
              </w:rPr>
            </w:pPr>
            <w:r>
              <w:rPr>
                <w:rFonts w:ascii="Arial" w:cs="Arial" w:eastAsia="Arial" w:hAnsi="Arial"/>
                <w:sz w:val="20"/>
                <w:szCs w:val="20"/>
                <w:color w:val="auto"/>
              </w:rPr>
              <w:t>(58)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restart"/>
          </w:tcPr>
          <w:p>
            <w:pPr>
              <w:jc w:val="right"/>
              <w:ind w:right="142"/>
              <w:spacing w:after="0"/>
              <w:rPr>
                <w:sz w:val="20"/>
                <w:szCs w:val="20"/>
                <w:color w:val="auto"/>
              </w:rPr>
            </w:pPr>
            <w:r>
              <w:rPr>
                <w:rFonts w:ascii="Arial" w:cs="Arial" w:eastAsia="Arial" w:hAnsi="Arial"/>
                <w:sz w:val="20"/>
                <w:szCs w:val="20"/>
                <w:color w:val="auto"/>
              </w:rPr>
              <w:t>252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restart"/>
          </w:tcPr>
          <w:p>
            <w:pPr>
              <w:jc w:val="right"/>
              <w:ind w:right="142"/>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58"/>
        </w:trPr>
        <w:tc>
          <w:tcPr>
            <w:tcW w:w="1880" w:type="dxa"/>
            <w:vAlign w:val="bottom"/>
            <w:gridSpan w:val="2"/>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rPr>
              <w:t>Flow</w:t>
            </w:r>
          </w:p>
        </w:tc>
        <w:tc>
          <w:tcPr>
            <w:tcW w:w="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per MWh)</w:t>
            </w: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1880" w:type="dxa"/>
            <w:vAlign w:val="bottom"/>
            <w:gridSpan w:val="2"/>
          </w:tcPr>
          <w:p>
            <w:pPr>
              <w:spacing w:after="0"/>
              <w:rPr>
                <w:sz w:val="20"/>
                <w:szCs w:val="20"/>
                <w:color w:val="auto"/>
              </w:rPr>
            </w:pPr>
            <w:r>
              <w:rPr>
                <w:rFonts w:ascii="Arial" w:cs="Arial" w:eastAsia="Arial" w:hAnsi="Arial"/>
                <w:sz w:val="20"/>
                <w:szCs w:val="20"/>
                <w:color w:val="auto"/>
              </w:rPr>
              <w:t>Consumer Financing</w:t>
            </w: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134</w:t>
            </w:r>
          </w:p>
        </w:tc>
        <w:tc>
          <w:tcPr>
            <w:tcW w:w="8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w w:val="95"/>
              </w:rPr>
              <w:t>Discounted Cash</w:t>
            </w:r>
          </w:p>
        </w:tc>
        <w:tc>
          <w:tcPr>
            <w:tcW w:w="60" w:type="dxa"/>
            <w:vAlign w:val="bottom"/>
          </w:tcPr>
          <w:p>
            <w:pPr>
              <w:spacing w:after="0"/>
              <w:rPr>
                <w:sz w:val="24"/>
                <w:szCs w:val="24"/>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Collateral Default</w:t>
            </w:r>
          </w:p>
        </w:tc>
        <w:tc>
          <w:tcPr>
            <w:tcW w:w="24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0.43%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w w:val="97"/>
              </w:rPr>
              <w:t>93.30%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8.12%</w:t>
            </w:r>
          </w:p>
        </w:tc>
        <w:tc>
          <w:tcPr>
            <w:tcW w:w="0" w:type="dxa"/>
            <w:vAlign w:val="bottom"/>
          </w:tcPr>
          <w:p>
            <w:pPr>
              <w:spacing w:after="0"/>
              <w:rPr>
                <w:sz w:val="1"/>
                <w:szCs w:val="1"/>
                <w:color w:val="auto"/>
              </w:rPr>
            </w:pPr>
          </w:p>
        </w:tc>
      </w:tr>
      <w:tr>
        <w:trPr>
          <w:trHeight w:val="258"/>
        </w:trPr>
        <w:tc>
          <w:tcPr>
            <w:tcW w:w="1880" w:type="dxa"/>
            <w:vAlign w:val="bottom"/>
            <w:gridSpan w:val="2"/>
          </w:tcPr>
          <w:p>
            <w:pPr>
              <w:spacing w:after="0"/>
              <w:rPr>
                <w:sz w:val="20"/>
                <w:szCs w:val="20"/>
                <w:color w:val="auto"/>
              </w:rPr>
            </w:pPr>
            <w:r>
              <w:rPr>
                <w:rFonts w:ascii="Arial" w:cs="Arial" w:eastAsia="Arial" w:hAnsi="Arial"/>
                <w:sz w:val="20"/>
                <w:szCs w:val="20"/>
                <w:color w:val="auto"/>
                <w:w w:val="98"/>
              </w:rPr>
              <w:t xml:space="preserve">Program </w:t>
            </w:r>
            <w:r>
              <w:rPr>
                <w:rFonts w:ascii="Arial" w:cs="Arial" w:eastAsia="Arial" w:hAnsi="Arial"/>
                <w:sz w:val="20"/>
                <w:szCs w:val="20"/>
                <w:color w:val="B4B4B4"/>
                <w:w w:val="98"/>
              </w:rPr>
              <w:t>. . . . . . . . . .</w:t>
            </w:r>
          </w:p>
        </w:tc>
        <w:tc>
          <w:tcPr>
            <w:tcW w:w="6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rPr>
              <w:t>Flow</w:t>
            </w:r>
          </w:p>
        </w:tc>
        <w:tc>
          <w:tcPr>
            <w:tcW w:w="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Rates</w:t>
            </w: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w w:val="95"/>
              </w:rPr>
              <w:t>Discounted Cash</w:t>
            </w:r>
          </w:p>
        </w:tc>
        <w:tc>
          <w:tcPr>
            <w:tcW w:w="60" w:type="dxa"/>
            <w:vAlign w:val="bottom"/>
          </w:tcPr>
          <w:p>
            <w:pPr>
              <w:spacing w:after="0"/>
              <w:rPr>
                <w:sz w:val="24"/>
                <w:szCs w:val="24"/>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rPr>
              <w:t>Collateral</w:t>
            </w:r>
          </w:p>
        </w:tc>
        <w:tc>
          <w:tcPr>
            <w:tcW w:w="24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2.00%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3.00%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2.95%</w:t>
            </w: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rPr>
              <w:t>Flow</w:t>
            </w:r>
          </w:p>
        </w:tc>
        <w:tc>
          <w:tcPr>
            <w:tcW w:w="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color w:val="auto"/>
                <w:w w:val="96"/>
              </w:rPr>
              <w:t>Prepayment Rates</w:t>
            </w: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w w:val="95"/>
              </w:rPr>
              <w:t>Discounted Cash</w:t>
            </w:r>
          </w:p>
        </w:tc>
        <w:tc>
          <w:tcPr>
            <w:tcW w:w="60" w:type="dxa"/>
            <w:vAlign w:val="bottom"/>
          </w:tcPr>
          <w:p>
            <w:pPr>
              <w:spacing w:after="0"/>
              <w:rPr>
                <w:sz w:val="20"/>
                <w:szCs w:val="20"/>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20"/>
                <w:szCs w:val="20"/>
                <w:color w:val="auto"/>
              </w:rPr>
              <w:t>Credit Loss Rates</w:t>
            </w:r>
          </w:p>
        </w:tc>
        <w:tc>
          <w:tcPr>
            <w:tcW w:w="2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6.00%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w w:val="97"/>
              </w:rPr>
              <w:t>60.00%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12.57%</w:t>
            </w:r>
          </w:p>
        </w:tc>
        <w:tc>
          <w:tcPr>
            <w:tcW w:w="0" w:type="dxa"/>
            <w:vAlign w:val="bottom"/>
          </w:tcPr>
          <w:p>
            <w:pPr>
              <w:spacing w:after="0"/>
              <w:rPr>
                <w:sz w:val="1"/>
                <w:szCs w:val="1"/>
                <w:color w:val="auto"/>
              </w:rPr>
            </w:pPr>
          </w:p>
        </w:tc>
      </w:tr>
      <w:tr>
        <w:trPr>
          <w:trHeight w:val="260"/>
        </w:trPr>
        <w:tc>
          <w:tcPr>
            <w:tcW w:w="17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ind w:left="60"/>
              <w:spacing w:after="0"/>
              <w:rPr>
                <w:sz w:val="20"/>
                <w:szCs w:val="20"/>
                <w:color w:val="auto"/>
              </w:rPr>
            </w:pPr>
            <w:r>
              <w:rPr>
                <w:rFonts w:ascii="Arial" w:cs="Arial" w:eastAsia="Arial" w:hAnsi="Arial"/>
                <w:sz w:val="20"/>
                <w:szCs w:val="20"/>
                <w:color w:val="auto"/>
              </w:rPr>
              <w:t>Flow</w:t>
            </w:r>
          </w:p>
        </w:tc>
        <w:tc>
          <w:tcPr>
            <w:tcW w:w="60" w:type="dxa"/>
            <w:vAlign w:val="bottom"/>
          </w:tcPr>
          <w:p>
            <w:pPr>
              <w:spacing w:after="0"/>
              <w:rPr>
                <w:sz w:val="22"/>
                <w:szCs w:val="22"/>
                <w:color w:val="auto"/>
              </w:rPr>
            </w:pPr>
          </w:p>
        </w:tc>
        <w:tc>
          <w:tcPr>
            <w:tcW w:w="168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80" w:type="dxa"/>
            <w:vAlign w:val="bottom"/>
            <w:gridSpan w:val="2"/>
          </w:tcPr>
          <w:p>
            <w:pPr>
              <w:ind w:left="1780"/>
              <w:spacing w:after="0"/>
              <w:rPr>
                <w:sz w:val="20"/>
                <w:szCs w:val="20"/>
                <w:color w:val="auto"/>
              </w:rPr>
            </w:pPr>
            <w:r>
              <w:rPr>
                <w:rFonts w:ascii="Arial" w:cs="Arial" w:eastAsia="Arial" w:hAnsi="Arial"/>
                <w:sz w:val="20"/>
                <w:szCs w:val="20"/>
                <w:color w:val="auto"/>
                <w:w w:val="71"/>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334</w:t>
            </w:r>
          </w:p>
        </w:tc>
        <w:tc>
          <w:tcPr>
            <w:tcW w:w="380" w:type="dxa"/>
            <w:vAlign w:val="bottom"/>
            <w:gridSpan w:val="2"/>
          </w:tcPr>
          <w:p>
            <w:pPr>
              <w:jc w:val="right"/>
              <w:ind w:right="71"/>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349</w:t>
            </w: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-3633470</wp:posOffset>
            </wp:positionV>
            <wp:extent cx="6475095" cy="26847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8">
                      <a:extLst>
                        <a:ext uri="{28A0092B-C50C-407E-A947-70E740481C1C}"/>
                      </a:extLst>
                    </a:blip>
                    <a:srcRect/>
                    <a:stretch>
                      <a:fillRect/>
                    </a:stretch>
                  </pic:blipFill>
                  <pic:spPr bwMode="auto">
                    <a:xfrm>
                      <a:off x="0" y="0"/>
                      <a:ext cx="6475095" cy="268478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1132205</wp:posOffset>
                </wp:positionH>
                <wp:positionV relativeFrom="paragraph">
                  <wp:posOffset>-4026535</wp:posOffset>
                </wp:positionV>
                <wp:extent cx="119761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976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15pt,-317.0499pt" to="183.45pt,-317.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4460875</wp:posOffset>
                </wp:positionH>
                <wp:positionV relativeFrom="paragraph">
                  <wp:posOffset>-4026535</wp:posOffset>
                </wp:positionV>
                <wp:extent cx="135763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76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25pt,-317.0499pt" to="458.15pt,-317.0499pt" o:allowincell="f" strokecolor="#000000" strokeweight="0pt"/>
            </w:pict>
          </mc:Fallback>
        </mc:AlternateContent>
        <w:drawing>
          <wp:anchor simplePos="0" relativeHeight="251657728" behindDoc="1" locked="0" layoutInCell="0" allowOverlap="1">
            <wp:simplePos x="0" y="0"/>
            <wp:positionH relativeFrom="column">
              <wp:posOffset>-11430</wp:posOffset>
            </wp:positionH>
            <wp:positionV relativeFrom="paragraph">
              <wp:posOffset>-219710</wp:posOffset>
            </wp:positionV>
            <wp:extent cx="6475095" cy="2266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9">
                      <a:extLst>
                        <a:ext uri="{28A0092B-C50C-407E-A947-70E740481C1C}"/>
                      </a:extLst>
                    </a:blip>
                    <a:srcRect/>
                    <a:stretch>
                      <a:fillRect/>
                    </a:stretch>
                  </pic:blipFill>
                  <pic:spPr bwMode="auto">
                    <a:xfrm>
                      <a:off x="0" y="0"/>
                      <a:ext cx="6475095" cy="226695"/>
                    </a:xfrm>
                    <a:prstGeom prst="rect">
                      <a:avLst/>
                    </a:prstGeom>
                    <a:noFill/>
                  </pic:spPr>
                </pic:pic>
              </a:graphicData>
            </a:graphic>
          </wp:anchor>
        </w:drawing>
      </w:r>
    </w:p>
    <w:p>
      <w:pPr>
        <w:spacing w:after="0" w:line="166" w:lineRule="exact"/>
        <w:rPr>
          <w:sz w:val="20"/>
          <w:szCs w:val="20"/>
          <w:color w:val="auto"/>
        </w:rPr>
      </w:pPr>
    </w:p>
    <w:p>
      <w:pPr>
        <w:ind w:right="240" w:firstLine="445"/>
        <w:spacing w:after="0" w:line="277" w:lineRule="auto"/>
        <w:rPr>
          <w:sz w:val="20"/>
          <w:szCs w:val="20"/>
          <w:color w:val="auto"/>
        </w:rPr>
      </w:pPr>
      <w:r>
        <w:rPr>
          <w:rFonts w:ascii="Arial" w:cs="Arial" w:eastAsia="Arial" w:hAnsi="Arial"/>
          <w:sz w:val="20"/>
          <w:szCs w:val="20"/>
          <w:color w:val="auto"/>
        </w:rPr>
        <w:t>The following table provides sensitivity of fair value measurements to increases/(decreases) in significant unobservable inputs as of December 31, 2024 and 2023:</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Significant Unobservable Input</w:t>
            </w:r>
          </w:p>
        </w:tc>
        <w:tc>
          <w:tcPr>
            <w:tcW w:w="60" w:type="dxa"/>
            <w:vAlign w:val="bottom"/>
          </w:tcPr>
          <w:p>
            <w:pPr>
              <w:spacing w:after="0"/>
              <w:rPr>
                <w:sz w:val="18"/>
                <w:szCs w:val="18"/>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4"/>
              </w:rPr>
              <w:t>Position</w:t>
            </w:r>
          </w:p>
        </w:tc>
        <w:tc>
          <w:tcPr>
            <w:tcW w:w="80" w:type="dxa"/>
            <w:vAlign w:val="bottom"/>
          </w:tcPr>
          <w:p>
            <w:pPr>
              <w:spacing w:after="0"/>
              <w:rPr>
                <w:sz w:val="18"/>
                <w:szCs w:val="18"/>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Change In Input</w:t>
            </w:r>
          </w:p>
        </w:tc>
        <w:tc>
          <w:tcPr>
            <w:tcW w:w="6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3"/>
              </w:rPr>
              <w:t>Impact on Fair Value</w:t>
            </w:r>
          </w:p>
        </w:tc>
        <w:tc>
          <w:tcPr>
            <w:tcW w:w="0" w:type="dxa"/>
            <w:vAlign w:val="bottom"/>
          </w:tcPr>
          <w:p>
            <w:pPr>
              <w:spacing w:after="0"/>
              <w:rPr>
                <w:sz w:val="1"/>
                <w:szCs w:val="1"/>
                <w:color w:val="auto"/>
              </w:rPr>
            </w:pPr>
          </w:p>
        </w:tc>
      </w:tr>
      <w:tr>
        <w:trPr>
          <w:trHeight w:val="236"/>
        </w:trPr>
        <w:tc>
          <w:tcPr>
            <w:tcW w:w="43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Measurement</w:t>
            </w:r>
          </w:p>
        </w:tc>
        <w:tc>
          <w:tcPr>
            <w:tcW w:w="0" w:type="dxa"/>
            <w:vAlign w:val="bottom"/>
          </w:tcPr>
          <w:p>
            <w:pPr>
              <w:spacing w:after="0"/>
              <w:rPr>
                <w:sz w:val="1"/>
                <w:szCs w:val="1"/>
                <w:color w:val="auto"/>
              </w:rPr>
            </w:pPr>
          </w:p>
        </w:tc>
      </w:tr>
      <w:tr>
        <w:trPr>
          <w:trHeight w:val="210"/>
        </w:trPr>
        <w:tc>
          <w:tcPr>
            <w:tcW w:w="4300" w:type="dxa"/>
            <w:vAlign w:val="bottom"/>
          </w:tcPr>
          <w:p>
            <w:pPr>
              <w:ind w:left="60"/>
              <w:spacing w:after="0" w:line="209" w:lineRule="exact"/>
              <w:rPr>
                <w:sz w:val="20"/>
                <w:szCs w:val="20"/>
                <w:color w:val="auto"/>
              </w:rPr>
            </w:pPr>
            <w:r>
              <w:rPr>
                <w:rFonts w:ascii="Arial" w:cs="Arial" w:eastAsia="Arial" w:hAnsi="Arial"/>
                <w:sz w:val="20"/>
                <w:szCs w:val="20"/>
                <w:color w:val="auto"/>
                <w:w w:val="92"/>
              </w:rPr>
              <w:t>Forward Market Price Natural Gas/Power/Capacity/</w:t>
            </w:r>
          </w:p>
        </w:tc>
        <w:tc>
          <w:tcPr>
            <w:tcW w:w="60" w:type="dxa"/>
            <w:vAlign w:val="bottom"/>
          </w:tcPr>
          <w:p>
            <w:pPr>
              <w:spacing w:after="0"/>
              <w:rPr>
                <w:sz w:val="18"/>
                <w:szCs w:val="18"/>
                <w:color w:val="auto"/>
              </w:rPr>
            </w:pPr>
          </w:p>
        </w:tc>
        <w:tc>
          <w:tcPr>
            <w:tcW w:w="1600" w:type="dxa"/>
            <w:vAlign w:val="bottom"/>
            <w:vMerge w:val="restart"/>
          </w:tcPr>
          <w:p>
            <w:pPr>
              <w:jc w:val="center"/>
              <w:spacing w:after="0"/>
              <w:rPr>
                <w:sz w:val="20"/>
                <w:szCs w:val="20"/>
                <w:color w:val="auto"/>
              </w:rPr>
            </w:pPr>
            <w:r>
              <w:rPr>
                <w:rFonts w:ascii="Arial" w:cs="Arial" w:eastAsia="Arial" w:hAnsi="Arial"/>
                <w:sz w:val="20"/>
                <w:szCs w:val="20"/>
                <w:color w:val="auto"/>
                <w:w w:val="92"/>
              </w:rPr>
              <w:t>Buy</w:t>
            </w: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60" w:type="dxa"/>
            <w:vAlign w:val="bottom"/>
            <w:tcBorders>
              <w:right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300" w:type="dxa"/>
            <w:vAlign w:val="bottom"/>
            <w:vMerge w:val="restart"/>
          </w:tcPr>
          <w:p>
            <w:pPr>
              <w:ind w:left="60"/>
              <w:spacing w:after="0"/>
              <w:rPr>
                <w:sz w:val="20"/>
                <w:szCs w:val="20"/>
                <w:color w:val="auto"/>
              </w:rPr>
            </w:pPr>
            <w:r>
              <w:rPr>
                <w:rFonts w:ascii="Arial" w:cs="Arial" w:eastAsia="Arial" w:hAnsi="Arial"/>
                <w:sz w:val="20"/>
                <w:szCs w:val="20"/>
                <w:color w:val="auto"/>
                <w:w w:val="91"/>
              </w:rPr>
              <w:t xml:space="preserve">Renewable Energy Certificates </w:t>
            </w:r>
            <w:r>
              <w:rPr>
                <w:rFonts w:ascii="Arial" w:cs="Arial" w:eastAsia="Arial" w:hAnsi="Arial"/>
                <w:sz w:val="20"/>
                <w:szCs w:val="20"/>
                <w:color w:val="B4B4B4"/>
                <w:w w:val="91"/>
              </w:rPr>
              <w:t>. . . . . . . . . . . . . . . . .</w:t>
            </w:r>
          </w:p>
        </w:tc>
        <w:tc>
          <w:tcPr>
            <w:tcW w:w="6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vMerge w:val="restart"/>
          </w:tcPr>
          <w:p>
            <w:pPr>
              <w:jc w:val="center"/>
              <w:spacing w:after="0"/>
              <w:rPr>
                <w:sz w:val="20"/>
                <w:szCs w:val="20"/>
                <w:color w:val="auto"/>
              </w:rPr>
            </w:pPr>
            <w:r>
              <w:rPr>
                <w:rFonts w:ascii="Arial" w:cs="Arial" w:eastAsia="Arial" w:hAnsi="Arial"/>
                <w:sz w:val="20"/>
                <w:szCs w:val="20"/>
                <w:color w:val="auto"/>
                <w:w w:val="86"/>
              </w:rPr>
              <w:t>Increase/(Decrease)</w:t>
            </w:r>
          </w:p>
        </w:tc>
        <w:tc>
          <w:tcPr>
            <w:tcW w:w="60" w:type="dxa"/>
            <w:vAlign w:val="bottom"/>
          </w:tcPr>
          <w:p>
            <w:pPr>
              <w:spacing w:after="0"/>
              <w:rPr>
                <w:sz w:val="13"/>
                <w:szCs w:val="13"/>
                <w:color w:val="auto"/>
              </w:rPr>
            </w:pPr>
          </w:p>
        </w:tc>
        <w:tc>
          <w:tcPr>
            <w:tcW w:w="2060" w:type="dxa"/>
            <w:vAlign w:val="bottom"/>
            <w:tcBorders>
              <w:right w:val="single" w:sz="8" w:color="E6E6E6"/>
            </w:tcBorders>
            <w:vMerge w:val="restart"/>
          </w:tcPr>
          <w:p>
            <w:pPr>
              <w:jc w:val="center"/>
              <w:spacing w:after="0"/>
              <w:rPr>
                <w:sz w:val="20"/>
                <w:szCs w:val="20"/>
                <w:color w:val="auto"/>
              </w:rPr>
            </w:pPr>
            <w:r>
              <w:rPr>
                <w:rFonts w:ascii="Arial" w:cs="Arial" w:eastAsia="Arial" w:hAnsi="Arial"/>
                <w:sz w:val="20"/>
                <w:szCs w:val="20"/>
                <w:color w:val="auto"/>
                <w:w w:val="93"/>
              </w:rPr>
              <w:t>Higher/(Lower)</w:t>
            </w:r>
          </w:p>
        </w:tc>
        <w:tc>
          <w:tcPr>
            <w:tcW w:w="0" w:type="dxa"/>
            <w:vAlign w:val="bottom"/>
          </w:tcPr>
          <w:p>
            <w:pPr>
              <w:spacing w:after="0"/>
              <w:rPr>
                <w:sz w:val="1"/>
                <w:szCs w:val="1"/>
                <w:color w:val="auto"/>
              </w:rPr>
            </w:pPr>
          </w:p>
        </w:tc>
      </w:tr>
      <w:tr>
        <w:trPr>
          <w:trHeight w:val="115"/>
        </w:trPr>
        <w:tc>
          <w:tcPr>
            <w:tcW w:w="43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60" w:type="dxa"/>
            <w:vAlign w:val="bottom"/>
            <w:tcBorders>
              <w:right w:val="single" w:sz="8" w:color="E6E6E6"/>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300" w:type="dxa"/>
            <w:vAlign w:val="bottom"/>
          </w:tcPr>
          <w:p>
            <w:pPr>
              <w:ind w:left="60"/>
              <w:spacing w:after="0" w:line="220" w:lineRule="exact"/>
              <w:rPr>
                <w:sz w:val="20"/>
                <w:szCs w:val="20"/>
                <w:color w:val="auto"/>
              </w:rPr>
            </w:pPr>
            <w:r>
              <w:rPr>
                <w:rFonts w:ascii="Arial" w:cs="Arial" w:eastAsia="Arial" w:hAnsi="Arial"/>
                <w:sz w:val="20"/>
                <w:szCs w:val="20"/>
                <w:color w:val="auto"/>
                <w:w w:val="92"/>
              </w:rPr>
              <w:t>Forward Market Price Natural Gas/Power/Capacity/</w:t>
            </w:r>
          </w:p>
        </w:tc>
        <w:tc>
          <w:tcPr>
            <w:tcW w:w="6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20"/>
                <w:szCs w:val="20"/>
                <w:color w:val="auto"/>
                <w:w w:val="95"/>
              </w:rPr>
              <w:t>Sell</w:t>
            </w:r>
          </w:p>
        </w:tc>
        <w:tc>
          <w:tcPr>
            <w:tcW w:w="80" w:type="dxa"/>
            <w:vAlign w:val="bottom"/>
          </w:tcPr>
          <w:p>
            <w:pPr>
              <w:spacing w:after="0"/>
              <w:rPr>
                <w:sz w:val="19"/>
                <w:szCs w:val="19"/>
                <w:color w:val="auto"/>
              </w:rPr>
            </w:pPr>
          </w:p>
        </w:tc>
        <w:tc>
          <w:tcPr>
            <w:tcW w:w="2020" w:type="dxa"/>
            <w:vAlign w:val="bottom"/>
            <w:vMerge w:val="restart"/>
          </w:tcPr>
          <w:p>
            <w:pPr>
              <w:jc w:val="center"/>
              <w:spacing w:after="0"/>
              <w:rPr>
                <w:sz w:val="20"/>
                <w:szCs w:val="20"/>
                <w:color w:val="auto"/>
              </w:rPr>
            </w:pPr>
            <w:r>
              <w:rPr>
                <w:rFonts w:ascii="Arial" w:cs="Arial" w:eastAsia="Arial" w:hAnsi="Arial"/>
                <w:sz w:val="20"/>
                <w:szCs w:val="20"/>
                <w:color w:val="auto"/>
                <w:w w:val="86"/>
              </w:rPr>
              <w:t>Increase/(Decrease)</w:t>
            </w:r>
          </w:p>
        </w:tc>
        <w:tc>
          <w:tcPr>
            <w:tcW w:w="60" w:type="dxa"/>
            <w:vAlign w:val="bottom"/>
          </w:tcPr>
          <w:p>
            <w:pPr>
              <w:spacing w:after="0"/>
              <w:rPr>
                <w:sz w:val="19"/>
                <w:szCs w:val="19"/>
                <w:color w:val="auto"/>
              </w:rPr>
            </w:pPr>
          </w:p>
        </w:tc>
        <w:tc>
          <w:tcPr>
            <w:tcW w:w="2060" w:type="dxa"/>
            <w:vAlign w:val="bottom"/>
            <w:vMerge w:val="restart"/>
          </w:tcPr>
          <w:p>
            <w:pPr>
              <w:jc w:val="center"/>
              <w:spacing w:after="0"/>
              <w:rPr>
                <w:sz w:val="20"/>
                <w:szCs w:val="20"/>
                <w:color w:val="auto"/>
              </w:rPr>
            </w:pPr>
            <w:r>
              <w:rPr>
                <w:rFonts w:ascii="Arial" w:cs="Arial" w:eastAsia="Arial" w:hAnsi="Arial"/>
                <w:sz w:val="20"/>
                <w:szCs w:val="20"/>
                <w:color w:val="auto"/>
                <w:w w:val="93"/>
              </w:rPr>
              <w:t>Lower/(Higher)</w:t>
            </w:r>
          </w:p>
        </w:tc>
        <w:tc>
          <w:tcPr>
            <w:tcW w:w="0" w:type="dxa"/>
            <w:vAlign w:val="bottom"/>
          </w:tcPr>
          <w:p>
            <w:pPr>
              <w:spacing w:after="0"/>
              <w:rPr>
                <w:sz w:val="1"/>
                <w:szCs w:val="1"/>
                <w:color w:val="auto"/>
              </w:rPr>
            </w:pPr>
          </w:p>
        </w:tc>
      </w:tr>
      <w:tr>
        <w:trPr>
          <w:trHeight w:val="264"/>
        </w:trPr>
        <w:tc>
          <w:tcPr>
            <w:tcW w:w="4300" w:type="dxa"/>
            <w:vAlign w:val="bottom"/>
          </w:tcPr>
          <w:p>
            <w:pPr>
              <w:ind w:left="60"/>
              <w:spacing w:after="0"/>
              <w:rPr>
                <w:sz w:val="20"/>
                <w:szCs w:val="20"/>
                <w:color w:val="auto"/>
              </w:rPr>
            </w:pPr>
            <w:r>
              <w:rPr>
                <w:rFonts w:ascii="Arial" w:cs="Arial" w:eastAsia="Arial" w:hAnsi="Arial"/>
                <w:sz w:val="20"/>
                <w:szCs w:val="20"/>
                <w:color w:val="auto"/>
                <w:w w:val="91"/>
              </w:rPr>
              <w:t xml:space="preserve">Renewable Energy Certificates </w:t>
            </w:r>
            <w:r>
              <w:rPr>
                <w:rFonts w:ascii="Arial" w:cs="Arial" w:eastAsia="Arial" w:hAnsi="Arial"/>
                <w:sz w:val="20"/>
                <w:szCs w:val="20"/>
                <w:color w:val="B4B4B4"/>
                <w:w w:val="91"/>
              </w:rPr>
              <w:t>. . . . . . . . . . . . . . . . .</w:t>
            </w:r>
          </w:p>
        </w:tc>
        <w:tc>
          <w:tcPr>
            <w:tcW w:w="60" w:type="dxa"/>
            <w:vAlign w:val="bottom"/>
          </w:tcPr>
          <w:p>
            <w:pPr>
              <w:spacing w:after="0"/>
              <w:rPr>
                <w:sz w:val="22"/>
                <w:szCs w:val="22"/>
                <w:color w:val="auto"/>
              </w:rPr>
            </w:pPr>
          </w:p>
        </w:tc>
        <w:tc>
          <w:tcPr>
            <w:tcW w:w="16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4300" w:type="dxa"/>
            <w:vAlign w:val="bottom"/>
          </w:tcPr>
          <w:p>
            <w:pPr>
              <w:ind w:left="60"/>
              <w:spacing w:after="0"/>
              <w:rPr>
                <w:sz w:val="20"/>
                <w:szCs w:val="20"/>
                <w:color w:val="auto"/>
              </w:rPr>
            </w:pPr>
            <w:r>
              <w:rPr>
                <w:rFonts w:ascii="Arial" w:cs="Arial" w:eastAsia="Arial" w:hAnsi="Arial"/>
                <w:sz w:val="20"/>
                <w:szCs w:val="20"/>
                <w:color w:val="auto"/>
                <w:w w:val="90"/>
              </w:rPr>
              <w:t xml:space="preserve">FTR Prices </w:t>
            </w:r>
            <w:r>
              <w:rPr>
                <w:rFonts w:ascii="Arial" w:cs="Arial" w:eastAsia="Arial" w:hAnsi="Arial"/>
                <w:sz w:val="20"/>
                <w:szCs w:val="20"/>
                <w:color w:val="B4B4B4"/>
                <w:w w:val="90"/>
              </w:rPr>
              <w:t>. . . . . . . . . . . . . . . . . . . . . . . . . . . . . . . . .</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2"/>
              </w:rPr>
              <w:t>Buy</w:t>
            </w:r>
          </w:p>
        </w:tc>
        <w:tc>
          <w:tcPr>
            <w:tcW w:w="8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86"/>
              </w:rPr>
              <w:t>Increase/(Decrease)</w:t>
            </w:r>
          </w:p>
        </w:tc>
        <w:tc>
          <w:tcPr>
            <w:tcW w:w="60" w:type="dxa"/>
            <w:vAlign w:val="bottom"/>
          </w:tcPr>
          <w:p>
            <w:pPr>
              <w:spacing w:after="0"/>
              <w:rPr>
                <w:sz w:val="24"/>
                <w:szCs w:val="24"/>
                <w:color w:val="auto"/>
              </w:rPr>
            </w:pPr>
          </w:p>
        </w:tc>
        <w:tc>
          <w:tcPr>
            <w:tcW w:w="2060" w:type="dxa"/>
            <w:vAlign w:val="bottom"/>
            <w:tcBorders>
              <w:right w:val="single" w:sz="8" w:color="E6E6E6"/>
            </w:tcBorders>
          </w:tcPr>
          <w:p>
            <w:pPr>
              <w:jc w:val="center"/>
              <w:spacing w:after="0"/>
              <w:rPr>
                <w:sz w:val="20"/>
                <w:szCs w:val="20"/>
                <w:color w:val="auto"/>
              </w:rPr>
            </w:pPr>
            <w:r>
              <w:rPr>
                <w:rFonts w:ascii="Arial" w:cs="Arial" w:eastAsia="Arial" w:hAnsi="Arial"/>
                <w:sz w:val="20"/>
                <w:szCs w:val="20"/>
                <w:color w:val="auto"/>
                <w:w w:val="93"/>
              </w:rPr>
              <w:t>Higher/(Lower)</w:t>
            </w:r>
          </w:p>
        </w:tc>
        <w:tc>
          <w:tcPr>
            <w:tcW w:w="0" w:type="dxa"/>
            <w:vAlign w:val="bottom"/>
          </w:tcPr>
          <w:p>
            <w:pPr>
              <w:spacing w:after="0"/>
              <w:rPr>
                <w:sz w:val="1"/>
                <w:szCs w:val="1"/>
                <w:color w:val="auto"/>
              </w:rPr>
            </w:pPr>
          </w:p>
        </w:tc>
      </w:tr>
      <w:tr>
        <w:trPr>
          <w:trHeight w:val="291"/>
        </w:trPr>
        <w:tc>
          <w:tcPr>
            <w:tcW w:w="4300" w:type="dxa"/>
            <w:vAlign w:val="bottom"/>
          </w:tcPr>
          <w:p>
            <w:pPr>
              <w:ind w:left="60"/>
              <w:spacing w:after="0"/>
              <w:rPr>
                <w:sz w:val="20"/>
                <w:szCs w:val="20"/>
                <w:color w:val="auto"/>
              </w:rPr>
            </w:pPr>
            <w:r>
              <w:rPr>
                <w:rFonts w:ascii="Arial" w:cs="Arial" w:eastAsia="Arial" w:hAnsi="Arial"/>
                <w:sz w:val="20"/>
                <w:szCs w:val="20"/>
                <w:color w:val="auto"/>
                <w:w w:val="90"/>
              </w:rPr>
              <w:t xml:space="preserve">FTR Prices </w:t>
            </w:r>
            <w:r>
              <w:rPr>
                <w:rFonts w:ascii="Arial" w:cs="Arial" w:eastAsia="Arial" w:hAnsi="Arial"/>
                <w:sz w:val="20"/>
                <w:szCs w:val="20"/>
                <w:color w:val="B4B4B4"/>
                <w:w w:val="90"/>
              </w:rPr>
              <w:t>. . . . . . . . . . . . . . . . . . . . . . . . . . . . . . . . .</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5"/>
              </w:rPr>
              <w:t>Sell</w:t>
            </w:r>
          </w:p>
        </w:tc>
        <w:tc>
          <w:tcPr>
            <w:tcW w:w="8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86"/>
              </w:rPr>
              <w:t>Increase/(Decrease)</w:t>
            </w:r>
          </w:p>
        </w:tc>
        <w:tc>
          <w:tcPr>
            <w:tcW w:w="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auto"/>
                <w:w w:val="93"/>
              </w:rPr>
              <w:t>Lower/(Higher)</w:t>
            </w:r>
          </w:p>
        </w:tc>
        <w:tc>
          <w:tcPr>
            <w:tcW w:w="0" w:type="dxa"/>
            <w:vAlign w:val="bottom"/>
          </w:tcPr>
          <w:p>
            <w:pPr>
              <w:spacing w:after="0"/>
              <w:rPr>
                <w:sz w:val="1"/>
                <w:szCs w:val="1"/>
                <w:color w:val="auto"/>
              </w:rPr>
            </w:pPr>
          </w:p>
        </w:tc>
      </w:tr>
      <w:tr>
        <w:trPr>
          <w:trHeight w:val="303"/>
        </w:trPr>
        <w:tc>
          <w:tcPr>
            <w:tcW w:w="4300" w:type="dxa"/>
            <w:vAlign w:val="bottom"/>
          </w:tcPr>
          <w:p>
            <w:pPr>
              <w:ind w:left="60"/>
              <w:spacing w:after="0"/>
              <w:rPr>
                <w:sz w:val="20"/>
                <w:szCs w:val="20"/>
                <w:color w:val="auto"/>
              </w:rPr>
            </w:pPr>
            <w:r>
              <w:rPr>
                <w:rFonts w:ascii="Arial" w:cs="Arial" w:eastAsia="Arial" w:hAnsi="Arial"/>
                <w:sz w:val="20"/>
                <w:szCs w:val="20"/>
                <w:color w:val="auto"/>
                <w:w w:val="90"/>
              </w:rPr>
              <w:t xml:space="preserve">Collateral Default Rates </w:t>
            </w:r>
            <w:r>
              <w:rPr>
                <w:rFonts w:ascii="Arial" w:cs="Arial" w:eastAsia="Arial" w:hAnsi="Arial"/>
                <w:sz w:val="20"/>
                <w:szCs w:val="20"/>
                <w:color w:val="B4B4B4"/>
                <w:w w:val="90"/>
              </w:rPr>
              <w:t>. . . . . . . . . . . . . . . . . . . . . . .</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6"/>
              </w:rPr>
              <w:t>n/a</w:t>
            </w:r>
          </w:p>
        </w:tc>
        <w:tc>
          <w:tcPr>
            <w:tcW w:w="8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86"/>
              </w:rPr>
              <w:t>Increase/(Decrease)</w:t>
            </w:r>
          </w:p>
        </w:tc>
        <w:tc>
          <w:tcPr>
            <w:tcW w:w="60" w:type="dxa"/>
            <w:vAlign w:val="bottom"/>
          </w:tcPr>
          <w:p>
            <w:pPr>
              <w:spacing w:after="0"/>
              <w:rPr>
                <w:sz w:val="24"/>
                <w:szCs w:val="24"/>
                <w:color w:val="auto"/>
              </w:rPr>
            </w:pPr>
          </w:p>
        </w:tc>
        <w:tc>
          <w:tcPr>
            <w:tcW w:w="2060" w:type="dxa"/>
            <w:vAlign w:val="bottom"/>
            <w:tcBorders>
              <w:right w:val="single" w:sz="8" w:color="E6E6E6"/>
            </w:tcBorders>
          </w:tcPr>
          <w:p>
            <w:pPr>
              <w:jc w:val="center"/>
              <w:spacing w:after="0"/>
              <w:rPr>
                <w:sz w:val="20"/>
                <w:szCs w:val="20"/>
                <w:color w:val="auto"/>
              </w:rPr>
            </w:pPr>
            <w:r>
              <w:rPr>
                <w:rFonts w:ascii="Arial" w:cs="Arial" w:eastAsia="Arial" w:hAnsi="Arial"/>
                <w:sz w:val="20"/>
                <w:szCs w:val="20"/>
                <w:color w:val="auto"/>
                <w:w w:val="93"/>
              </w:rPr>
              <w:t>Higher/(Lower)</w:t>
            </w:r>
          </w:p>
        </w:tc>
        <w:tc>
          <w:tcPr>
            <w:tcW w:w="0" w:type="dxa"/>
            <w:vAlign w:val="bottom"/>
          </w:tcPr>
          <w:p>
            <w:pPr>
              <w:spacing w:after="0"/>
              <w:rPr>
                <w:sz w:val="1"/>
                <w:szCs w:val="1"/>
                <w:color w:val="auto"/>
              </w:rPr>
            </w:pPr>
          </w:p>
        </w:tc>
      </w:tr>
      <w:tr>
        <w:trPr>
          <w:trHeight w:val="291"/>
        </w:trPr>
        <w:tc>
          <w:tcPr>
            <w:tcW w:w="4300" w:type="dxa"/>
            <w:vAlign w:val="bottom"/>
          </w:tcPr>
          <w:p>
            <w:pPr>
              <w:ind w:left="60"/>
              <w:spacing w:after="0"/>
              <w:rPr>
                <w:sz w:val="20"/>
                <w:szCs w:val="20"/>
                <w:color w:val="auto"/>
              </w:rPr>
            </w:pPr>
            <w:r>
              <w:rPr>
                <w:rFonts w:ascii="Arial" w:cs="Arial" w:eastAsia="Arial" w:hAnsi="Arial"/>
                <w:sz w:val="20"/>
                <w:szCs w:val="20"/>
                <w:color w:val="auto"/>
                <w:w w:val="90"/>
              </w:rPr>
              <w:t xml:space="preserve">Collateral Prepayment Rates </w:t>
            </w:r>
            <w:r>
              <w:rPr>
                <w:rFonts w:ascii="Arial" w:cs="Arial" w:eastAsia="Arial" w:hAnsi="Arial"/>
                <w:sz w:val="20"/>
                <w:szCs w:val="20"/>
                <w:color w:val="B4B4B4"/>
                <w:w w:val="90"/>
              </w:rPr>
              <w:t>. . . . . . . . . . . . . . . . . . .</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6"/>
              </w:rPr>
              <w:t>n/a</w:t>
            </w:r>
          </w:p>
        </w:tc>
        <w:tc>
          <w:tcPr>
            <w:tcW w:w="8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86"/>
              </w:rPr>
              <w:t>Increase/(Decrease)</w:t>
            </w:r>
          </w:p>
        </w:tc>
        <w:tc>
          <w:tcPr>
            <w:tcW w:w="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auto"/>
                <w:w w:val="93"/>
              </w:rPr>
              <w:t>Lower/(Higher)</w:t>
            </w:r>
          </w:p>
        </w:tc>
        <w:tc>
          <w:tcPr>
            <w:tcW w:w="0" w:type="dxa"/>
            <w:vAlign w:val="bottom"/>
          </w:tcPr>
          <w:p>
            <w:pPr>
              <w:spacing w:after="0"/>
              <w:rPr>
                <w:sz w:val="1"/>
                <w:szCs w:val="1"/>
                <w:color w:val="auto"/>
              </w:rPr>
            </w:pPr>
          </w:p>
        </w:tc>
      </w:tr>
      <w:tr>
        <w:trPr>
          <w:trHeight w:val="303"/>
        </w:trPr>
        <w:tc>
          <w:tcPr>
            <w:tcW w:w="4300" w:type="dxa"/>
            <w:vAlign w:val="bottom"/>
          </w:tcPr>
          <w:p>
            <w:pPr>
              <w:ind w:left="60"/>
              <w:spacing w:after="0"/>
              <w:rPr>
                <w:sz w:val="20"/>
                <w:szCs w:val="20"/>
                <w:color w:val="auto"/>
              </w:rPr>
            </w:pPr>
            <w:r>
              <w:rPr>
                <w:rFonts w:ascii="Arial" w:cs="Arial" w:eastAsia="Arial" w:hAnsi="Arial"/>
                <w:sz w:val="20"/>
                <w:szCs w:val="20"/>
                <w:color w:val="auto"/>
                <w:w w:val="89"/>
              </w:rPr>
              <w:t xml:space="preserve">Credit Loss Rates </w:t>
            </w:r>
            <w:r>
              <w:rPr>
                <w:rFonts w:ascii="Arial" w:cs="Arial" w:eastAsia="Arial" w:hAnsi="Arial"/>
                <w:sz w:val="20"/>
                <w:szCs w:val="20"/>
                <w:color w:val="B4B4B4"/>
                <w:w w:val="89"/>
              </w:rPr>
              <w:t>. . . . . . . . . . . . . . . . . . . . . . . . . . . .</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6"/>
              </w:rPr>
              <w:t>n/a</w:t>
            </w:r>
          </w:p>
        </w:tc>
        <w:tc>
          <w:tcPr>
            <w:tcW w:w="8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86"/>
              </w:rPr>
              <w:t>Increase/(Decrease)</w:t>
            </w:r>
          </w:p>
        </w:tc>
        <w:tc>
          <w:tcPr>
            <w:tcW w:w="60" w:type="dxa"/>
            <w:vAlign w:val="bottom"/>
          </w:tcPr>
          <w:p>
            <w:pPr>
              <w:spacing w:after="0"/>
              <w:rPr>
                <w:sz w:val="24"/>
                <w:szCs w:val="24"/>
                <w:color w:val="auto"/>
              </w:rPr>
            </w:pPr>
          </w:p>
        </w:tc>
        <w:tc>
          <w:tcPr>
            <w:tcW w:w="2060" w:type="dxa"/>
            <w:vAlign w:val="bottom"/>
            <w:tcBorders>
              <w:right w:val="single" w:sz="8" w:color="E6E6E6"/>
            </w:tcBorders>
          </w:tcPr>
          <w:p>
            <w:pPr>
              <w:jc w:val="center"/>
              <w:spacing w:after="0"/>
              <w:rPr>
                <w:sz w:val="20"/>
                <w:szCs w:val="20"/>
                <w:color w:val="auto"/>
              </w:rPr>
            </w:pPr>
            <w:r>
              <w:rPr>
                <w:rFonts w:ascii="Arial" w:cs="Arial" w:eastAsia="Arial" w:hAnsi="Arial"/>
                <w:sz w:val="20"/>
                <w:szCs w:val="20"/>
                <w:color w:val="auto"/>
                <w:w w:val="93"/>
              </w:rPr>
              <w:t>Higher/(Lower)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-1577340</wp:posOffset>
            </wp:positionV>
            <wp:extent cx="6475095" cy="15906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0">
                      <a:extLst>
                        <a:ext uri="{28A0092B-C50C-407E-A947-70E740481C1C}"/>
                      </a:extLst>
                    </a:blip>
                    <a:srcRect/>
                    <a:stretch>
                      <a:fillRect/>
                    </a:stretch>
                  </pic:blipFill>
                  <pic:spPr bwMode="auto">
                    <a:xfrm>
                      <a:off x="0" y="0"/>
                      <a:ext cx="6475095" cy="1590675"/>
                    </a:xfrm>
                    <a:prstGeom prst="rect">
                      <a:avLst/>
                    </a:prstGeom>
                    <a:noFill/>
                  </pic:spPr>
                </pic:pic>
              </a:graphicData>
            </a:graphic>
          </wp:anchor>
        </w:drawing>
      </w:r>
    </w:p>
    <w:p>
      <w:pPr>
        <w:spacing w:after="0" w:line="13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9"/>
          <w:szCs w:val="19"/>
          <w:color w:val="auto"/>
        </w:rPr>
        <w:t>Under the guidance of ASC 815, entities may choose to offset cash collateral posted or received against the fair value of derivative positions executed with the same counterparties under the same master netting agreements. The Company has chosen not to offset positions as defined in ASC 815. As of December 31, 2024, the Company recorded $309 million of cash collateral posted and $199 million of cash collateral received on its balance sheet.</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Concentration of Credit Risk</w:t>
      </w:r>
    </w:p>
    <w:p>
      <w:pPr>
        <w:spacing w:after="0" w:line="130" w:lineRule="exact"/>
        <w:rPr>
          <w:sz w:val="20"/>
          <w:szCs w:val="20"/>
          <w:color w:val="auto"/>
        </w:rPr>
      </w:pPr>
    </w:p>
    <w:p>
      <w:pPr>
        <w:jc w:val="both"/>
        <w:ind w:firstLine="445"/>
        <w:spacing w:after="0" w:line="317" w:lineRule="auto"/>
        <w:rPr>
          <w:sz w:val="20"/>
          <w:szCs w:val="20"/>
          <w:color w:val="auto"/>
        </w:rPr>
      </w:pPr>
      <w:r>
        <w:rPr>
          <w:rFonts w:ascii="Arial" w:cs="Arial" w:eastAsia="Arial" w:hAnsi="Arial"/>
          <w:sz w:val="16"/>
          <w:szCs w:val="16"/>
          <w:color w:val="auto"/>
        </w:rPr>
        <w:t xml:space="preserve">In addition to the credit risk discussion as disclosed in Note 2, </w:t>
      </w:r>
      <w:r>
        <w:rPr>
          <w:rFonts w:ascii="Arial" w:cs="Arial" w:eastAsia="Arial" w:hAnsi="Arial"/>
          <w:sz w:val="16"/>
          <w:szCs w:val="16"/>
          <w:b w:val="1"/>
          <w:bCs w:val="1"/>
          <w:i w:val="1"/>
          <w:iCs w:val="1"/>
          <w:color w:val="auto"/>
        </w:rPr>
        <w:t>Summary of Significant Accounting Policies</w:t>
      </w:r>
      <w:r>
        <w:rPr>
          <w:rFonts w:ascii="Arial" w:cs="Arial" w:eastAsia="Arial" w:hAnsi="Arial"/>
          <w:sz w:val="16"/>
          <w:szCs w:val="16"/>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w:t>
      </w:r>
    </w:p>
    <w:p>
      <w:pPr>
        <w:spacing w:after="0" w:line="3" w:lineRule="exact"/>
        <w:rPr>
          <w:sz w:val="20"/>
          <w:szCs w:val="20"/>
          <w:color w:val="auto"/>
        </w:rPr>
      </w:pPr>
    </w:p>
    <w:p>
      <w:pPr>
        <w:jc w:val="both"/>
        <w:ind w:firstLine="1"/>
        <w:spacing w:after="0" w:line="310" w:lineRule="auto"/>
        <w:tabs>
          <w:tab w:leader="none" w:pos="319"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daily monitoring of counterparties' credit limits; (iii) the use of credit mitigation measures such as margin, collateral, prepayment arrangements, or volumetric limits; (iv) the use of payment netting agreements; and (v) the use of master netting</w:t>
      </w:r>
    </w:p>
    <w:p>
      <w:pPr>
        <w:sectPr>
          <w:pgSz w:w="11880" w:h="15480" w:orient="portrait"/>
          <w:cols w:equalWidth="0" w:num="1">
            <w:col w:w="10160"/>
          </w:cols>
          <w:pgMar w:left="860" w:top="605" w:right="86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ectPr>
          <w:pgSz w:w="11880" w:h="15480" w:orient="portrait"/>
          <w:cols w:equalWidth="0" w:num="1">
            <w:col w:w="10160"/>
          </w:cols>
          <w:pgMar w:left="860" w:top="605" w:right="860" w:bottom="0" w:gutter="0" w:footer="0" w:header="0"/>
          <w:type w:val="continuous"/>
        </w:sectPr>
      </w:pPr>
    </w:p>
    <w:bookmarkStart w:id="118" w:name="page119"/>
    <w:bookmarkEnd w:id="118"/>
    <w:p>
      <w:pPr>
        <w:jc w:val="both"/>
        <w:spacing w:after="0" w:line="290" w:lineRule="auto"/>
        <w:rPr>
          <w:sz w:val="20"/>
          <w:szCs w:val="20"/>
          <w:color w:val="auto"/>
        </w:rPr>
      </w:pPr>
      <w:r>
        <w:rPr>
          <w:rFonts w:ascii="Arial" w:cs="Arial" w:eastAsia="Arial" w:hAnsi="Arial"/>
          <w:sz w:val="18"/>
          <w:szCs w:val="18"/>
          <w:color w:val="auto"/>
        </w:rPr>
        <w:t>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 The Company also has credit protection within various agreements to call on additional collateral support if and when necessary. Cash margin is collected and held at the Company to cover the credit risk of the counterparty until positions settle.</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Counterparty Credit Risk</w:t>
      </w:r>
    </w:p>
    <w:p>
      <w:pPr>
        <w:spacing w:after="0" w:line="134"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8"/>
          <w:szCs w:val="18"/>
          <w:color w:val="auto"/>
        </w:rPr>
        <w:t>As of December 31, 2024, counterparty credit exposure, excluding credit exposure from RTOs, ISOs, and registered commodity exchanges and certain long-term agreements, was $1.7 billion and NRG held collateral (cash and letters of credit) against those positions of $288 million, resulting in a net exposure of $1.5 billion. NRG periodically receives collateral from counterparties in excess of their exposure. Collateral amounts shown include such excess while net exposure shown excludes excess collateral received. Approximately 69% of the Company's exposure before collateral is expected to roll off by the end of 2026. Counterparty credit exposure is valued through observable market quotes and discounted at a risk free interest rate. The following tables highlight net counterparty credit exposure by industry sector and by counterparty credit quality. Net counterparty credit exposure is defined as the aggregate net asset position for NRG with counterparties where netting is permitted under the enabling agreement and includes all cash flow, mark-to-market and NPNS, and non-derivative transactions. The exposure is shown net of collateral held and includes amounts net of receivables or payables.</w:t>
      </w:r>
    </w:p>
    <w:p>
      <w:pPr>
        <w:ind w:left="8780"/>
        <w:spacing w:after="0" w:line="196" w:lineRule="auto"/>
        <w:rPr>
          <w:sz w:val="20"/>
          <w:szCs w:val="20"/>
          <w:color w:val="auto"/>
        </w:rPr>
      </w:pPr>
      <w:r>
        <w:rPr>
          <w:rFonts w:ascii="Arial" w:cs="Arial" w:eastAsia="Arial" w:hAnsi="Arial"/>
          <w:sz w:val="15"/>
          <w:szCs w:val="15"/>
          <w:b w:val="1"/>
          <w:bCs w:val="1"/>
          <w:color w:val="auto"/>
        </w:rPr>
        <w:t xml:space="preserve">Net Exposure </w:t>
      </w:r>
      <w:r>
        <w:rPr>
          <w:rFonts w:ascii="Arial" w:cs="Arial" w:eastAsia="Arial" w:hAnsi="Arial"/>
          <w:sz w:val="19"/>
          <w:szCs w:val="19"/>
          <w:b w:val="1"/>
          <w:bCs w:val="1"/>
          <w:color w:val="auto"/>
          <w:vertAlign w:val="superscript"/>
        </w:rPr>
        <w:t>(a) (b)</w:t>
      </w:r>
    </w:p>
    <w:p>
      <w:pPr>
        <w:spacing w:after="0" w:line="1" w:lineRule="exact"/>
        <w:rPr>
          <w:sz w:val="20"/>
          <w:szCs w:val="20"/>
          <w:color w:val="auto"/>
        </w:rPr>
      </w:pPr>
    </w:p>
    <w:p>
      <w:pPr>
        <w:ind w:left="60"/>
        <w:spacing w:after="0"/>
        <w:tabs>
          <w:tab w:leader="none" w:pos="8960" w:val="left"/>
        </w:tabs>
        <w:rPr>
          <w:sz w:val="20"/>
          <w:szCs w:val="20"/>
          <w:color w:val="auto"/>
        </w:rPr>
      </w:pPr>
      <w:r>
        <w:rPr>
          <w:rFonts w:ascii="Arial" w:cs="Arial" w:eastAsia="Arial" w:hAnsi="Arial"/>
          <w:sz w:val="18"/>
          <w:szCs w:val="18"/>
          <w:b w:val="1"/>
          <w:bCs w:val="1"/>
          <w:u w:val="single" w:color="auto"/>
          <w:color w:val="auto"/>
        </w:rPr>
        <w:t>Category</w:t>
      </w:r>
      <w:r>
        <w:rPr>
          <w:sz w:val="20"/>
          <w:szCs w:val="20"/>
          <w:color w:val="auto"/>
        </w:rPr>
        <w:tab/>
      </w:r>
      <w:r>
        <w:rPr>
          <w:rFonts w:ascii="Arial" w:cs="Arial" w:eastAsia="Arial" w:hAnsi="Arial"/>
          <w:sz w:val="15"/>
          <w:szCs w:val="15"/>
          <w:b w:val="1"/>
          <w:bCs w:val="1"/>
          <w:color w:val="auto"/>
        </w:rPr>
        <w:t>(% of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0</wp:posOffset>
            </wp:positionV>
            <wp:extent cx="6466205" cy="603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1">
                      <a:extLst>
                        <a:ext uri="{28A0092B-C50C-407E-A947-70E740481C1C}"/>
                      </a:extLst>
                    </a:blip>
                    <a:srcRect/>
                    <a:stretch>
                      <a:fillRect/>
                    </a:stretch>
                  </pic:blipFill>
                  <pic:spPr bwMode="auto">
                    <a:xfrm>
                      <a:off x="0" y="0"/>
                      <a:ext cx="6466205" cy="603885"/>
                    </a:xfrm>
                    <a:prstGeom prst="rect">
                      <a:avLst/>
                    </a:prstGeom>
                    <a:noFill/>
                  </pic:spPr>
                </pic:pic>
              </a:graphicData>
            </a:graphic>
          </wp:anchor>
        </w:drawing>
      </w:r>
    </w:p>
    <w:p>
      <w:pPr>
        <w:spacing w:after="0" w:line="26" w:lineRule="exact"/>
        <w:rPr>
          <w:sz w:val="20"/>
          <w:szCs w:val="20"/>
          <w:color w:val="auto"/>
        </w:rPr>
      </w:pPr>
    </w:p>
    <w:p>
      <w:pPr>
        <w:ind w:left="60"/>
        <w:spacing w:after="0"/>
        <w:tabs>
          <w:tab w:leader="none" w:pos="9680" w:val="left"/>
        </w:tabs>
        <w:rPr>
          <w:sz w:val="20"/>
          <w:szCs w:val="20"/>
          <w:color w:val="auto"/>
        </w:rPr>
      </w:pPr>
      <w:r>
        <w:rPr>
          <w:rFonts w:ascii="Arial" w:cs="Arial" w:eastAsia="Arial" w:hAnsi="Arial"/>
          <w:sz w:val="20"/>
          <w:szCs w:val="20"/>
          <w:color w:val="auto"/>
        </w:rPr>
        <w:t xml:space="preserve">Utilities, energy merchants, marketers and other  </w:t>
      </w:r>
      <w:r>
        <w:rPr>
          <w:rFonts w:ascii="Arial" w:cs="Arial" w:eastAsia="Arial" w:hAnsi="Arial"/>
          <w:sz w:val="20"/>
          <w:szCs w:val="20"/>
          <w:color w:val="B4B4B4"/>
        </w:rPr>
        <w:t>. . . . . . . . . . . . . . . . . . . . . . . . . . . . . . . . . . . . . . . . . . . . . . .</w:t>
      </w:r>
      <w:r>
        <w:rPr>
          <w:sz w:val="20"/>
          <w:szCs w:val="20"/>
          <w:color w:val="auto"/>
        </w:rPr>
        <w:tab/>
      </w:r>
      <w:r>
        <w:rPr>
          <w:rFonts w:ascii="Arial" w:cs="Arial" w:eastAsia="Arial" w:hAnsi="Arial"/>
          <w:sz w:val="18"/>
          <w:szCs w:val="18"/>
          <w:color w:val="auto"/>
        </w:rPr>
        <w:t>74 %</w:t>
      </w:r>
    </w:p>
    <w:p>
      <w:pPr>
        <w:spacing w:after="0" w:line="67" w:lineRule="exact"/>
        <w:rPr>
          <w:sz w:val="20"/>
          <w:szCs w:val="20"/>
          <w:color w:val="auto"/>
        </w:rPr>
      </w:pPr>
    </w:p>
    <w:p>
      <w:pPr>
        <w:ind w:left="60"/>
        <w:spacing w:after="0"/>
        <w:tabs>
          <w:tab w:leader="none" w:pos="9680" w:val="left"/>
        </w:tabs>
        <w:rPr>
          <w:sz w:val="20"/>
          <w:szCs w:val="20"/>
          <w:color w:val="auto"/>
        </w:rPr>
      </w:pPr>
      <w:r>
        <w:rPr>
          <w:rFonts w:ascii="Arial" w:cs="Arial" w:eastAsia="Arial" w:hAnsi="Arial"/>
          <w:sz w:val="20"/>
          <w:szCs w:val="20"/>
          <w:color w:val="auto"/>
        </w:rPr>
        <w:t xml:space="preserve">Financial institutions </w:t>
      </w:r>
      <w:r>
        <w:rPr>
          <w:rFonts w:ascii="Arial" w:cs="Arial" w:eastAsia="Arial" w:hAnsi="Arial"/>
          <w:sz w:val="20"/>
          <w:szCs w:val="20"/>
          <w:color w:val="B4B4B4"/>
        </w:rPr>
        <w:t>. . . . . . . . . . . . . . . . . . . . . . . . . . . . . . . . . . . . . . . . . . . . . . . . . . . . . . . . . . . . . . . . . . . . .</w:t>
      </w:r>
      <w:r>
        <w:rPr>
          <w:sz w:val="20"/>
          <w:szCs w:val="20"/>
          <w:color w:val="auto"/>
        </w:rPr>
        <w:tab/>
      </w:r>
      <w:r>
        <w:rPr>
          <w:rFonts w:ascii="Arial" w:cs="Arial" w:eastAsia="Arial" w:hAnsi="Arial"/>
          <w:sz w:val="16"/>
          <w:szCs w:val="16"/>
          <w:color w:val="auto"/>
        </w:rPr>
        <w:t>26</w:t>
      </w:r>
    </w:p>
    <w:p>
      <w:pPr>
        <w:spacing w:after="0" w:line="67" w:lineRule="exact"/>
        <w:rPr>
          <w:sz w:val="20"/>
          <w:szCs w:val="20"/>
          <w:color w:val="auto"/>
        </w:rPr>
      </w:pPr>
    </w:p>
    <w:p>
      <w:pPr>
        <w:ind w:left="280"/>
        <w:spacing w:after="0"/>
        <w:tabs>
          <w:tab w:leader="none" w:pos="9580" w:val="left"/>
        </w:tabs>
        <w:rPr>
          <w:sz w:val="20"/>
          <w:szCs w:val="20"/>
          <w:color w:val="auto"/>
        </w:rPr>
      </w:pPr>
      <w:r>
        <w:rPr>
          <w:rFonts w:ascii="Arial" w:cs="Arial" w:eastAsia="Arial" w:hAnsi="Arial"/>
          <w:sz w:val="20"/>
          <w:szCs w:val="20"/>
          <w:color w:val="auto"/>
        </w:rPr>
        <w:t xml:space="preserve">Total  </w:t>
      </w:r>
      <w:r>
        <w:rPr>
          <w:rFonts w:ascii="Arial" w:cs="Arial" w:eastAsia="Arial" w:hAnsi="Arial"/>
          <w:sz w:val="20"/>
          <w:szCs w:val="20"/>
          <w:color w:val="B4B4B4"/>
        </w:rPr>
        <w:t>. . . . . . . . . . . . . . . . . . . . . . . . . . . . . . . . . . . . . . . . . . . . . . . . . . . . . . . . . . . . . . . . . . . . . . . . . . . . . . .</w:t>
      </w:r>
      <w:r>
        <w:rPr>
          <w:sz w:val="20"/>
          <w:szCs w:val="20"/>
          <w:color w:val="auto"/>
        </w:rPr>
        <w:tab/>
      </w:r>
      <w:r>
        <w:rPr>
          <w:rFonts w:ascii="Arial" w:cs="Arial" w:eastAsia="Arial" w:hAnsi="Arial"/>
          <w:sz w:val="18"/>
          <w:szCs w:val="18"/>
          <w:color w:val="auto"/>
        </w:rPr>
        <w:t>100 %</w:t>
      </w:r>
    </w:p>
    <w:p>
      <w:pPr>
        <w:spacing w:after="0" w:line="166"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 xml:space="preserve">Net Exposure </w:t>
      </w:r>
      <w:r>
        <w:rPr>
          <w:rFonts w:ascii="Arial" w:cs="Arial" w:eastAsia="Arial" w:hAnsi="Arial"/>
          <w:sz w:val="18"/>
          <w:szCs w:val="18"/>
          <w:b w:val="1"/>
          <w:bCs w:val="1"/>
          <w:color w:val="auto"/>
          <w:vertAlign w:val="superscript"/>
        </w:rPr>
        <w:t>(a) (b)</w:t>
      </w:r>
    </w:p>
    <w:p>
      <w:pPr>
        <w:ind w:left="60"/>
        <w:spacing w:after="0"/>
        <w:tabs>
          <w:tab w:leader="none" w:pos="8960" w:val="left"/>
        </w:tabs>
        <w:rPr>
          <w:sz w:val="20"/>
          <w:szCs w:val="20"/>
          <w:color w:val="auto"/>
        </w:rPr>
      </w:pPr>
      <w:r>
        <w:rPr>
          <w:rFonts w:ascii="Arial" w:cs="Arial" w:eastAsia="Arial" w:hAnsi="Arial"/>
          <w:sz w:val="18"/>
          <w:szCs w:val="18"/>
          <w:b w:val="1"/>
          <w:bCs w:val="1"/>
          <w:u w:val="single" w:color="auto"/>
          <w:color w:val="auto"/>
        </w:rPr>
        <w:t>Category</w:t>
      </w:r>
      <w:r>
        <w:rPr>
          <w:sz w:val="20"/>
          <w:szCs w:val="20"/>
          <w:color w:val="auto"/>
        </w:rPr>
        <w:tab/>
      </w:r>
      <w:r>
        <w:rPr>
          <w:rFonts w:ascii="Arial" w:cs="Arial" w:eastAsia="Arial" w:hAnsi="Arial"/>
          <w:sz w:val="15"/>
          <w:szCs w:val="15"/>
          <w:b w:val="1"/>
          <w:bCs w:val="1"/>
          <w:color w:val="auto"/>
        </w:rPr>
        <w:t>(% of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0</wp:posOffset>
            </wp:positionV>
            <wp:extent cx="6466205" cy="603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2">
                      <a:extLst>
                        <a:ext uri="{28A0092B-C50C-407E-A947-70E740481C1C}"/>
                      </a:extLst>
                    </a:blip>
                    <a:srcRect/>
                    <a:stretch>
                      <a:fillRect/>
                    </a:stretch>
                  </pic:blipFill>
                  <pic:spPr bwMode="auto">
                    <a:xfrm>
                      <a:off x="0" y="0"/>
                      <a:ext cx="6466205" cy="603885"/>
                    </a:xfrm>
                    <a:prstGeom prst="rect">
                      <a:avLst/>
                    </a:prstGeom>
                    <a:noFill/>
                  </pic:spPr>
                </pic:pic>
              </a:graphicData>
            </a:graphic>
          </wp:anchor>
        </w:drawing>
      </w:r>
    </w:p>
    <w:p>
      <w:pPr>
        <w:spacing w:after="0" w:line="26" w:lineRule="exact"/>
        <w:rPr>
          <w:sz w:val="20"/>
          <w:szCs w:val="20"/>
          <w:color w:val="auto"/>
        </w:rPr>
      </w:pPr>
    </w:p>
    <w:p>
      <w:pPr>
        <w:ind w:left="60"/>
        <w:spacing w:after="0"/>
        <w:tabs>
          <w:tab w:leader="none" w:pos="9680" w:val="left"/>
        </w:tabs>
        <w:rPr>
          <w:sz w:val="20"/>
          <w:szCs w:val="20"/>
          <w:color w:val="auto"/>
        </w:rPr>
      </w:pPr>
      <w:r>
        <w:rPr>
          <w:rFonts w:ascii="Arial" w:cs="Arial" w:eastAsia="Arial" w:hAnsi="Arial"/>
          <w:sz w:val="20"/>
          <w:szCs w:val="20"/>
          <w:color w:val="auto"/>
        </w:rPr>
        <w:t xml:space="preserve">Investment grade </w:t>
      </w:r>
      <w:r>
        <w:rPr>
          <w:rFonts w:ascii="Arial" w:cs="Arial" w:eastAsia="Arial" w:hAnsi="Arial"/>
          <w:sz w:val="20"/>
          <w:szCs w:val="20"/>
          <w:color w:val="B4B4B4"/>
        </w:rPr>
        <w:t>. . . . . . . . . . . . . . . . . . . . . . . . . . . . . . . . . . . . . . . . . . . . . . . . . . . . . . . . . . . . . . . . . . . . . . . .</w:t>
      </w:r>
      <w:r>
        <w:rPr>
          <w:sz w:val="20"/>
          <w:szCs w:val="20"/>
          <w:color w:val="auto"/>
        </w:rPr>
        <w:tab/>
      </w:r>
      <w:r>
        <w:rPr>
          <w:rFonts w:ascii="Arial" w:cs="Arial" w:eastAsia="Arial" w:hAnsi="Arial"/>
          <w:sz w:val="18"/>
          <w:szCs w:val="18"/>
          <w:color w:val="auto"/>
        </w:rPr>
        <w:t>55 %</w:t>
      </w:r>
    </w:p>
    <w:p>
      <w:pPr>
        <w:spacing w:after="0" w:line="67" w:lineRule="exact"/>
        <w:rPr>
          <w:sz w:val="20"/>
          <w:szCs w:val="20"/>
          <w:color w:val="auto"/>
        </w:rPr>
      </w:pPr>
    </w:p>
    <w:p>
      <w:pPr>
        <w:ind w:left="60"/>
        <w:spacing w:after="0"/>
        <w:tabs>
          <w:tab w:leader="none" w:pos="9680" w:val="left"/>
        </w:tabs>
        <w:rPr>
          <w:sz w:val="20"/>
          <w:szCs w:val="20"/>
          <w:color w:val="auto"/>
        </w:rPr>
      </w:pPr>
      <w:r>
        <w:rPr>
          <w:rFonts w:ascii="Arial" w:cs="Arial" w:eastAsia="Arial" w:hAnsi="Arial"/>
          <w:sz w:val="20"/>
          <w:szCs w:val="20"/>
          <w:color w:val="auto"/>
        </w:rPr>
        <w:t xml:space="preserve">Non-Investment grade/Non-Rated </w:t>
      </w:r>
      <w:r>
        <w:rPr>
          <w:rFonts w:ascii="Arial" w:cs="Arial" w:eastAsia="Arial" w:hAnsi="Arial"/>
          <w:sz w:val="20"/>
          <w:szCs w:val="20"/>
          <w:color w:val="B4B4B4"/>
        </w:rPr>
        <w:t>. . . . . . . . . . . . . . . . . . . . . . . . . . . . . . . . . . . . . . . . . . . . . . . . . . . . . . . . . . .</w:t>
      </w:r>
      <w:r>
        <w:rPr>
          <w:sz w:val="20"/>
          <w:szCs w:val="20"/>
          <w:color w:val="auto"/>
        </w:rPr>
        <w:tab/>
      </w:r>
      <w:r>
        <w:rPr>
          <w:rFonts w:ascii="Arial" w:cs="Arial" w:eastAsia="Arial" w:hAnsi="Arial"/>
          <w:sz w:val="16"/>
          <w:szCs w:val="16"/>
          <w:color w:val="auto"/>
        </w:rPr>
        <w:t>45</w:t>
      </w:r>
    </w:p>
    <w:p>
      <w:pPr>
        <w:spacing w:after="0" w:line="67" w:lineRule="exact"/>
        <w:rPr>
          <w:sz w:val="20"/>
          <w:szCs w:val="20"/>
          <w:color w:val="auto"/>
        </w:rPr>
      </w:pPr>
    </w:p>
    <w:p>
      <w:pPr>
        <w:ind w:left="280"/>
        <w:spacing w:after="0"/>
        <w:tabs>
          <w:tab w:leader="none" w:pos="9580" w:val="left"/>
        </w:tabs>
        <w:rPr>
          <w:sz w:val="20"/>
          <w:szCs w:val="20"/>
          <w:color w:val="auto"/>
        </w:rPr>
      </w:pPr>
      <w:r>
        <w:rPr>
          <w:rFonts w:ascii="Arial" w:cs="Arial" w:eastAsia="Arial" w:hAnsi="Arial"/>
          <w:sz w:val="20"/>
          <w:szCs w:val="20"/>
          <w:color w:val="auto"/>
        </w:rPr>
        <w:t xml:space="preserve">Total  </w:t>
      </w:r>
      <w:r>
        <w:rPr>
          <w:rFonts w:ascii="Arial" w:cs="Arial" w:eastAsia="Arial" w:hAnsi="Arial"/>
          <w:sz w:val="20"/>
          <w:szCs w:val="20"/>
          <w:color w:val="B4B4B4"/>
        </w:rPr>
        <w:t>. . . . . . . . . . . . . . . . . . . . . . . . . . . . . . . . . . . . . . . . . . . . . . . . . . . . . . . . . . . . . . . . . . . . . . . . . . . . . . .</w:t>
      </w:r>
      <w:r>
        <w:rPr>
          <w:sz w:val="20"/>
          <w:szCs w:val="20"/>
          <w:color w:val="auto"/>
        </w:rPr>
        <w:tab/>
      </w:r>
      <w:r>
        <w:rPr>
          <w:rFonts w:ascii="Arial" w:cs="Arial" w:eastAsia="Arial" w:hAnsi="Arial"/>
          <w:sz w:val="18"/>
          <w:szCs w:val="18"/>
          <w:color w:val="auto"/>
        </w:rPr>
        <w:t>100 %</w:t>
      </w:r>
    </w:p>
    <w:p>
      <w:pPr>
        <w:spacing w:after="0" w:line="90" w:lineRule="exact"/>
        <w:rPr>
          <w:sz w:val="20"/>
          <w:szCs w:val="20"/>
          <w:color w:val="auto"/>
        </w:rPr>
      </w:pPr>
    </w:p>
    <w:p>
      <w:pPr>
        <w:ind w:left="360" w:hanging="359"/>
        <w:spacing w:after="0"/>
        <w:tabs>
          <w:tab w:leader="none" w:pos="3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Counterparty credit exposure excludes coal transportation contracts because of the unavailability of market prices</w:t>
      </w:r>
    </w:p>
    <w:p>
      <w:pPr>
        <w:spacing w:after="0" w:line="23" w:lineRule="exact"/>
        <w:rPr>
          <w:rFonts w:ascii="Arial" w:cs="Arial" w:eastAsia="Arial" w:hAnsi="Arial"/>
          <w:sz w:val="16"/>
          <w:szCs w:val="16"/>
          <w:color w:val="auto"/>
        </w:rPr>
      </w:pPr>
    </w:p>
    <w:p>
      <w:pPr>
        <w:ind w:left="360" w:right="200" w:hanging="359"/>
        <w:spacing w:after="0" w:line="255" w:lineRule="auto"/>
        <w:tabs>
          <w:tab w:leader="none" w:pos="3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figures in the tables above exclude potential counterparty credit exposure related to RTOs, ISOs, registered commodity exchanges and certain long term contracts</w:t>
      </w:r>
    </w:p>
    <w:p>
      <w:pPr>
        <w:spacing w:after="0" w:line="7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Company had no exposure to wholesale counterparties in excess of 10% of the total net exposure discussed above as of December 31, 2024. Changes in hedge positions and market prices will affect credit exposure and counterparty concentration.</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RTOs and ISOs</w:t>
      </w:r>
    </w:p>
    <w:p>
      <w:pPr>
        <w:spacing w:after="0" w:line="13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9"/>
          <w:szCs w:val="19"/>
          <w:color w:val="auto"/>
        </w:rPr>
        <w:t>The Company participates in the organized markets of CAISO, ERCOT, AESO, IESO, ISO-NE, MISO, NYISO and PJM, known as RTOs or ISOs. Trading in the majority of these markets is approved by FERC, whereas in the case of ERCOT, it is approved by the PUCT, and whereas in the case of AESO and IESO, both exist provincially with AESO primarily subject to Alberta Utilities Commission and the IESO subject to the Ontario Energy Board. These ISOs may include credit policies that, under certain circumstances, require that losses arising from the default of one member on spot market transactions be shared by the remaining participants. As a result, the counterparty credit risk to these markets is limited to NRG’s share of the overall market and are excluded from the above exposures.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Exchange Traded Transactions</w:t>
      </w:r>
    </w:p>
    <w:p>
      <w:pPr>
        <w:spacing w:after="0" w:line="130"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Company enters into commodity transactions on registered exchanges, notably ICE, NYMEX and Nodal. These clearinghouses act as the counterparty and transactions are subject to extensive collateral and margining requirements. As a result, these commodity transactions have limited counterparty credit risk.</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Long-Term Contracts</w:t>
      </w:r>
    </w:p>
    <w:p>
      <w:pPr>
        <w:spacing w:after="0" w:line="130"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color w:val="auto"/>
        </w:rPr>
        <w:t>Counterparty credit exposure described above excludes credit risk exposure under certain long term contracts, primarily solar under Renewable PPAs. As external sources or observable market quotes are not always available to estimate such exposure, the Company values these contracts based on various techniques including, but not limited to, internal models based on a fundamental analysis of the market and extrapolation of observable market data with similar characteristics. Based on these valuation techniques, as of December 31, 2024, aggregate credit risk exposure managed by NRG to these counterparties was approximately $868 million for the next five years.</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ectPr>
          <w:pgSz w:w="11880" w:h="15480" w:orient="portrait"/>
          <w:cols w:equalWidth="0" w:num="1">
            <w:col w:w="10160"/>
          </w:cols>
          <w:pgMar w:left="860" w:top="512" w:right="860" w:bottom="0" w:gutter="0" w:footer="0" w:header="0"/>
          <w:type w:val="continuous"/>
        </w:sectPr>
      </w:pPr>
    </w:p>
    <w:bookmarkStart w:id="119" w:name="page120"/>
    <w:bookmarkEnd w:id="119"/>
    <w:p>
      <w:pPr>
        <w:ind w:left="440"/>
        <w:spacing w:after="0"/>
        <w:rPr>
          <w:sz w:val="20"/>
          <w:szCs w:val="20"/>
          <w:color w:val="auto"/>
        </w:rPr>
      </w:pPr>
      <w:r>
        <w:rPr>
          <w:rFonts w:ascii="Arial" w:cs="Arial" w:eastAsia="Arial" w:hAnsi="Arial"/>
          <w:sz w:val="20"/>
          <w:szCs w:val="20"/>
          <w:b w:val="1"/>
          <w:bCs w:val="1"/>
          <w:i w:val="1"/>
          <w:iCs w:val="1"/>
          <w:color w:val="auto"/>
        </w:rPr>
        <w:t>Retail Customer Credit Risk</w:t>
      </w:r>
    </w:p>
    <w:p>
      <w:pPr>
        <w:spacing w:after="0" w:line="134"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9"/>
          <w:szCs w:val="19"/>
          <w:color w:val="auto"/>
        </w:rPr>
        <w:t>The Company is exposed to retail credit risk through the Company's retail electricity and gas providers, which serve Home and Business customers. Retail credit risk results in losses when a customer fails to pay for services rendered. The losses may result from both nonpayment of customer accounts receivable and the loss of in-the-money forward value. The Company manages retail credit risk through the use of established credit policies that include monitoring of the portfolio and the use of credit mitigation measures such as deposits or prepayment arrangements.</w:t>
      </w:r>
    </w:p>
    <w:p>
      <w:pPr>
        <w:spacing w:after="0" w:line="73"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20"/>
          <w:szCs w:val="20"/>
          <w:color w:val="auto"/>
        </w:rPr>
        <w:t>As of December 31, 2024, the Company's retail customer credit exposure to Home and Business customers was diversified across many customers and various industries, as well as government entities. Current economic conditions may affect the Company's customers' ability to pay bills in a timely manner, which could increase customer delinquencies and may lead to an increase in credit losses. The Company's provision for credit losses was $314 million, $251 million, and $11 million for the years ended December 31, 2024, 2023, and 2022, respectively. During the year ended December 31, 2022, the provision for credit losses included the Company's loss mitigation efforts recognized as income of $126 million related to Winter Storm Uri.</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6 — </w:t>
      </w:r>
      <w:r>
        <w:rPr>
          <w:rFonts w:ascii="Arial" w:cs="Arial" w:eastAsia="Arial" w:hAnsi="Arial"/>
          <w:sz w:val="20"/>
          <w:szCs w:val="20"/>
          <w:b w:val="1"/>
          <w:bCs w:val="1"/>
          <w:i w:val="1"/>
          <w:iCs w:val="1"/>
          <w:color w:val="auto"/>
        </w:rPr>
        <w:t>Accounting for Derivative Instruments and Hedging Activities</w:t>
      </w:r>
    </w:p>
    <w:p>
      <w:pPr>
        <w:spacing w:after="0" w:line="134" w:lineRule="exact"/>
        <w:rPr>
          <w:sz w:val="20"/>
          <w:szCs w:val="20"/>
          <w:color w:val="auto"/>
        </w:rPr>
      </w:pPr>
    </w:p>
    <w:p>
      <w:pPr>
        <w:jc w:val="both"/>
        <w:ind w:firstLine="445"/>
        <w:spacing w:after="0" w:line="295" w:lineRule="auto"/>
        <w:rPr>
          <w:sz w:val="20"/>
          <w:szCs w:val="20"/>
          <w:color w:val="auto"/>
        </w:rPr>
      </w:pPr>
      <w:r>
        <w:rPr>
          <w:rFonts w:ascii="Arial" w:cs="Arial" w:eastAsia="Arial" w:hAnsi="Arial"/>
          <w:sz w:val="18"/>
          <w:szCs w:val="18"/>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 until the hedged transactions occur and are recognized in earnings.</w:t>
      </w:r>
    </w:p>
    <w:p>
      <w:pPr>
        <w:spacing w:after="0" w:line="52"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9"/>
          <w:szCs w:val="19"/>
          <w:color w:val="auto"/>
        </w:rPr>
        <w:t>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NRG's energy related commodity contracts, foreign exchange contracts, interest rate swaps and Consumer Financing Program.</w:t>
      </w:r>
    </w:p>
    <w:p>
      <w:pPr>
        <w:spacing w:after="0" w:line="6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As the Company engages principally in the trading and marketing of its generation assets and retail operations, some of NRG's commercial activities qualify for NPNS accounting. Most of the retail load contracts either qualify for the NPNS exception or fail to meet the criteria for a derivative and the majority of the retail supply and fuels supply contracts are recorded under mark-to-market accounting. All of NRG's hedging and trading activities are subject to limits within the Company's Risk Management Policy.</w:t>
      </w:r>
    </w:p>
    <w:p>
      <w:pPr>
        <w:spacing w:after="0" w:line="85"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20"/>
          <w:szCs w:val="20"/>
          <w:color w:val="auto"/>
        </w:rPr>
        <w:t>On October 1, 2024, the Company elected NPNS for certain existing derivative contracts. Upon election of NPNS, the Company discontinued derivative accounting treatment and will no longer remeasure the derivative contracts at fair value each reporting period. The fair values of these derivative contracts were frozen as of October 1, 2024 and the Company is derecognizing the fair values to earnings at the same time as the contracts mature. The values of these contracts are included in Derivative instruments captions in the Consolidated Balance Sheets. Subsequent to the election date, costs associated with these contracts will be recorded when the underlying physical transaction is delivered. These derivative contracts extend through 2036.</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Energy-Related Commodities</w:t>
      </w:r>
    </w:p>
    <w:p>
      <w:pPr>
        <w:spacing w:after="0" w:line="13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To manage the commodity price risk associated with the Company's competitive supply activities and the price risk associated with wholesale power sales from the Company's electric generation facilities and retail power and gas sales from NRG's retail operations, NRG enters into a variety of derivative and non-derivative hedging instruments, utilizing the following:</w:t>
      </w:r>
    </w:p>
    <w:p>
      <w:pPr>
        <w:spacing w:after="0" w:line="84" w:lineRule="exact"/>
        <w:rPr>
          <w:sz w:val="20"/>
          <w:szCs w:val="20"/>
          <w:color w:val="auto"/>
        </w:rPr>
      </w:pPr>
    </w:p>
    <w:p>
      <w:pPr>
        <w:ind w:left="720" w:hanging="362"/>
        <w:spacing w:after="0"/>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Forward contracts, which commit NRG to purchase or sell energy commodities or fuels in the future;</w:t>
      </w:r>
    </w:p>
    <w:p>
      <w:pPr>
        <w:spacing w:after="0" w:line="67" w:lineRule="exact"/>
        <w:rPr>
          <w:rFonts w:ascii="Arial" w:cs="Arial" w:eastAsia="Arial" w:hAnsi="Arial"/>
          <w:sz w:val="20"/>
          <w:szCs w:val="20"/>
          <w:color w:val="auto"/>
        </w:rPr>
      </w:pPr>
    </w:p>
    <w:p>
      <w:pPr>
        <w:ind w:left="720" w:hanging="362"/>
        <w:spacing w:after="0" w:line="277" w:lineRule="auto"/>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Futures contracts, which are exchange-traded standardized commitments to purchase or sell a commodity or financial instrument;</w:t>
      </w:r>
    </w:p>
    <w:p>
      <w:pPr>
        <w:spacing w:after="0" w:line="3" w:lineRule="exact"/>
        <w:rPr>
          <w:rFonts w:ascii="Arial" w:cs="Arial" w:eastAsia="Arial" w:hAnsi="Arial"/>
          <w:sz w:val="20"/>
          <w:szCs w:val="20"/>
          <w:color w:val="auto"/>
        </w:rPr>
      </w:pPr>
    </w:p>
    <w:p>
      <w:pPr>
        <w:ind w:left="720" w:hanging="362"/>
        <w:spacing w:after="0" w:line="277" w:lineRule="auto"/>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Swap agreements, which require payments to or from counterparties based upon the differential between two prices for a predetermined contractual, or notional, quantity;</w:t>
      </w:r>
    </w:p>
    <w:p>
      <w:pPr>
        <w:spacing w:after="0" w:line="3" w:lineRule="exact"/>
        <w:rPr>
          <w:rFonts w:ascii="Arial" w:cs="Arial" w:eastAsia="Arial" w:hAnsi="Arial"/>
          <w:sz w:val="20"/>
          <w:szCs w:val="20"/>
          <w:color w:val="auto"/>
        </w:rPr>
      </w:pPr>
    </w:p>
    <w:p>
      <w:pPr>
        <w:ind w:left="720" w:hanging="362"/>
        <w:spacing w:after="0" w:line="277" w:lineRule="auto"/>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Option contracts, which convey to the option holder the right but not the obligation to purchase or sell a commodity; and</w:t>
      </w:r>
    </w:p>
    <w:p>
      <w:pPr>
        <w:spacing w:after="0" w:line="3" w:lineRule="exact"/>
        <w:rPr>
          <w:rFonts w:ascii="Arial" w:cs="Arial" w:eastAsia="Arial" w:hAnsi="Arial"/>
          <w:sz w:val="20"/>
          <w:szCs w:val="20"/>
          <w:color w:val="auto"/>
        </w:rPr>
      </w:pPr>
    </w:p>
    <w:p>
      <w:pPr>
        <w:ind w:left="720" w:hanging="362"/>
        <w:spacing w:after="0"/>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Weather derivative products used to mitigate a portion of lost revenue due to weather.</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objectives for entering into derivative contracts designated as hedges include:</w:t>
      </w:r>
    </w:p>
    <w:p>
      <w:pPr>
        <w:spacing w:after="0" w:line="126" w:lineRule="exact"/>
        <w:rPr>
          <w:sz w:val="20"/>
          <w:szCs w:val="20"/>
          <w:color w:val="auto"/>
        </w:rPr>
      </w:pPr>
    </w:p>
    <w:p>
      <w:pPr>
        <w:ind w:left="720" w:hanging="362"/>
        <w:spacing w:after="0"/>
        <w:tabs>
          <w:tab w:leader="none" w:pos="7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Fixing the price of a portion of anticipated power and gas purchases for the Company's retail sales;</w:t>
      </w:r>
    </w:p>
    <w:p>
      <w:pPr>
        <w:spacing w:after="0" w:line="67" w:lineRule="exact"/>
        <w:rPr>
          <w:rFonts w:ascii="Arial" w:cs="Arial" w:eastAsia="Arial" w:hAnsi="Arial"/>
          <w:sz w:val="20"/>
          <w:szCs w:val="20"/>
          <w:color w:val="auto"/>
        </w:rPr>
      </w:pPr>
    </w:p>
    <w:p>
      <w:pPr>
        <w:ind w:left="720" w:hanging="362"/>
        <w:spacing w:after="0" w:line="277" w:lineRule="auto"/>
        <w:tabs>
          <w:tab w:leader="none" w:pos="7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Fixing the price for a portion of anticipated future electricity sales that provides an acceptable return on the Company's electric generation operations; and</w:t>
      </w:r>
    </w:p>
    <w:p>
      <w:pPr>
        <w:sectPr>
          <w:pgSz w:w="11880" w:h="15480" w:orient="portrait"/>
          <w:cols w:equalWidth="0" w:num="1">
            <w:col w:w="10160"/>
          </w:cols>
          <w:pgMar w:left="860" w:top="505" w:right="860" w:bottom="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ectPr>
          <w:pgSz w:w="11880" w:h="15480" w:orient="portrait"/>
          <w:cols w:equalWidth="0" w:num="1">
            <w:col w:w="10160"/>
          </w:cols>
          <w:pgMar w:left="860" w:top="505" w:right="860" w:bottom="0" w:gutter="0" w:footer="0" w:header="0"/>
          <w:type w:val="continuous"/>
        </w:sectPr>
      </w:pPr>
    </w:p>
    <w:bookmarkStart w:id="120" w:name="page121"/>
    <w:bookmarkEnd w:id="120"/>
    <w:p>
      <w:pPr>
        <w:ind w:left="720" w:hanging="362"/>
        <w:spacing w:after="0"/>
        <w:tabs>
          <w:tab w:leader="none" w:pos="7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Fixing the price of a portion of anticipated fuel purchases for the operation of the Company's power plants.</w:t>
      </w:r>
    </w:p>
    <w:p>
      <w:pPr>
        <w:spacing w:after="0" w:line="126" w:lineRule="exact"/>
        <w:rPr>
          <w:sz w:val="20"/>
          <w:szCs w:val="20"/>
          <w:color w:val="auto"/>
        </w:rPr>
      </w:pPr>
    </w:p>
    <w:p>
      <w:pPr>
        <w:ind w:firstLine="445"/>
        <w:spacing w:after="0" w:line="277" w:lineRule="auto"/>
        <w:rPr>
          <w:sz w:val="20"/>
          <w:szCs w:val="20"/>
          <w:color w:val="auto"/>
        </w:rPr>
      </w:pPr>
      <w:r>
        <w:rPr>
          <w:rFonts w:ascii="Arial" w:cs="Arial" w:eastAsia="Arial" w:hAnsi="Arial"/>
          <w:sz w:val="20"/>
          <w:szCs w:val="20"/>
          <w:color w:val="auto"/>
        </w:rPr>
        <w:t>These contracts are recognized on the balance sheet at fair value and changes in the fair value of these derivative financial instruments are recognized in earnings.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As of December 31, 2024, NRG's derivative assets and liabilities consisted primarily of the following:</w:t>
      </w:r>
    </w:p>
    <w:p>
      <w:pPr>
        <w:spacing w:after="0" w:line="126" w:lineRule="exact"/>
        <w:rPr>
          <w:sz w:val="20"/>
          <w:szCs w:val="20"/>
          <w:color w:val="auto"/>
        </w:rPr>
      </w:pPr>
    </w:p>
    <w:p>
      <w:pPr>
        <w:ind w:left="720" w:right="160" w:hanging="362"/>
        <w:spacing w:after="0" w:line="277" w:lineRule="auto"/>
        <w:tabs>
          <w:tab w:leader="none" w:pos="720" w:val="left"/>
        </w:tabs>
        <w:numPr>
          <w:ilvl w:val="0"/>
          <w:numId w:val="71"/>
        </w:numPr>
        <w:rPr>
          <w:rFonts w:ascii="Arial" w:cs="Arial" w:eastAsia="Arial" w:hAnsi="Arial"/>
          <w:sz w:val="20"/>
          <w:szCs w:val="20"/>
          <w:color w:val="auto"/>
        </w:rPr>
      </w:pPr>
      <w:r>
        <w:rPr>
          <w:rFonts w:ascii="Arial" w:cs="Arial" w:eastAsia="Arial" w:hAnsi="Arial"/>
          <w:sz w:val="20"/>
          <w:szCs w:val="20"/>
          <w:color w:val="auto"/>
        </w:rPr>
        <w:t>Forward and financial contracts for the purchase/sale of electricity and related products economically hedging NRG's generation assets' forecasted output or NRG's retail load obligations through 2034;</w:t>
      </w:r>
    </w:p>
    <w:p>
      <w:pPr>
        <w:spacing w:after="0" w:line="3" w:lineRule="exact"/>
        <w:rPr>
          <w:rFonts w:ascii="Arial" w:cs="Arial" w:eastAsia="Arial" w:hAnsi="Arial"/>
          <w:sz w:val="20"/>
          <w:szCs w:val="20"/>
          <w:color w:val="auto"/>
        </w:rPr>
      </w:pPr>
    </w:p>
    <w:p>
      <w:pPr>
        <w:ind w:left="720" w:right="660" w:hanging="362"/>
        <w:spacing w:after="0" w:line="277" w:lineRule="auto"/>
        <w:tabs>
          <w:tab w:leader="none" w:pos="720" w:val="left"/>
        </w:tabs>
        <w:numPr>
          <w:ilvl w:val="0"/>
          <w:numId w:val="71"/>
        </w:numPr>
        <w:rPr>
          <w:rFonts w:ascii="Arial" w:cs="Arial" w:eastAsia="Arial" w:hAnsi="Arial"/>
          <w:sz w:val="20"/>
          <w:szCs w:val="20"/>
          <w:color w:val="auto"/>
        </w:rPr>
      </w:pPr>
      <w:r>
        <w:rPr>
          <w:rFonts w:ascii="Arial" w:cs="Arial" w:eastAsia="Arial" w:hAnsi="Arial"/>
          <w:sz w:val="20"/>
          <w:szCs w:val="20"/>
          <w:color w:val="auto"/>
        </w:rPr>
        <w:t>Forward and financial contracts for the purchase of fuel commodities relating to the forecasted usage of NRG's generation assets through 2026;</w:t>
      </w:r>
    </w:p>
    <w:p>
      <w:pPr>
        <w:spacing w:after="0" w:line="3" w:lineRule="exact"/>
        <w:rPr>
          <w:rFonts w:ascii="Arial" w:cs="Arial" w:eastAsia="Arial" w:hAnsi="Arial"/>
          <w:sz w:val="20"/>
          <w:szCs w:val="20"/>
          <w:color w:val="auto"/>
        </w:rPr>
      </w:pPr>
    </w:p>
    <w:p>
      <w:pPr>
        <w:ind w:left="720" w:hanging="362"/>
        <w:spacing w:after="0"/>
        <w:tabs>
          <w:tab w:leader="none" w:pos="720" w:val="left"/>
        </w:tabs>
        <w:numPr>
          <w:ilvl w:val="0"/>
          <w:numId w:val="71"/>
        </w:numPr>
        <w:rPr>
          <w:rFonts w:ascii="Arial" w:cs="Arial" w:eastAsia="Arial" w:hAnsi="Arial"/>
          <w:sz w:val="20"/>
          <w:szCs w:val="20"/>
          <w:color w:val="auto"/>
        </w:rPr>
      </w:pPr>
      <w:r>
        <w:rPr>
          <w:rFonts w:ascii="Arial" w:cs="Arial" w:eastAsia="Arial" w:hAnsi="Arial"/>
          <w:sz w:val="20"/>
          <w:szCs w:val="20"/>
          <w:color w:val="auto"/>
        </w:rPr>
        <w:t>Other energy derivatives instruments extending through 2029.</w:t>
      </w:r>
    </w:p>
    <w:p>
      <w:pPr>
        <w:spacing w:after="0" w:line="126" w:lineRule="exact"/>
        <w:rPr>
          <w:sz w:val="20"/>
          <w:szCs w:val="20"/>
          <w:color w:val="auto"/>
        </w:rPr>
      </w:pPr>
    </w:p>
    <w:p>
      <w:pPr>
        <w:ind w:firstLine="445"/>
        <w:spacing w:after="0" w:line="335" w:lineRule="auto"/>
        <w:rPr>
          <w:sz w:val="20"/>
          <w:szCs w:val="20"/>
          <w:color w:val="auto"/>
        </w:rPr>
      </w:pPr>
      <w:r>
        <w:rPr>
          <w:rFonts w:ascii="Arial" w:cs="Arial" w:eastAsia="Arial" w:hAnsi="Arial"/>
          <w:sz w:val="18"/>
          <w:szCs w:val="18"/>
          <w:color w:val="auto"/>
        </w:rPr>
        <w:t>Also, as of December 31, 2024, NRG had other energy-related contracts that did not meet the definition of a derivative instrument or qualified for the NPNS exception and were therefore exempt from fair value accounting treatment as follows:</w:t>
      </w:r>
    </w:p>
    <w:p>
      <w:pPr>
        <w:spacing w:after="0" w:line="16" w:lineRule="exact"/>
        <w:rPr>
          <w:sz w:val="20"/>
          <w:szCs w:val="20"/>
          <w:color w:val="auto"/>
        </w:rPr>
      </w:pPr>
    </w:p>
    <w:p>
      <w:pPr>
        <w:ind w:left="720" w:hanging="362"/>
        <w:spacing w:after="0"/>
        <w:tabs>
          <w:tab w:leader="none" w:pos="7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Load-following forward electric sale contracts extending through 2037;</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Load-following forward natural gas purchase and sale contracts extending through 2032;</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Power tolling contracts through 2036;</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Coal purchase contracts through 2027;</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Power transmission contracts through 2030;</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Natural gas transportation contracts through 2034;</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Natural gas storage agreements through 2030; and</w:t>
      </w:r>
    </w:p>
    <w:p>
      <w:pPr>
        <w:spacing w:after="0" w:line="67" w:lineRule="exact"/>
        <w:rPr>
          <w:rFonts w:ascii="Arial" w:cs="Arial" w:eastAsia="Arial" w:hAnsi="Arial"/>
          <w:sz w:val="20"/>
          <w:szCs w:val="20"/>
          <w:color w:val="auto"/>
        </w:rPr>
      </w:pPr>
    </w:p>
    <w:p>
      <w:pPr>
        <w:ind w:left="720" w:hanging="362"/>
        <w:spacing w:after="0"/>
        <w:tabs>
          <w:tab w:leader="none" w:pos="7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Coal transportation contracts through 2029.</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Foreign Exchange Contracts</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In order to mitigate foreign exchange risk primarily associated with the purchase of USD denominated natural gas for the Company's Canadian business, NRG enters into foreign exchange contract agreements through 2028.</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Interest Rate Swaps</w:t>
      </w:r>
    </w:p>
    <w:p>
      <w:pPr>
        <w:spacing w:after="0" w:line="13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color w:val="auto"/>
        </w:rPr>
        <w:t>NRG is exposed to changes in interest rate through the Company's issuance of variable rate debt. To manage the Company's interest rate risk, NRG enters into interest rate swap agreements. The Company had $1.0 billion of interest rate swaps extending through 2027 to hedge the floating rate of the Vivint Term Loans and interest rate swaps with a total nominal value of $700 million extending through 2029 to hedge the floating rate of the Term Loans which were terminated in November 2024. In November 2024, in connection with the amendment of the Term Loans, the Company entered into $700 million of interest rate swaps through 2029 to hedge its floating rate.</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Consumer Financing Program</w:t>
      </w:r>
    </w:p>
    <w:p>
      <w:pPr>
        <w:spacing w:after="0" w:line="134" w:lineRule="exact"/>
        <w:rPr>
          <w:sz w:val="20"/>
          <w:szCs w:val="20"/>
          <w:color w:val="auto"/>
        </w:rPr>
      </w:pPr>
    </w:p>
    <w:p>
      <w:pPr>
        <w:jc w:val="both"/>
        <w:ind w:firstLine="445"/>
        <w:spacing w:after="0" w:line="323" w:lineRule="auto"/>
        <w:rPr>
          <w:sz w:val="20"/>
          <w:szCs w:val="20"/>
          <w:color w:val="auto"/>
        </w:rPr>
      </w:pPr>
      <w:r>
        <w:rPr>
          <w:rFonts w:ascii="Arial" w:cs="Arial" w:eastAsia="Arial" w:hAnsi="Arial"/>
          <w:sz w:val="16"/>
          <w:szCs w:val="16"/>
          <w:color w:val="auto"/>
        </w:rPr>
        <w:t>Under the Consumer Financing Program, Vivint Smart Home pays a monthly fee to Financing Providers based on either the average daily outstanding balance of the loans or the number of outstanding loans. For certain loans, Vivint Smart Home incurs fees at the time of the loan origination and receives proceeds that are net of these fees. Vivint Smart Home also shares the liability for credit losses, depending on the credit quality of the customer. Due to the nature of certain provisions under the Consumer Financing Program, the Company records a derivative liability that is not designated as a hedging instrument and is adjusted to fair value, measured using the present value of the estimated future payments. Changes to the fair value are recorded through other income, net in the consolidated statement of operations. The following represent the contractual future payment obligations with the Financing Providers under the Consumer Financing Program that are components of the derivative:</w:t>
      </w:r>
    </w:p>
    <w:p>
      <w:pPr>
        <w:spacing w:after="0" w:line="39" w:lineRule="exact"/>
        <w:rPr>
          <w:sz w:val="20"/>
          <w:szCs w:val="20"/>
          <w:color w:val="auto"/>
        </w:rPr>
      </w:pPr>
    </w:p>
    <w:p>
      <w:pPr>
        <w:ind w:left="720" w:hanging="273"/>
        <w:spacing w:after="0" w:line="277" w:lineRule="auto"/>
        <w:tabs>
          <w:tab w:leader="none" w:pos="720" w:val="left"/>
        </w:tabs>
        <w:numPr>
          <w:ilvl w:val="0"/>
          <w:numId w:val="73"/>
        </w:numPr>
        <w:rPr>
          <w:rFonts w:ascii="Arial" w:cs="Arial" w:eastAsia="Arial" w:hAnsi="Arial"/>
          <w:sz w:val="20"/>
          <w:szCs w:val="20"/>
          <w:color w:val="auto"/>
        </w:rPr>
      </w:pPr>
      <w:r>
        <w:rPr>
          <w:rFonts w:ascii="Arial" w:cs="Arial" w:eastAsia="Arial" w:hAnsi="Arial"/>
          <w:sz w:val="20"/>
          <w:szCs w:val="20"/>
          <w:color w:val="auto"/>
        </w:rPr>
        <w:t>Vivint Smart Home pays either a monthly fee based on the average daily outstanding balance of the loans, or the number of outstanding loans, depending on the Financing Provider;</w:t>
      </w:r>
    </w:p>
    <w:p>
      <w:pPr>
        <w:spacing w:after="0" w:line="3" w:lineRule="exact"/>
        <w:rPr>
          <w:rFonts w:ascii="Arial" w:cs="Arial" w:eastAsia="Arial" w:hAnsi="Arial"/>
          <w:sz w:val="20"/>
          <w:szCs w:val="20"/>
          <w:color w:val="auto"/>
        </w:rPr>
      </w:pPr>
    </w:p>
    <w:p>
      <w:pPr>
        <w:ind w:left="720" w:hanging="273"/>
        <w:spacing w:after="0"/>
        <w:tabs>
          <w:tab w:leader="none" w:pos="720" w:val="left"/>
        </w:tabs>
        <w:numPr>
          <w:ilvl w:val="0"/>
          <w:numId w:val="73"/>
        </w:numPr>
        <w:rPr>
          <w:rFonts w:ascii="Arial" w:cs="Arial" w:eastAsia="Arial" w:hAnsi="Arial"/>
          <w:sz w:val="20"/>
          <w:szCs w:val="20"/>
          <w:color w:val="auto"/>
        </w:rPr>
      </w:pPr>
      <w:r>
        <w:rPr>
          <w:rFonts w:ascii="Arial" w:cs="Arial" w:eastAsia="Arial" w:hAnsi="Arial"/>
          <w:sz w:val="20"/>
          <w:szCs w:val="20"/>
          <w:color w:val="auto"/>
        </w:rPr>
        <w:t>Vivint Smart Home shares the liability for credit losses depending on the credit quality of the customer; and</w:t>
      </w:r>
    </w:p>
    <w:p>
      <w:pPr>
        <w:spacing w:after="0" w:line="67" w:lineRule="exact"/>
        <w:rPr>
          <w:rFonts w:ascii="Arial" w:cs="Arial" w:eastAsia="Arial" w:hAnsi="Arial"/>
          <w:sz w:val="20"/>
          <w:szCs w:val="20"/>
          <w:color w:val="auto"/>
        </w:rPr>
      </w:pPr>
    </w:p>
    <w:p>
      <w:pPr>
        <w:ind w:left="720" w:hanging="273"/>
        <w:spacing w:after="0"/>
        <w:tabs>
          <w:tab w:leader="none" w:pos="720" w:val="left"/>
        </w:tabs>
        <w:numPr>
          <w:ilvl w:val="0"/>
          <w:numId w:val="73"/>
        </w:numPr>
        <w:rPr>
          <w:rFonts w:ascii="Arial" w:cs="Arial" w:eastAsia="Arial" w:hAnsi="Arial"/>
          <w:sz w:val="20"/>
          <w:szCs w:val="20"/>
          <w:color w:val="auto"/>
        </w:rPr>
      </w:pPr>
      <w:r>
        <w:rPr>
          <w:rFonts w:ascii="Arial" w:cs="Arial" w:eastAsia="Arial" w:hAnsi="Arial"/>
          <w:sz w:val="20"/>
          <w:szCs w:val="20"/>
          <w:color w:val="auto"/>
        </w:rPr>
        <w:t>Vivint Smart Home pays transactional fees associated with customer payment processing.</w:t>
      </w:r>
    </w:p>
    <w:p>
      <w:pPr>
        <w:spacing w:after="0" w:line="12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The derivative is classified as a Level 3 instrument. The derivative positions are valued using a discounted cash flow model, with inputs consisting of available market data, such as market yield discount rates, as well as unobservable internally derived assumptions, such as collateral prepayment rates, collateral default rates and credit loss rates. In summary, the fair value represents an estimate of the present value of the cash flows Vivint Smart Home will be obligated to pay to the Financing Provider for each component of the derivative.</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ectPr>
          <w:pgSz w:w="11880" w:h="15480" w:orient="portrait"/>
          <w:cols w:equalWidth="0" w:num="1">
            <w:col w:w="10160"/>
          </w:cols>
          <w:pgMar w:left="860" w:top="512" w:right="860" w:bottom="0" w:gutter="0" w:footer="0" w:header="0"/>
          <w:type w:val="continuous"/>
        </w:sectPr>
      </w:pPr>
    </w:p>
    <w:bookmarkStart w:id="121" w:name="page122"/>
    <w:bookmarkEnd w:id="121"/>
    <w:p>
      <w:pPr>
        <w:ind w:left="440"/>
        <w:spacing w:after="0"/>
        <w:rPr>
          <w:sz w:val="20"/>
          <w:szCs w:val="20"/>
          <w:color w:val="auto"/>
        </w:rPr>
      </w:pPr>
      <w:r>
        <w:rPr>
          <w:rFonts w:ascii="Arial" w:cs="Arial" w:eastAsia="Arial" w:hAnsi="Arial"/>
          <w:sz w:val="20"/>
          <w:szCs w:val="20"/>
          <w:b w:val="1"/>
          <w:bCs w:val="1"/>
          <w:i w:val="1"/>
          <w:iCs w:val="1"/>
          <w:color w:val="auto"/>
        </w:rPr>
        <w:t>Volumetric Underlying Derivative Transactions</w:t>
      </w:r>
    </w:p>
    <w:p>
      <w:pPr>
        <w:spacing w:after="0" w:line="13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The following table summarizes the net notional volume buy/(sell) of NRG's open derivative transactions broken out by commodity, excluding those derivatives that qualified for the NPNS exception as of December 31, 2024 and 2023. Option contracts are reflected using delta volume. Delta volume equals the notional volume of an option adjusted for the probability that the option will be in-the-money at its expiration date.</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260" w:type="dxa"/>
            <w:vAlign w:val="bottom"/>
            <w:tcBorders>
              <w:bottom w:val="single" w:sz="8" w:color="auto"/>
            </w:tcBorders>
            <w:gridSpan w:val="3"/>
          </w:tcPr>
          <w:p>
            <w:pPr>
              <w:jc w:val="right"/>
              <w:ind w:right="526"/>
              <w:spacing w:after="0"/>
              <w:rPr>
                <w:sz w:val="20"/>
                <w:szCs w:val="20"/>
                <w:color w:val="auto"/>
              </w:rPr>
            </w:pPr>
            <w:r>
              <w:rPr>
                <w:rFonts w:ascii="Arial" w:cs="Arial" w:eastAsia="Arial" w:hAnsi="Arial"/>
                <w:sz w:val="18"/>
                <w:szCs w:val="18"/>
                <w:b w:val="1"/>
                <w:bCs w:val="1"/>
                <w:color w:val="auto"/>
              </w:rPr>
              <w:t>Total Volume (In millions)</w:t>
            </w:r>
          </w:p>
        </w:tc>
        <w:tc>
          <w:tcPr>
            <w:tcW w:w="0" w:type="dxa"/>
            <w:vAlign w:val="bottom"/>
          </w:tcPr>
          <w:p>
            <w:pPr>
              <w:spacing w:after="0"/>
              <w:rPr>
                <w:sz w:val="1"/>
                <w:szCs w:val="1"/>
                <w:color w:val="auto"/>
              </w:rPr>
            </w:pPr>
          </w:p>
        </w:tc>
      </w:tr>
      <w:tr>
        <w:trPr>
          <w:trHeight w:val="219"/>
        </w:trPr>
        <w:tc>
          <w:tcPr>
            <w:tcW w:w="700" w:type="dxa"/>
            <w:vAlign w:val="bottom"/>
          </w:tcPr>
          <w:p>
            <w:pPr>
              <w:spacing w:after="0"/>
              <w:rPr>
                <w:sz w:val="20"/>
                <w:szCs w:val="20"/>
                <w:color w:val="auto"/>
              </w:rPr>
            </w:pPr>
            <w:r>
              <w:rPr>
                <w:rFonts w:ascii="Arial" w:cs="Arial" w:eastAsia="Arial" w:hAnsi="Arial"/>
                <w:sz w:val="18"/>
                <w:szCs w:val="18"/>
                <w:b w:val="1"/>
                <w:bCs w:val="1"/>
                <w:color w:val="auto"/>
                <w:w w:val="87"/>
              </w:rPr>
              <w:t>Category</w:t>
            </w:r>
          </w:p>
        </w:tc>
        <w:tc>
          <w:tcPr>
            <w:tcW w:w="2140" w:type="dxa"/>
            <w:vAlign w:val="bottom"/>
          </w:tcPr>
          <w:p>
            <w:pPr>
              <w:spacing w:after="0"/>
              <w:rPr>
                <w:sz w:val="19"/>
                <w:szCs w:val="19"/>
                <w:color w:val="auto"/>
              </w:rPr>
            </w:pPr>
          </w:p>
        </w:tc>
        <w:tc>
          <w:tcPr>
            <w:tcW w:w="4000" w:type="dxa"/>
            <w:vAlign w:val="bottom"/>
            <w:gridSpan w:val="3"/>
          </w:tcPr>
          <w:p>
            <w:pPr>
              <w:ind w:left="320"/>
              <w:spacing w:after="0"/>
              <w:rPr>
                <w:sz w:val="20"/>
                <w:szCs w:val="20"/>
                <w:color w:val="auto"/>
              </w:rPr>
            </w:pPr>
            <w:r>
              <w:rPr>
                <w:rFonts w:ascii="Arial" w:cs="Arial" w:eastAsia="Arial" w:hAnsi="Arial"/>
                <w:sz w:val="18"/>
                <w:szCs w:val="18"/>
                <w:b w:val="1"/>
                <w:bCs w:val="1"/>
                <w:color w:val="auto"/>
              </w:rPr>
              <w:t>Units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w w:val="92"/>
              </w:rPr>
              <w:t>December 31, 2024</w:t>
            </w:r>
          </w:p>
        </w:tc>
        <w:tc>
          <w:tcPr>
            <w:tcW w:w="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w w:val="92"/>
              </w:rPr>
              <w:t>December 31, 2023</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2840" w:type="dxa"/>
            <w:vAlign w:val="bottom"/>
            <w:gridSpan w:val="2"/>
            <w:vMerge w:val="restart"/>
          </w:tcPr>
          <w:p>
            <w:pPr>
              <w:spacing w:after="0"/>
              <w:rPr>
                <w:sz w:val="20"/>
                <w:szCs w:val="20"/>
                <w:color w:val="auto"/>
              </w:rPr>
            </w:pPr>
            <w:r>
              <w:rPr>
                <w:rFonts w:ascii="Arial" w:cs="Arial" w:eastAsia="Arial" w:hAnsi="Arial"/>
                <w:sz w:val="20"/>
                <w:szCs w:val="20"/>
                <w:color w:val="auto"/>
              </w:rPr>
              <w:t>Emissions</w:t>
            </w:r>
          </w:p>
        </w:tc>
        <w:tc>
          <w:tcPr>
            <w:tcW w:w="4000" w:type="dxa"/>
            <w:vAlign w:val="bottom"/>
            <w:gridSpan w:val="3"/>
            <w:vMerge w:val="restart"/>
          </w:tcPr>
          <w:p>
            <w:pPr>
              <w:ind w:left="320"/>
              <w:spacing w:after="0"/>
              <w:rPr>
                <w:sz w:val="20"/>
                <w:szCs w:val="20"/>
                <w:color w:val="auto"/>
              </w:rPr>
            </w:pPr>
            <w:r>
              <w:rPr>
                <w:rFonts w:ascii="Arial" w:cs="Arial" w:eastAsia="Arial" w:hAnsi="Arial"/>
                <w:sz w:val="20"/>
                <w:szCs w:val="20"/>
                <w:color w:val="auto"/>
              </w:rPr>
              <w:t>Short Ton</w:t>
            </w:r>
          </w:p>
        </w:tc>
        <w:tc>
          <w:tcPr>
            <w:tcW w:w="1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2840" w:type="dxa"/>
            <w:vAlign w:val="bottom"/>
            <w:gridSpan w:val="2"/>
            <w:vMerge w:val="continue"/>
          </w:tcPr>
          <w:p>
            <w:pPr>
              <w:spacing w:after="0"/>
              <w:rPr>
                <w:sz w:val="23"/>
                <w:szCs w:val="23"/>
                <w:color w:val="auto"/>
              </w:rPr>
            </w:pPr>
          </w:p>
        </w:tc>
        <w:tc>
          <w:tcPr>
            <w:tcW w:w="4000" w:type="dxa"/>
            <w:vAlign w:val="bottom"/>
            <w:gridSpan w:val="3"/>
            <w:vMerge w:val="continue"/>
          </w:tcPr>
          <w:p>
            <w:pPr>
              <w:ind w:left="1220"/>
              <w:spacing w:after="0" w:line="202" w:lineRule="exact"/>
              <w:rPr>
                <w:sz w:val="20"/>
                <w:szCs w:val="20"/>
                <w:color w:val="auto"/>
              </w:rPr>
            </w:pPr>
            <w:r>
              <w:rPr>
                <w:rFonts w:ascii="Arial" w:cs="Arial" w:eastAsia="Arial" w:hAnsi="Arial"/>
                <w:sz w:val="20"/>
                <w:szCs w:val="20"/>
                <w:color w:val="B4B4B4"/>
                <w:w w:val="90"/>
              </w:rPr>
              <w:t>. . . . . . . . . . . . . . . . . . . . . . . . . . . .</w:t>
            </w:r>
          </w:p>
        </w:tc>
        <w:tc>
          <w:tcPr>
            <w:tcW w:w="160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2840" w:type="dxa"/>
            <w:vAlign w:val="bottom"/>
            <w:gridSpan w:val="2"/>
          </w:tcPr>
          <w:p>
            <w:pPr>
              <w:spacing w:after="0"/>
              <w:rPr>
                <w:sz w:val="20"/>
                <w:szCs w:val="20"/>
                <w:color w:val="auto"/>
              </w:rPr>
            </w:pPr>
            <w:r>
              <w:rPr>
                <w:rFonts w:ascii="Arial" w:cs="Arial" w:eastAsia="Arial" w:hAnsi="Arial"/>
                <w:sz w:val="20"/>
                <w:szCs w:val="20"/>
                <w:color w:val="auto"/>
                <w:w w:val="99"/>
              </w:rPr>
              <w:t>Renewables Energy Certificates</w:t>
            </w:r>
          </w:p>
        </w:tc>
        <w:tc>
          <w:tcPr>
            <w:tcW w:w="4000" w:type="dxa"/>
            <w:vAlign w:val="bottom"/>
            <w:gridSpan w:val="3"/>
          </w:tcPr>
          <w:p>
            <w:pPr>
              <w:ind w:left="320"/>
              <w:spacing w:after="0"/>
              <w:rPr>
                <w:sz w:val="20"/>
                <w:szCs w:val="20"/>
                <w:color w:val="auto"/>
              </w:rPr>
            </w:pPr>
            <w:r>
              <w:rPr>
                <w:rFonts w:ascii="Arial" w:cs="Arial" w:eastAsia="Arial" w:hAnsi="Arial"/>
                <w:sz w:val="20"/>
                <w:szCs w:val="20"/>
                <w:color w:val="auto"/>
                <w:w w:val="91"/>
              </w:rPr>
              <w:t xml:space="preserve">Certificates </w:t>
            </w:r>
            <w:r>
              <w:rPr>
                <w:rFonts w:ascii="Arial" w:cs="Arial" w:eastAsia="Arial" w:hAnsi="Arial"/>
                <w:sz w:val="20"/>
                <w:szCs w:val="20"/>
                <w:color w:val="B4B4B4"/>
                <w:w w:val="91"/>
              </w:rPr>
              <w:t>. . . . . . . . . . . . . . . . . . . . . . . . . . .</w:t>
            </w:r>
          </w:p>
        </w:tc>
        <w:tc>
          <w:tcPr>
            <w:tcW w:w="1600" w:type="dxa"/>
            <w:vAlign w:val="bottom"/>
          </w:tcPr>
          <w:p>
            <w:pPr>
              <w:jc w:val="right"/>
              <w:spacing w:after="0"/>
              <w:rPr>
                <w:sz w:val="20"/>
                <w:szCs w:val="20"/>
                <w:color w:val="auto"/>
              </w:rPr>
            </w:pPr>
            <w:r>
              <w:rPr>
                <w:rFonts w:ascii="Arial" w:cs="Arial" w:eastAsia="Arial" w:hAnsi="Arial"/>
                <w:sz w:val="20"/>
                <w:szCs w:val="20"/>
                <w:color w:val="auto"/>
              </w:rPr>
              <w:t>13</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97"/>
        </w:trPr>
        <w:tc>
          <w:tcPr>
            <w:tcW w:w="2840" w:type="dxa"/>
            <w:vAlign w:val="bottom"/>
            <w:gridSpan w:val="2"/>
          </w:tcPr>
          <w:p>
            <w:pPr>
              <w:spacing w:after="0"/>
              <w:rPr>
                <w:sz w:val="20"/>
                <w:szCs w:val="20"/>
                <w:color w:val="auto"/>
              </w:rPr>
            </w:pPr>
            <w:r>
              <w:rPr>
                <w:rFonts w:ascii="Arial" w:cs="Arial" w:eastAsia="Arial" w:hAnsi="Arial"/>
                <w:sz w:val="20"/>
                <w:szCs w:val="20"/>
                <w:color w:val="auto"/>
              </w:rPr>
              <w:t>Coal</w:t>
            </w:r>
          </w:p>
        </w:tc>
        <w:tc>
          <w:tcPr>
            <w:tcW w:w="4000" w:type="dxa"/>
            <w:vAlign w:val="bottom"/>
            <w:gridSpan w:val="3"/>
          </w:tcPr>
          <w:p>
            <w:pPr>
              <w:ind w:left="320"/>
              <w:spacing w:after="0"/>
              <w:rPr>
                <w:sz w:val="20"/>
                <w:szCs w:val="20"/>
                <w:color w:val="auto"/>
              </w:rPr>
            </w:pPr>
            <w:r>
              <w:rPr>
                <w:rFonts w:ascii="Arial" w:cs="Arial" w:eastAsia="Arial" w:hAnsi="Arial"/>
                <w:sz w:val="20"/>
                <w:szCs w:val="20"/>
                <w:color w:val="auto"/>
                <w:w w:val="91"/>
              </w:rPr>
              <w:t xml:space="preserve">Short Ton </w:t>
            </w:r>
            <w:r>
              <w:rPr>
                <w:rFonts w:ascii="Arial" w:cs="Arial" w:eastAsia="Arial" w:hAnsi="Arial"/>
                <w:sz w:val="20"/>
                <w:szCs w:val="20"/>
                <w:color w:val="B4B4B4"/>
                <w:w w:val="91"/>
              </w:rPr>
              <w:t>. . . . . . . . . . . . . . . . . . . . . . . . . . . .</w:t>
            </w:r>
          </w:p>
        </w:tc>
        <w:tc>
          <w:tcPr>
            <w:tcW w:w="1600" w:type="dxa"/>
            <w:vAlign w:val="bottom"/>
          </w:tcPr>
          <w:p>
            <w:pPr>
              <w:jc w:val="right"/>
              <w:spacing w:after="0"/>
              <w:rPr>
                <w:sz w:val="20"/>
                <w:szCs w:val="20"/>
                <w:color w:val="auto"/>
              </w:rPr>
            </w:pPr>
            <w:r>
              <w:rPr>
                <w:rFonts w:ascii="Arial" w:cs="Arial" w:eastAsia="Arial" w:hAnsi="Arial"/>
                <w:sz w:val="20"/>
                <w:szCs w:val="20"/>
                <w:color w:val="auto"/>
              </w:rPr>
              <w:t>10</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97"/>
        </w:trPr>
        <w:tc>
          <w:tcPr>
            <w:tcW w:w="2840" w:type="dxa"/>
            <w:vAlign w:val="bottom"/>
            <w:gridSpan w:val="2"/>
          </w:tcPr>
          <w:p>
            <w:pPr>
              <w:spacing w:after="0"/>
              <w:rPr>
                <w:sz w:val="20"/>
                <w:szCs w:val="20"/>
                <w:color w:val="auto"/>
              </w:rPr>
            </w:pPr>
            <w:r>
              <w:rPr>
                <w:rFonts w:ascii="Arial" w:cs="Arial" w:eastAsia="Arial" w:hAnsi="Arial"/>
                <w:sz w:val="20"/>
                <w:szCs w:val="20"/>
                <w:color w:val="auto"/>
              </w:rPr>
              <w:t>Natural Gas</w:t>
            </w:r>
          </w:p>
        </w:tc>
        <w:tc>
          <w:tcPr>
            <w:tcW w:w="4000" w:type="dxa"/>
            <w:vAlign w:val="bottom"/>
            <w:gridSpan w:val="3"/>
          </w:tcPr>
          <w:p>
            <w:pPr>
              <w:ind w:left="320"/>
              <w:spacing w:after="0"/>
              <w:rPr>
                <w:sz w:val="20"/>
                <w:szCs w:val="20"/>
                <w:color w:val="auto"/>
              </w:rPr>
            </w:pPr>
            <w:r>
              <w:rPr>
                <w:rFonts w:ascii="Arial" w:cs="Arial" w:eastAsia="Arial" w:hAnsi="Arial"/>
                <w:sz w:val="20"/>
                <w:szCs w:val="20"/>
                <w:color w:val="auto"/>
                <w:w w:val="92"/>
              </w:rPr>
              <w:t xml:space="preserve">MMBtu </w:t>
            </w:r>
            <w:r>
              <w:rPr>
                <w:rFonts w:ascii="Arial" w:cs="Arial" w:eastAsia="Arial" w:hAnsi="Arial"/>
                <w:sz w:val="20"/>
                <w:szCs w:val="20"/>
                <w:color w:val="B4B4B4"/>
                <w:w w:val="92"/>
              </w:rPr>
              <w:t>. . . . . . . . . . . . . . . . . . . . . . . . . . . . . .</w:t>
            </w:r>
          </w:p>
        </w:tc>
        <w:tc>
          <w:tcPr>
            <w:tcW w:w="1600" w:type="dxa"/>
            <w:vAlign w:val="bottom"/>
          </w:tcPr>
          <w:p>
            <w:pPr>
              <w:jc w:val="right"/>
              <w:spacing w:after="0"/>
              <w:rPr>
                <w:sz w:val="20"/>
                <w:szCs w:val="20"/>
                <w:color w:val="auto"/>
              </w:rPr>
            </w:pPr>
            <w:r>
              <w:rPr>
                <w:rFonts w:ascii="Arial" w:cs="Arial" w:eastAsia="Arial" w:hAnsi="Arial"/>
                <w:sz w:val="20"/>
                <w:szCs w:val="20"/>
                <w:color w:val="auto"/>
              </w:rPr>
              <w:t>861</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838</w:t>
            </w:r>
          </w:p>
        </w:tc>
        <w:tc>
          <w:tcPr>
            <w:tcW w:w="0" w:type="dxa"/>
            <w:vAlign w:val="bottom"/>
          </w:tcPr>
          <w:p>
            <w:pPr>
              <w:spacing w:after="0"/>
              <w:rPr>
                <w:sz w:val="1"/>
                <w:szCs w:val="1"/>
                <w:color w:val="auto"/>
              </w:rPr>
            </w:pPr>
          </w:p>
        </w:tc>
      </w:tr>
      <w:tr>
        <w:trPr>
          <w:trHeight w:val="297"/>
        </w:trPr>
        <w:tc>
          <w:tcPr>
            <w:tcW w:w="2840" w:type="dxa"/>
            <w:vAlign w:val="bottom"/>
            <w:gridSpan w:val="2"/>
          </w:tcPr>
          <w:p>
            <w:pPr>
              <w:spacing w:after="0"/>
              <w:rPr>
                <w:sz w:val="20"/>
                <w:szCs w:val="20"/>
                <w:color w:val="auto"/>
              </w:rPr>
            </w:pPr>
            <w:r>
              <w:rPr>
                <w:rFonts w:ascii="Arial" w:cs="Arial" w:eastAsia="Arial" w:hAnsi="Arial"/>
                <w:sz w:val="20"/>
                <w:szCs w:val="20"/>
                <w:color w:val="auto"/>
              </w:rPr>
              <w:t>Power</w:t>
            </w:r>
          </w:p>
        </w:tc>
        <w:tc>
          <w:tcPr>
            <w:tcW w:w="4000" w:type="dxa"/>
            <w:vAlign w:val="bottom"/>
            <w:gridSpan w:val="3"/>
          </w:tcPr>
          <w:p>
            <w:pPr>
              <w:ind w:left="320"/>
              <w:spacing w:after="0"/>
              <w:rPr>
                <w:sz w:val="20"/>
                <w:szCs w:val="20"/>
                <w:color w:val="auto"/>
              </w:rPr>
            </w:pPr>
            <w:r>
              <w:rPr>
                <w:rFonts w:ascii="Arial" w:cs="Arial" w:eastAsia="Arial" w:hAnsi="Arial"/>
                <w:sz w:val="20"/>
                <w:szCs w:val="20"/>
                <w:color w:val="auto"/>
                <w:w w:val="90"/>
              </w:rPr>
              <w:t xml:space="preserve">MWh </w:t>
            </w:r>
            <w:r>
              <w:rPr>
                <w:rFonts w:ascii="Arial" w:cs="Arial" w:eastAsia="Arial" w:hAnsi="Arial"/>
                <w:sz w:val="20"/>
                <w:szCs w:val="20"/>
                <w:color w:val="B4B4B4"/>
                <w:w w:val="90"/>
              </w:rPr>
              <w:t>. . . . . . . . . . . . . . . . . . . . . . . . . . . . . . . .</w:t>
            </w:r>
          </w:p>
        </w:tc>
        <w:tc>
          <w:tcPr>
            <w:tcW w:w="1600" w:type="dxa"/>
            <w:vAlign w:val="bottom"/>
          </w:tcPr>
          <w:p>
            <w:pPr>
              <w:jc w:val="right"/>
              <w:spacing w:after="0"/>
              <w:rPr>
                <w:sz w:val="20"/>
                <w:szCs w:val="20"/>
                <w:color w:val="auto"/>
              </w:rPr>
            </w:pPr>
            <w:r>
              <w:rPr>
                <w:rFonts w:ascii="Arial" w:cs="Arial" w:eastAsia="Arial" w:hAnsi="Arial"/>
                <w:sz w:val="20"/>
                <w:szCs w:val="20"/>
                <w:color w:val="auto"/>
              </w:rPr>
              <w:t>91</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201</w:t>
            </w:r>
          </w:p>
        </w:tc>
        <w:tc>
          <w:tcPr>
            <w:tcW w:w="0" w:type="dxa"/>
            <w:vAlign w:val="bottom"/>
          </w:tcPr>
          <w:p>
            <w:pPr>
              <w:spacing w:after="0"/>
              <w:rPr>
                <w:sz w:val="1"/>
                <w:szCs w:val="1"/>
                <w:color w:val="auto"/>
              </w:rPr>
            </w:pPr>
          </w:p>
        </w:tc>
      </w:tr>
      <w:tr>
        <w:trPr>
          <w:trHeight w:val="297"/>
        </w:trPr>
        <w:tc>
          <w:tcPr>
            <w:tcW w:w="2840" w:type="dxa"/>
            <w:vAlign w:val="bottom"/>
            <w:gridSpan w:val="2"/>
          </w:tcPr>
          <w:p>
            <w:pPr>
              <w:spacing w:after="0"/>
              <w:rPr>
                <w:sz w:val="20"/>
                <w:szCs w:val="20"/>
                <w:color w:val="auto"/>
              </w:rPr>
            </w:pPr>
            <w:r>
              <w:rPr>
                <w:rFonts w:ascii="Arial" w:cs="Arial" w:eastAsia="Arial" w:hAnsi="Arial"/>
                <w:sz w:val="20"/>
                <w:szCs w:val="20"/>
                <w:color w:val="auto"/>
              </w:rPr>
              <w:t>Interest</w:t>
            </w:r>
          </w:p>
        </w:tc>
        <w:tc>
          <w:tcPr>
            <w:tcW w:w="4000" w:type="dxa"/>
            <w:vAlign w:val="bottom"/>
            <w:gridSpan w:val="3"/>
          </w:tcPr>
          <w:p>
            <w:pPr>
              <w:ind w:left="320"/>
              <w:spacing w:after="0"/>
              <w:rPr>
                <w:sz w:val="20"/>
                <w:szCs w:val="20"/>
                <w:color w:val="auto"/>
              </w:rPr>
            </w:pPr>
            <w:r>
              <w:rPr>
                <w:rFonts w:ascii="Arial" w:cs="Arial" w:eastAsia="Arial" w:hAnsi="Arial"/>
                <w:sz w:val="20"/>
                <w:szCs w:val="20"/>
                <w:color w:val="auto"/>
                <w:w w:val="92"/>
              </w:rPr>
              <w:t xml:space="preserve">Dollars </w:t>
            </w:r>
            <w:r>
              <w:rPr>
                <w:rFonts w:ascii="Arial" w:cs="Arial" w:eastAsia="Arial" w:hAnsi="Arial"/>
                <w:sz w:val="20"/>
                <w:szCs w:val="20"/>
                <w:color w:val="B4B4B4"/>
                <w:w w:val="92"/>
              </w:rPr>
              <w:t>. . . . . . . . . . . . . . . . . . . . . . . . . . . . . .</w:t>
            </w:r>
          </w:p>
        </w:tc>
        <w:tc>
          <w:tcPr>
            <w:tcW w:w="1600" w:type="dxa"/>
            <w:vAlign w:val="bottom"/>
          </w:tcPr>
          <w:p>
            <w:pPr>
              <w:jc w:val="right"/>
              <w:spacing w:after="0"/>
              <w:rPr>
                <w:sz w:val="20"/>
                <w:szCs w:val="20"/>
                <w:color w:val="auto"/>
              </w:rPr>
            </w:pPr>
            <w:r>
              <w:rPr>
                <w:rFonts w:ascii="Arial" w:cs="Arial" w:eastAsia="Arial" w:hAnsi="Arial"/>
                <w:sz w:val="20"/>
                <w:szCs w:val="20"/>
                <w:color w:val="auto"/>
              </w:rPr>
              <w:t>700</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97"/>
        </w:trPr>
        <w:tc>
          <w:tcPr>
            <w:tcW w:w="2840" w:type="dxa"/>
            <w:vAlign w:val="bottom"/>
            <w:gridSpan w:val="2"/>
          </w:tcPr>
          <w:p>
            <w:pPr>
              <w:spacing w:after="0"/>
              <w:rPr>
                <w:sz w:val="20"/>
                <w:szCs w:val="20"/>
                <w:color w:val="auto"/>
              </w:rPr>
            </w:pPr>
            <w:r>
              <w:rPr>
                <w:rFonts w:ascii="Arial" w:cs="Arial" w:eastAsia="Arial" w:hAnsi="Arial"/>
                <w:sz w:val="20"/>
                <w:szCs w:val="20"/>
                <w:color w:val="auto"/>
              </w:rPr>
              <w:t>Foreign Exchange</w:t>
            </w:r>
          </w:p>
        </w:tc>
        <w:tc>
          <w:tcPr>
            <w:tcW w:w="4000" w:type="dxa"/>
            <w:vAlign w:val="bottom"/>
            <w:gridSpan w:val="3"/>
          </w:tcPr>
          <w:p>
            <w:pPr>
              <w:ind w:left="320"/>
              <w:spacing w:after="0"/>
              <w:rPr>
                <w:sz w:val="20"/>
                <w:szCs w:val="20"/>
                <w:color w:val="auto"/>
              </w:rPr>
            </w:pPr>
            <w:r>
              <w:rPr>
                <w:rFonts w:ascii="Arial" w:cs="Arial" w:eastAsia="Arial" w:hAnsi="Arial"/>
                <w:sz w:val="20"/>
                <w:szCs w:val="20"/>
                <w:color w:val="auto"/>
                <w:w w:val="92"/>
              </w:rPr>
              <w:t xml:space="preserve">Dollars </w:t>
            </w:r>
            <w:r>
              <w:rPr>
                <w:rFonts w:ascii="Arial" w:cs="Arial" w:eastAsia="Arial" w:hAnsi="Arial"/>
                <w:sz w:val="20"/>
                <w:szCs w:val="20"/>
                <w:color w:val="B4B4B4"/>
                <w:w w:val="92"/>
              </w:rPr>
              <w:t>. . . . . . . . . . . . . . . . . . . . . . . . . . . . . .</w:t>
            </w:r>
          </w:p>
        </w:tc>
        <w:tc>
          <w:tcPr>
            <w:tcW w:w="1600" w:type="dxa"/>
            <w:vAlign w:val="bottom"/>
          </w:tcPr>
          <w:p>
            <w:pPr>
              <w:jc w:val="right"/>
              <w:spacing w:after="0"/>
              <w:rPr>
                <w:sz w:val="20"/>
                <w:szCs w:val="20"/>
                <w:color w:val="auto"/>
              </w:rPr>
            </w:pPr>
            <w:r>
              <w:rPr>
                <w:rFonts w:ascii="Arial" w:cs="Arial" w:eastAsia="Arial" w:hAnsi="Arial"/>
                <w:sz w:val="20"/>
                <w:szCs w:val="20"/>
                <w:color w:val="auto"/>
              </w:rPr>
              <w:t>410</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548</w:t>
            </w:r>
          </w:p>
        </w:tc>
        <w:tc>
          <w:tcPr>
            <w:tcW w:w="0" w:type="dxa"/>
            <w:vAlign w:val="bottom"/>
          </w:tcPr>
          <w:p>
            <w:pPr>
              <w:spacing w:after="0"/>
              <w:rPr>
                <w:sz w:val="1"/>
                <w:szCs w:val="1"/>
                <w:color w:val="auto"/>
              </w:rPr>
            </w:pPr>
          </w:p>
        </w:tc>
      </w:tr>
      <w:tr>
        <w:trPr>
          <w:trHeight w:val="297"/>
        </w:trPr>
        <w:tc>
          <w:tcPr>
            <w:tcW w:w="2840" w:type="dxa"/>
            <w:vAlign w:val="bottom"/>
            <w:gridSpan w:val="2"/>
          </w:tcPr>
          <w:p>
            <w:pPr>
              <w:spacing w:after="0"/>
              <w:rPr>
                <w:sz w:val="20"/>
                <w:szCs w:val="20"/>
                <w:color w:val="auto"/>
              </w:rPr>
            </w:pPr>
            <w:r>
              <w:rPr>
                <w:rFonts w:ascii="Arial" w:cs="Arial" w:eastAsia="Arial" w:hAnsi="Arial"/>
                <w:sz w:val="20"/>
                <w:szCs w:val="20"/>
                <w:color w:val="auto"/>
              </w:rPr>
              <w:t>Consumer Financing Program</w:t>
            </w:r>
          </w:p>
        </w:tc>
        <w:tc>
          <w:tcPr>
            <w:tcW w:w="4000" w:type="dxa"/>
            <w:vAlign w:val="bottom"/>
            <w:gridSpan w:val="3"/>
          </w:tcPr>
          <w:p>
            <w:pPr>
              <w:ind w:left="320"/>
              <w:spacing w:after="0"/>
              <w:rPr>
                <w:sz w:val="20"/>
                <w:szCs w:val="20"/>
                <w:color w:val="auto"/>
              </w:rPr>
            </w:pPr>
            <w:r>
              <w:rPr>
                <w:rFonts w:ascii="Arial" w:cs="Arial" w:eastAsia="Arial" w:hAnsi="Arial"/>
                <w:sz w:val="20"/>
                <w:szCs w:val="20"/>
                <w:color w:val="auto"/>
                <w:w w:val="92"/>
              </w:rPr>
              <w:t xml:space="preserve">Dollars </w:t>
            </w:r>
            <w:r>
              <w:rPr>
                <w:rFonts w:ascii="Arial" w:cs="Arial" w:eastAsia="Arial" w:hAnsi="Arial"/>
                <w:sz w:val="20"/>
                <w:szCs w:val="20"/>
                <w:color w:val="B4B4B4"/>
                <w:w w:val="92"/>
              </w:rPr>
              <w:t>. . . . . . . . . . . . . . . . . . . . . . . . . . . . . .</w:t>
            </w:r>
          </w:p>
        </w:tc>
        <w:tc>
          <w:tcPr>
            <w:tcW w:w="1600" w:type="dxa"/>
            <w:vAlign w:val="bottom"/>
          </w:tcPr>
          <w:p>
            <w:pPr>
              <w:jc w:val="right"/>
              <w:spacing w:after="0"/>
              <w:rPr>
                <w:sz w:val="20"/>
                <w:szCs w:val="20"/>
                <w:color w:val="auto"/>
              </w:rPr>
            </w:pPr>
            <w:r>
              <w:rPr>
                <w:rFonts w:ascii="Arial" w:cs="Arial" w:eastAsia="Arial" w:hAnsi="Arial"/>
                <w:sz w:val="20"/>
                <w:szCs w:val="20"/>
                <w:color w:val="auto"/>
              </w:rPr>
              <w:t>1,219</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1,116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-1513205</wp:posOffset>
            </wp:positionV>
            <wp:extent cx="6475095" cy="1534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3">
                      <a:extLst>
                        <a:ext uri="{28A0092B-C50C-407E-A947-70E740481C1C}"/>
                      </a:extLst>
                    </a:blip>
                    <a:srcRect/>
                    <a:stretch>
                      <a:fillRect/>
                    </a:stretch>
                  </pic:blipFill>
                  <pic:spPr bwMode="auto">
                    <a:xfrm>
                      <a:off x="0" y="0"/>
                      <a:ext cx="6475095" cy="153416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Derivative Instruments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summarizes the fair value within the derivative instrument valuation on the balance sheet:</w:t>
      </w:r>
    </w:p>
    <w:p>
      <w:pPr>
        <w:spacing w:after="0" w:line="126"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865"/>
              <w:spacing w:after="0"/>
              <w:rPr>
                <w:sz w:val="20"/>
                <w:szCs w:val="20"/>
                <w:color w:val="auto"/>
              </w:rPr>
            </w:pPr>
            <w:r>
              <w:rPr>
                <w:rFonts w:ascii="Arial" w:cs="Arial" w:eastAsia="Arial" w:hAnsi="Arial"/>
                <w:sz w:val="16"/>
                <w:szCs w:val="16"/>
                <w:b w:val="1"/>
                <w:bCs w:val="1"/>
                <w:color w:val="auto"/>
              </w:rPr>
              <w:t>Fair Value</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665"/>
              <w:spacing w:after="0"/>
              <w:rPr>
                <w:sz w:val="20"/>
                <w:szCs w:val="20"/>
                <w:color w:val="auto"/>
              </w:rPr>
            </w:pPr>
            <w:r>
              <w:rPr>
                <w:rFonts w:ascii="Arial" w:cs="Arial" w:eastAsia="Arial" w:hAnsi="Arial"/>
                <w:sz w:val="16"/>
                <w:szCs w:val="16"/>
                <w:b w:val="1"/>
                <w:bCs w:val="1"/>
                <w:color w:val="auto"/>
              </w:rPr>
              <w:t>Derivative Assets</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524"/>
              <w:spacing w:after="0"/>
              <w:rPr>
                <w:sz w:val="20"/>
                <w:szCs w:val="20"/>
                <w:color w:val="auto"/>
              </w:rPr>
            </w:pPr>
            <w:r>
              <w:rPr>
                <w:rFonts w:ascii="Arial" w:cs="Arial" w:eastAsia="Arial" w:hAnsi="Arial"/>
                <w:sz w:val="16"/>
                <w:szCs w:val="16"/>
                <w:b w:val="1"/>
                <w:bCs w:val="1"/>
                <w:color w:val="auto"/>
              </w:rPr>
              <w:t>Derivative Liabilities</w:t>
            </w:r>
          </w:p>
        </w:tc>
        <w:tc>
          <w:tcPr>
            <w:tcW w:w="0" w:type="dxa"/>
            <w:vAlign w:val="bottom"/>
          </w:tcPr>
          <w:p>
            <w:pPr>
              <w:spacing w:after="0"/>
              <w:rPr>
                <w:sz w:val="1"/>
                <w:szCs w:val="1"/>
                <w:color w:val="auto"/>
              </w:rPr>
            </w:pPr>
          </w:p>
        </w:tc>
      </w:tr>
      <w:tr>
        <w:trPr>
          <w:trHeight w:val="184"/>
        </w:trPr>
        <w:tc>
          <w:tcPr>
            <w:tcW w:w="470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5"/>
                <w:szCs w:val="15"/>
                <w:color w:val="auto"/>
              </w:rPr>
            </w:pPr>
          </w:p>
        </w:tc>
        <w:tc>
          <w:tcPr>
            <w:tcW w:w="1120" w:type="dxa"/>
            <w:vAlign w:val="bottom"/>
          </w:tcPr>
          <w:p>
            <w:pPr>
              <w:jc w:val="right"/>
              <w:ind w:right="85"/>
              <w:spacing w:after="0"/>
              <w:rPr>
                <w:sz w:val="20"/>
                <w:szCs w:val="20"/>
                <w:color w:val="auto"/>
              </w:rPr>
            </w:pPr>
            <w:r>
              <w:rPr>
                <w:rFonts w:ascii="Arial" w:cs="Arial" w:eastAsia="Arial" w:hAnsi="Arial"/>
                <w:sz w:val="16"/>
                <w:szCs w:val="16"/>
                <w:b w:val="1"/>
                <w:bCs w:val="1"/>
                <w:color w:val="auto"/>
                <w:w w:val="88"/>
              </w:rPr>
              <w:t>December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105"/>
              <w:spacing w:after="0"/>
              <w:rPr>
                <w:sz w:val="20"/>
                <w:szCs w:val="20"/>
                <w:color w:val="auto"/>
              </w:rPr>
            </w:pPr>
            <w:r>
              <w:rPr>
                <w:rFonts w:ascii="Arial" w:cs="Arial" w:eastAsia="Arial" w:hAnsi="Arial"/>
                <w:sz w:val="16"/>
                <w:szCs w:val="16"/>
                <w:b w:val="1"/>
                <w:bCs w:val="1"/>
                <w:color w:val="auto"/>
                <w:w w:val="88"/>
              </w:rPr>
              <w:t>December 31,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5"/>
              <w:spacing w:after="0"/>
              <w:rPr>
                <w:sz w:val="20"/>
                <w:szCs w:val="20"/>
                <w:color w:val="auto"/>
              </w:rPr>
            </w:pPr>
            <w:r>
              <w:rPr>
                <w:rFonts w:ascii="Arial" w:cs="Arial" w:eastAsia="Arial" w:hAnsi="Arial"/>
                <w:sz w:val="16"/>
                <w:szCs w:val="16"/>
                <w:b w:val="1"/>
                <w:bCs w:val="1"/>
                <w:color w:val="auto"/>
                <w:w w:val="88"/>
              </w:rPr>
              <w:t>December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84"/>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2"/>
        </w:trPr>
        <w:tc>
          <w:tcPr>
            <w:tcW w:w="47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2"/>
        </w:trPr>
        <w:tc>
          <w:tcPr>
            <w:tcW w:w="4700" w:type="dxa"/>
            <w:vAlign w:val="bottom"/>
          </w:tcPr>
          <w:p>
            <w:pPr>
              <w:spacing w:after="0" w:line="192" w:lineRule="exact"/>
              <w:rPr>
                <w:sz w:val="20"/>
                <w:szCs w:val="20"/>
                <w:color w:val="auto"/>
              </w:rPr>
            </w:pPr>
            <w:r>
              <w:rPr>
                <w:rFonts w:ascii="Arial" w:cs="Arial" w:eastAsia="Arial" w:hAnsi="Arial"/>
                <w:sz w:val="20"/>
                <w:szCs w:val="20"/>
                <w:b w:val="1"/>
                <w:bCs w:val="1"/>
                <w:color w:val="auto"/>
              </w:rPr>
              <w:t>Derivatives Not Designated as Cash Flow or Fair</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700" w:type="dxa"/>
            <w:vAlign w:val="bottom"/>
          </w:tcPr>
          <w:p>
            <w:pPr>
              <w:ind w:left="180"/>
              <w:spacing w:after="0"/>
              <w:rPr>
                <w:sz w:val="20"/>
                <w:szCs w:val="20"/>
                <w:color w:val="auto"/>
              </w:rPr>
            </w:pPr>
            <w:r>
              <w:rPr>
                <w:rFonts w:ascii="Arial" w:cs="Arial" w:eastAsia="Arial" w:hAnsi="Arial"/>
                <w:sz w:val="20"/>
                <w:szCs w:val="20"/>
                <w:b w:val="1"/>
                <w:bCs w:val="1"/>
                <w:color w:val="auto"/>
              </w:rPr>
              <w:t>Value Hedges</w:t>
            </w: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4700" w:type="dxa"/>
            <w:vAlign w:val="bottom"/>
          </w:tcPr>
          <w:p>
            <w:pPr>
              <w:jc w:val="center"/>
              <w:spacing w:after="0"/>
              <w:rPr>
                <w:sz w:val="20"/>
                <w:szCs w:val="20"/>
                <w:color w:val="auto"/>
              </w:rPr>
            </w:pPr>
            <w:r>
              <w:rPr>
                <w:rFonts w:ascii="Arial" w:cs="Arial" w:eastAsia="Arial" w:hAnsi="Arial"/>
                <w:sz w:val="20"/>
                <w:szCs w:val="20"/>
                <w:color w:val="auto"/>
                <w:w w:val="89"/>
              </w:rPr>
              <w:t xml:space="preserve">Interest rate contracts - current </w:t>
            </w:r>
            <w:r>
              <w:rPr>
                <w:rFonts w:ascii="Arial" w:cs="Arial" w:eastAsia="Arial" w:hAnsi="Arial"/>
                <w:sz w:val="20"/>
                <w:szCs w:val="20"/>
                <w:color w:val="B4B4B4"/>
                <w:w w:val="89"/>
              </w:rPr>
              <w:t>.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12</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4700" w:type="dxa"/>
            <w:vAlign w:val="bottom"/>
          </w:tcPr>
          <w:p>
            <w:pPr>
              <w:jc w:val="center"/>
              <w:spacing w:after="0"/>
              <w:rPr>
                <w:sz w:val="20"/>
                <w:szCs w:val="20"/>
                <w:color w:val="auto"/>
              </w:rPr>
            </w:pPr>
            <w:r>
              <w:rPr>
                <w:rFonts w:ascii="Arial" w:cs="Arial" w:eastAsia="Arial" w:hAnsi="Arial"/>
                <w:sz w:val="20"/>
                <w:szCs w:val="20"/>
                <w:color w:val="auto"/>
                <w:w w:val="91"/>
              </w:rPr>
              <w:t xml:space="preserve">Interest rate contracts - long-term </w:t>
            </w:r>
            <w:r>
              <w:rPr>
                <w:rFonts w:ascii="Arial" w:cs="Arial" w:eastAsia="Arial" w:hAnsi="Arial"/>
                <w:sz w:val="20"/>
                <w:szCs w:val="20"/>
                <w:color w:val="B4B4B4"/>
                <w:w w:val="91"/>
              </w:rPr>
              <w:t>. . . . . . . . . . . . . . . . . .</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97"/>
        </w:trPr>
        <w:tc>
          <w:tcPr>
            <w:tcW w:w="4700" w:type="dxa"/>
            <w:vAlign w:val="bottom"/>
          </w:tcPr>
          <w:p>
            <w:pPr>
              <w:jc w:val="center"/>
              <w:spacing w:after="0"/>
              <w:rPr>
                <w:sz w:val="20"/>
                <w:szCs w:val="20"/>
                <w:color w:val="auto"/>
              </w:rPr>
            </w:pPr>
            <w:r>
              <w:rPr>
                <w:rFonts w:ascii="Arial" w:cs="Arial" w:eastAsia="Arial" w:hAnsi="Arial"/>
                <w:sz w:val="20"/>
                <w:szCs w:val="20"/>
                <w:color w:val="auto"/>
                <w:w w:val="89"/>
              </w:rPr>
              <w:t xml:space="preserve">Foreign exchange contracts - current </w:t>
            </w:r>
            <w:r>
              <w:rPr>
                <w:rFonts w:ascii="Arial" w:cs="Arial" w:eastAsia="Arial" w:hAnsi="Arial"/>
                <w:sz w:val="20"/>
                <w:szCs w:val="20"/>
                <w:color w:val="B4B4B4"/>
                <w:w w:val="89"/>
              </w:rPr>
              <w:t>. . . . . . . . . . . . . . . .</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97"/>
        </w:trPr>
        <w:tc>
          <w:tcPr>
            <w:tcW w:w="4700" w:type="dxa"/>
            <w:vAlign w:val="bottom"/>
          </w:tcPr>
          <w:p>
            <w:pPr>
              <w:jc w:val="center"/>
              <w:spacing w:after="0"/>
              <w:rPr>
                <w:sz w:val="20"/>
                <w:szCs w:val="20"/>
                <w:color w:val="auto"/>
              </w:rPr>
            </w:pPr>
            <w:r>
              <w:rPr>
                <w:rFonts w:ascii="Arial" w:cs="Arial" w:eastAsia="Arial" w:hAnsi="Arial"/>
                <w:sz w:val="20"/>
                <w:szCs w:val="20"/>
                <w:color w:val="auto"/>
                <w:w w:val="89"/>
              </w:rPr>
              <w:t xml:space="preserve">Foreign exchange contracts - long-term </w:t>
            </w:r>
            <w:r>
              <w:rPr>
                <w:rFonts w:ascii="Arial" w:cs="Arial" w:eastAsia="Arial" w:hAnsi="Arial"/>
                <w:sz w:val="20"/>
                <w:szCs w:val="20"/>
                <w:color w:val="B4B4B4"/>
                <w:w w:val="89"/>
              </w:rPr>
              <w:t>. . . . . . . . . . . . . .</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97"/>
        </w:trPr>
        <w:tc>
          <w:tcPr>
            <w:tcW w:w="4700" w:type="dxa"/>
            <w:vAlign w:val="bottom"/>
          </w:tcPr>
          <w:p>
            <w:pPr>
              <w:jc w:val="center"/>
              <w:spacing w:after="0"/>
              <w:rPr>
                <w:sz w:val="20"/>
                <w:szCs w:val="20"/>
                <w:color w:val="auto"/>
              </w:rPr>
            </w:pPr>
            <w:r>
              <w:rPr>
                <w:rFonts w:ascii="Arial" w:cs="Arial" w:eastAsia="Arial" w:hAnsi="Arial"/>
                <w:sz w:val="20"/>
                <w:szCs w:val="20"/>
                <w:color w:val="auto"/>
                <w:w w:val="91"/>
              </w:rPr>
              <w:t xml:space="preserve">Commodity contracts- current </w:t>
            </w:r>
            <w:r>
              <w:rPr>
                <w:rFonts w:ascii="Arial" w:cs="Arial" w:eastAsia="Arial" w:hAnsi="Arial"/>
                <w:sz w:val="20"/>
                <w:szCs w:val="20"/>
                <w:color w:val="B4B4B4"/>
                <w:w w:val="91"/>
              </w:rPr>
              <w:t>. . . . . . . . . . . . . . . . . . . . .</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2,295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3,847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2,067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3,922</w:t>
            </w:r>
          </w:p>
        </w:tc>
        <w:tc>
          <w:tcPr>
            <w:tcW w:w="0" w:type="dxa"/>
            <w:vAlign w:val="bottom"/>
          </w:tcPr>
          <w:p>
            <w:pPr>
              <w:spacing w:after="0"/>
              <w:rPr>
                <w:sz w:val="1"/>
                <w:szCs w:val="1"/>
                <w:color w:val="auto"/>
              </w:rPr>
            </w:pPr>
          </w:p>
        </w:tc>
      </w:tr>
      <w:tr>
        <w:trPr>
          <w:trHeight w:val="297"/>
        </w:trPr>
        <w:tc>
          <w:tcPr>
            <w:tcW w:w="4700" w:type="dxa"/>
            <w:vAlign w:val="bottom"/>
          </w:tcPr>
          <w:p>
            <w:pPr>
              <w:jc w:val="center"/>
              <w:spacing w:after="0"/>
              <w:rPr>
                <w:sz w:val="20"/>
                <w:szCs w:val="20"/>
                <w:color w:val="auto"/>
              </w:rPr>
            </w:pPr>
            <w:r>
              <w:rPr>
                <w:rFonts w:ascii="Arial" w:cs="Arial" w:eastAsia="Arial" w:hAnsi="Arial"/>
                <w:sz w:val="20"/>
                <w:szCs w:val="20"/>
                <w:color w:val="auto"/>
                <w:w w:val="91"/>
              </w:rPr>
              <w:t xml:space="preserve">Commodity contracts- long-term </w:t>
            </w:r>
            <w:r>
              <w:rPr>
                <w:rFonts w:ascii="Arial" w:cs="Arial" w:eastAsia="Arial" w:hAnsi="Arial"/>
                <w:sz w:val="20"/>
                <w:szCs w:val="20"/>
                <w:color w:val="B4B4B4"/>
                <w:w w:val="91"/>
              </w:rPr>
              <w:t>. . . . . . . . . . . . . . . . . . .</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1,073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2,291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903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1,434</w:t>
            </w:r>
          </w:p>
        </w:tc>
        <w:tc>
          <w:tcPr>
            <w:tcW w:w="0" w:type="dxa"/>
            <w:vAlign w:val="bottom"/>
          </w:tcPr>
          <w:p>
            <w:pPr>
              <w:spacing w:after="0"/>
              <w:rPr>
                <w:sz w:val="1"/>
                <w:szCs w:val="1"/>
                <w:color w:val="auto"/>
              </w:rPr>
            </w:pPr>
          </w:p>
        </w:tc>
      </w:tr>
      <w:tr>
        <w:trPr>
          <w:trHeight w:val="297"/>
        </w:trPr>
        <w:tc>
          <w:tcPr>
            <w:tcW w:w="4700" w:type="dxa"/>
            <w:vAlign w:val="bottom"/>
          </w:tcPr>
          <w:p>
            <w:pPr>
              <w:jc w:val="center"/>
              <w:spacing w:after="0"/>
              <w:rPr>
                <w:sz w:val="20"/>
                <w:szCs w:val="20"/>
                <w:color w:val="auto"/>
              </w:rPr>
            </w:pPr>
            <w:r>
              <w:rPr>
                <w:rFonts w:ascii="Arial" w:cs="Arial" w:eastAsia="Arial" w:hAnsi="Arial"/>
                <w:sz w:val="20"/>
                <w:szCs w:val="20"/>
                <w:color w:val="auto"/>
                <w:w w:val="89"/>
              </w:rPr>
              <w:t xml:space="preserve">Consumer Financing Program - current </w:t>
            </w:r>
            <w:r>
              <w:rPr>
                <w:rFonts w:ascii="Arial" w:cs="Arial" w:eastAsia="Arial" w:hAnsi="Arial"/>
                <w:sz w:val="20"/>
                <w:szCs w:val="20"/>
                <w:color w:val="B4B4B4"/>
                <w:w w:val="89"/>
              </w:rPr>
              <w:t>. . . . . . . . . . . . . .</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299"/>
        </w:trPr>
        <w:tc>
          <w:tcPr>
            <w:tcW w:w="4700" w:type="dxa"/>
            <w:vAlign w:val="bottom"/>
          </w:tcPr>
          <w:p>
            <w:pPr>
              <w:jc w:val="center"/>
              <w:spacing w:after="0"/>
              <w:rPr>
                <w:sz w:val="20"/>
                <w:szCs w:val="20"/>
                <w:color w:val="auto"/>
              </w:rPr>
            </w:pPr>
            <w:r>
              <w:rPr>
                <w:rFonts w:ascii="Arial" w:cs="Arial" w:eastAsia="Arial" w:hAnsi="Arial"/>
                <w:sz w:val="20"/>
                <w:szCs w:val="20"/>
                <w:color w:val="auto"/>
                <w:w w:val="90"/>
              </w:rPr>
              <w:t xml:space="preserve">Consumer Financing Program - long-term  </w:t>
            </w:r>
            <w:r>
              <w:rPr>
                <w:rFonts w:ascii="Arial" w:cs="Arial" w:eastAsia="Arial" w:hAnsi="Arial"/>
                <w:sz w:val="20"/>
                <w:szCs w:val="20"/>
                <w:color w:val="B4B4B4"/>
                <w:w w:val="90"/>
              </w:rPr>
              <w:t>. . . . . . . . . . .</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195"/>
        </w:trPr>
        <w:tc>
          <w:tcPr>
            <w:tcW w:w="4700" w:type="dxa"/>
            <w:vAlign w:val="bottom"/>
          </w:tcPr>
          <w:p>
            <w:pPr>
              <w:spacing w:after="0" w:line="195" w:lineRule="exact"/>
              <w:rPr>
                <w:sz w:val="20"/>
                <w:szCs w:val="20"/>
                <w:color w:val="auto"/>
              </w:rPr>
            </w:pPr>
            <w:r>
              <w:rPr>
                <w:rFonts w:ascii="Arial" w:cs="Arial" w:eastAsia="Arial" w:hAnsi="Arial"/>
                <w:sz w:val="20"/>
                <w:szCs w:val="20"/>
                <w:b w:val="1"/>
                <w:bCs w:val="1"/>
                <w:color w:val="auto"/>
              </w:rPr>
              <w:t>Derivatives Not Designated as Cash Flow or Fair</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3,399</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6,155</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3,177</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5,507</w:t>
            </w:r>
          </w:p>
        </w:tc>
        <w:tc>
          <w:tcPr>
            <w:tcW w:w="0" w:type="dxa"/>
            <w:vAlign w:val="bottom"/>
          </w:tcPr>
          <w:p>
            <w:pPr>
              <w:spacing w:after="0"/>
              <w:rPr>
                <w:sz w:val="1"/>
                <w:szCs w:val="1"/>
                <w:color w:val="auto"/>
              </w:rPr>
            </w:pPr>
          </w:p>
        </w:tc>
      </w:tr>
      <w:tr>
        <w:trPr>
          <w:trHeight w:val="262"/>
        </w:trPr>
        <w:tc>
          <w:tcPr>
            <w:tcW w:w="4700" w:type="dxa"/>
            <w:vAlign w:val="bottom"/>
          </w:tcPr>
          <w:p>
            <w:pPr>
              <w:jc w:val="center"/>
              <w:ind w:left="22"/>
              <w:spacing w:after="0"/>
              <w:rPr>
                <w:sz w:val="20"/>
                <w:szCs w:val="20"/>
                <w:color w:val="auto"/>
              </w:rPr>
            </w:pPr>
            <w:r>
              <w:rPr>
                <w:rFonts w:ascii="Arial" w:cs="Arial" w:eastAsia="Arial" w:hAnsi="Arial"/>
                <w:sz w:val="20"/>
                <w:szCs w:val="20"/>
                <w:b w:val="1"/>
                <w:bCs w:val="1"/>
                <w:color w:val="auto"/>
                <w:w w:val="89"/>
              </w:rPr>
              <w:t xml:space="preserve">Value Hedges </w:t>
            </w:r>
            <w:r>
              <w:rPr>
                <w:rFonts w:ascii="Arial" w:cs="Arial" w:eastAsia="Arial" w:hAnsi="Arial"/>
                <w:sz w:val="20"/>
                <w:szCs w:val="20"/>
                <w:b w:val="1"/>
                <w:bCs w:val="1"/>
                <w:color w:val="B4B4B4"/>
                <w:w w:val="89"/>
              </w:rPr>
              <w:t>. . . . . . . . . . . . . . . . . . . . . . . . . . . . . . . . .</w:t>
            </w:r>
          </w:p>
        </w:tc>
        <w:tc>
          <w:tcPr>
            <w:tcW w:w="16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4700" w:type="dxa"/>
            <w:vAlign w:val="bottom"/>
          </w:tcPr>
          <w:p>
            <w:pPr>
              <w:jc w:val="center"/>
              <w:spacing w:after="0"/>
              <w:rPr>
                <w:sz w:val="20"/>
                <w:szCs w:val="20"/>
                <w:color w:val="auto"/>
              </w:rPr>
            </w:pPr>
            <w:r>
              <w:rPr>
                <w:rFonts w:ascii="Arial" w:cs="Arial" w:eastAsia="Arial" w:hAnsi="Arial"/>
                <w:sz w:val="20"/>
                <w:szCs w:val="20"/>
                <w:color w:val="auto"/>
                <w:w w:val="89"/>
              </w:rPr>
              <w:t xml:space="preserve">Deferred gains/losses on NPNS contracts - current </w:t>
            </w:r>
            <w:r>
              <w:rPr>
                <w:rFonts w:ascii="Arial" w:cs="Arial" w:eastAsia="Arial" w:hAnsi="Arial"/>
                <w:sz w:val="20"/>
                <w:szCs w:val="20"/>
                <w:color w:val="B4B4B4"/>
                <w:w w:val="89"/>
              </w:rPr>
              <w:t>. . . . .</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376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9"/>
        </w:trPr>
        <w:tc>
          <w:tcPr>
            <w:tcW w:w="4700" w:type="dxa"/>
            <w:vAlign w:val="bottom"/>
          </w:tcPr>
          <w:p>
            <w:pPr>
              <w:jc w:val="center"/>
              <w:spacing w:after="0"/>
              <w:rPr>
                <w:sz w:val="20"/>
                <w:szCs w:val="20"/>
                <w:color w:val="auto"/>
              </w:rPr>
            </w:pPr>
            <w:r>
              <w:rPr>
                <w:rFonts w:ascii="Arial" w:cs="Arial" w:eastAsia="Arial" w:hAnsi="Arial"/>
                <w:sz w:val="20"/>
                <w:szCs w:val="20"/>
                <w:color w:val="auto"/>
                <w:w w:val="89"/>
              </w:rPr>
              <w:t xml:space="preserve">Deferred gains/losses on NPNS contracts - long-term </w:t>
            </w:r>
            <w:r>
              <w:rPr>
                <w:rFonts w:ascii="Arial" w:cs="Arial" w:eastAsia="Arial" w:hAnsi="Arial"/>
                <w:sz w:val="20"/>
                <w:szCs w:val="20"/>
                <w:color w:val="B4B4B4"/>
                <w:w w:val="89"/>
              </w:rPr>
              <w:t>. . .</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7"/>
        </w:trPr>
        <w:tc>
          <w:tcPr>
            <w:tcW w:w="4700" w:type="dxa"/>
            <w:vAlign w:val="bottom"/>
          </w:tcPr>
          <w:p>
            <w:pPr>
              <w:spacing w:after="0" w:line="277" w:lineRule="exact"/>
              <w:rPr>
                <w:sz w:val="20"/>
                <w:szCs w:val="20"/>
                <w:color w:val="auto"/>
              </w:rPr>
            </w:pPr>
            <w:r>
              <w:rPr>
                <w:rFonts w:ascii="Arial" w:cs="Arial" w:eastAsia="Arial" w:hAnsi="Arial"/>
                <w:sz w:val="20"/>
                <w:szCs w:val="20"/>
                <w:b w:val="1"/>
                <w:bCs w:val="1"/>
                <w:color w:val="B4B4B4"/>
                <w:w w:val="93"/>
              </w:rPr>
              <w:t>. . . . . . . . . .</w:t>
            </w:r>
            <w:r>
              <w:rPr>
                <w:rFonts w:ascii="Arial" w:cs="Arial" w:eastAsia="Arial" w:hAnsi="Arial"/>
                <w:sz w:val="20"/>
                <w:szCs w:val="20"/>
                <w:b w:val="1"/>
                <w:bCs w:val="1"/>
                <w:color w:val="000000"/>
                <w:w w:val="93"/>
              </w:rPr>
              <w:t>Deferredgains/lossesonNPNScontracts</w:t>
            </w:r>
            <w:r>
              <w:rPr>
                <w:rFonts w:ascii="Arial" w:cs="Arial" w:eastAsia="Arial" w:hAnsi="Arial"/>
                <w:sz w:val="25"/>
                <w:szCs w:val="25"/>
                <w:b w:val="1"/>
                <w:bCs w:val="1"/>
                <w:color w:val="000000"/>
                <w:w w:val="93"/>
                <w:vertAlign w:val="superscript"/>
              </w:rPr>
              <w:t>(a)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997</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227</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0"/>
        </w:trPr>
        <w:tc>
          <w:tcPr>
            <w:tcW w:w="4700" w:type="dxa"/>
            <w:vAlign w:val="bottom"/>
          </w:tcPr>
          <w:p>
            <w:pPr>
              <w:spacing w:after="0" w:line="209" w:lineRule="exact"/>
              <w:rPr>
                <w:sz w:val="20"/>
                <w:szCs w:val="20"/>
                <w:color w:val="auto"/>
              </w:rPr>
            </w:pPr>
            <w:r>
              <w:rPr>
                <w:rFonts w:ascii="Arial" w:cs="Arial" w:eastAsia="Arial" w:hAnsi="Arial"/>
                <w:sz w:val="20"/>
                <w:szCs w:val="20"/>
                <w:b w:val="1"/>
                <w:bCs w:val="1"/>
                <w:color w:val="auto"/>
                <w:w w:val="91"/>
              </w:rPr>
              <w:t>Total Derivatives Not Designated as Cash Flow or Fair</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4,396</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6,155</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3,404</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5,507</w:t>
            </w:r>
          </w:p>
        </w:tc>
        <w:tc>
          <w:tcPr>
            <w:tcW w:w="0" w:type="dxa"/>
            <w:vAlign w:val="bottom"/>
          </w:tcPr>
          <w:p>
            <w:pPr>
              <w:spacing w:after="0"/>
              <w:rPr>
                <w:sz w:val="1"/>
                <w:szCs w:val="1"/>
                <w:color w:val="auto"/>
              </w:rPr>
            </w:pPr>
          </w:p>
        </w:tc>
      </w:tr>
      <w:tr>
        <w:trPr>
          <w:trHeight w:val="240"/>
        </w:trPr>
        <w:tc>
          <w:tcPr>
            <w:tcW w:w="4700" w:type="dxa"/>
            <w:vAlign w:val="bottom"/>
          </w:tcPr>
          <w:p>
            <w:pPr>
              <w:jc w:val="center"/>
              <w:ind w:left="22"/>
              <w:spacing w:after="0"/>
              <w:rPr>
                <w:sz w:val="20"/>
                <w:szCs w:val="20"/>
                <w:color w:val="auto"/>
              </w:rPr>
            </w:pPr>
            <w:r>
              <w:rPr>
                <w:rFonts w:ascii="Arial" w:cs="Arial" w:eastAsia="Arial" w:hAnsi="Arial"/>
                <w:sz w:val="20"/>
                <w:szCs w:val="20"/>
                <w:b w:val="1"/>
                <w:bCs w:val="1"/>
                <w:color w:val="auto"/>
                <w:w w:val="89"/>
              </w:rPr>
              <w:t xml:space="preserve">Value Hedges </w:t>
            </w:r>
            <w:r>
              <w:rPr>
                <w:rFonts w:ascii="Arial" w:cs="Arial" w:eastAsia="Arial" w:hAnsi="Arial"/>
                <w:sz w:val="20"/>
                <w:szCs w:val="20"/>
                <w:b w:val="1"/>
                <w:bCs w:val="1"/>
                <w:color w:val="B4B4B4"/>
                <w:w w:val="89"/>
              </w:rPr>
              <w:t>. . . . . . . . . . . . . . . . . . . . . . . . . . . . . . . . .</w:t>
            </w:r>
          </w:p>
        </w:tc>
        <w:tc>
          <w:tcPr>
            <w:tcW w:w="16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-3020060</wp:posOffset>
            </wp:positionV>
            <wp:extent cx="6466205" cy="30270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4">
                      <a:extLst>
                        <a:ext uri="{28A0092B-C50C-407E-A947-70E740481C1C}"/>
                      </a:extLst>
                    </a:blip>
                    <a:srcRect/>
                    <a:stretch>
                      <a:fillRect/>
                    </a:stretch>
                  </pic:blipFill>
                  <pic:spPr bwMode="auto">
                    <a:xfrm>
                      <a:off x="0" y="0"/>
                      <a:ext cx="6466205" cy="3027045"/>
                    </a:xfrm>
                    <a:prstGeom prst="rect">
                      <a:avLst/>
                    </a:prstGeom>
                    <a:noFill/>
                  </pic:spPr>
                </pic:pic>
              </a:graphicData>
            </a:graphic>
          </wp:anchor>
        </w:drawing>
      </w:r>
    </w:p>
    <w:p>
      <w:pPr>
        <w:ind w:left="440" w:hanging="439"/>
        <w:spacing w:after="0" w:line="278" w:lineRule="auto"/>
        <w:tabs>
          <w:tab w:leader="none" w:pos="4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Balances related to certain derivative contracts that were previously accounted for as derivative contracts following the election of the NPNS exemption and the discontinuance of derivative accounting treatment as of the election date</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ectPr>
          <w:pgSz w:w="11880" w:h="15480" w:orient="portrait"/>
          <w:cols w:equalWidth="0" w:num="1">
            <w:col w:w="10160"/>
          </w:cols>
          <w:pgMar w:left="860" w:top="505" w:right="860" w:bottom="0" w:gutter="0" w:footer="0" w:header="0"/>
          <w:type w:val="continuous"/>
        </w:sectPr>
      </w:pPr>
    </w:p>
    <w:bookmarkStart w:id="122" w:name="page123"/>
    <w:bookmarkEnd w:id="122"/>
    <w:p>
      <w:pPr>
        <w:jc w:val="both"/>
        <w:ind w:firstLine="445"/>
        <w:spacing w:after="0" w:line="275" w:lineRule="auto"/>
        <w:rPr>
          <w:sz w:val="20"/>
          <w:szCs w:val="20"/>
          <w:color w:val="auto"/>
        </w:rPr>
      </w:pPr>
      <w:r>
        <w:rPr>
          <w:rFonts w:ascii="Arial" w:cs="Arial" w:eastAsia="Arial" w:hAnsi="Arial"/>
          <w:sz w:val="19"/>
          <w:szCs w:val="19"/>
          <w:color w:val="auto"/>
        </w:rPr>
        <w:t>The Company has elected to present derivative assets and liabilities on the balance sheet on a trade-by-trade basis and does not offset amounts at the counterparty master agreement level. In addition, collateral received or paid on the Company's derivative assets or liabilities are recorded on a separate line item on the balance sheet. The following table summarizes the offsetting derivatives by counterparty master agreement level and collateral received or paid:</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4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Gross Amounts Not Offset in the Statement of Financial Position</w:t>
            </w:r>
          </w:p>
        </w:tc>
        <w:tc>
          <w:tcPr>
            <w:tcW w:w="12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86"/>
              <w:spacing w:after="0"/>
              <w:rPr>
                <w:sz w:val="20"/>
                <w:szCs w:val="20"/>
                <w:color w:val="auto"/>
              </w:rPr>
            </w:pPr>
            <w:r>
              <w:rPr>
                <w:rFonts w:ascii="Arial" w:cs="Arial" w:eastAsia="Arial" w:hAnsi="Arial"/>
                <w:sz w:val="16"/>
                <w:szCs w:val="16"/>
                <w:b w:val="1"/>
                <w:bCs w:val="1"/>
                <w:color w:val="auto"/>
                <w:w w:val="87"/>
              </w:rPr>
              <w:t>Gross Amounts of</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1"/>
              </w:rPr>
              <w:t>Derivative</w:t>
            </w:r>
          </w:p>
        </w:tc>
        <w:tc>
          <w:tcPr>
            <w:tcW w:w="220" w:type="dxa"/>
            <w:vAlign w:val="bottom"/>
          </w:tcPr>
          <w:p>
            <w:pPr>
              <w:spacing w:after="0"/>
              <w:rPr>
                <w:sz w:val="16"/>
                <w:szCs w:val="16"/>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0"/>
              </w:rPr>
              <w:t>Cash Collateral</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88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jc w:val="center"/>
              <w:ind w:right="106"/>
              <w:spacing w:after="0" w:line="158" w:lineRule="exact"/>
              <w:rPr>
                <w:sz w:val="20"/>
                <w:szCs w:val="20"/>
                <w:color w:val="auto"/>
              </w:rPr>
            </w:pPr>
            <w:r>
              <w:rPr>
                <w:rFonts w:ascii="Arial" w:cs="Arial" w:eastAsia="Arial" w:hAnsi="Arial"/>
                <w:sz w:val="16"/>
                <w:szCs w:val="16"/>
                <w:b w:val="1"/>
                <w:bCs w:val="1"/>
                <w:color w:val="auto"/>
                <w:w w:val="84"/>
              </w:rPr>
              <w:t>Recognized Assets/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vMerge w:val="restart"/>
          </w:tcPr>
          <w:p>
            <w:pPr>
              <w:jc w:val="right"/>
              <w:ind w:right="303"/>
              <w:spacing w:after="0"/>
              <w:rPr>
                <w:sz w:val="20"/>
                <w:szCs w:val="20"/>
                <w:color w:val="auto"/>
              </w:rPr>
            </w:pPr>
            <w:r>
              <w:rPr>
                <w:rFonts w:ascii="Arial" w:cs="Arial" w:eastAsia="Arial" w:hAnsi="Arial"/>
                <w:sz w:val="16"/>
                <w:szCs w:val="16"/>
                <w:b w:val="1"/>
                <w:bCs w:val="1"/>
                <w:color w:val="auto"/>
                <w:w w:val="90"/>
              </w:rPr>
              <w:t>Net 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8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center"/>
              <w:ind w:right="106"/>
              <w:spacing w:after="0"/>
              <w:rPr>
                <w:sz w:val="20"/>
                <w:szCs w:val="20"/>
                <w:color w:val="auto"/>
              </w:rPr>
            </w:pPr>
            <w:r>
              <w:rPr>
                <w:rFonts w:ascii="Arial" w:cs="Arial" w:eastAsia="Arial" w:hAnsi="Arial"/>
                <w:sz w:val="16"/>
                <w:szCs w:val="16"/>
                <w:b w:val="1"/>
                <w:bCs w:val="1"/>
                <w:color w:val="auto"/>
                <w:w w:val="92"/>
              </w:rPr>
              <w:t>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Instruments</w:t>
            </w:r>
          </w:p>
        </w:tc>
        <w:tc>
          <w:tcPr>
            <w:tcW w:w="22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(Held)/Posted</w:t>
            </w:r>
          </w:p>
        </w:tc>
        <w:tc>
          <w:tcPr>
            <w:tcW w:w="4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880" w:type="dxa"/>
            <w:vAlign w:val="bottom"/>
          </w:tcPr>
          <w:p>
            <w:pPr>
              <w:spacing w:after="0"/>
              <w:rPr>
                <w:sz w:val="20"/>
                <w:szCs w:val="20"/>
                <w:color w:val="auto"/>
              </w:rPr>
            </w:pPr>
            <w:r>
              <w:rPr>
                <w:rFonts w:ascii="Arial" w:cs="Arial" w:eastAsia="Arial" w:hAnsi="Arial"/>
                <w:sz w:val="20"/>
                <w:szCs w:val="20"/>
                <w:b w:val="1"/>
                <w:bCs w:val="1"/>
                <w:color w:val="auto"/>
              </w:rPr>
              <w:t>As of December 31, 2024</w:t>
            </w:r>
          </w:p>
        </w:tc>
        <w:tc>
          <w:tcPr>
            <w:tcW w:w="3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880" w:type="dxa"/>
            <w:vAlign w:val="bottom"/>
          </w:tcPr>
          <w:p>
            <w:pPr>
              <w:spacing w:after="0"/>
              <w:rPr>
                <w:sz w:val="20"/>
                <w:szCs w:val="20"/>
                <w:color w:val="auto"/>
              </w:rPr>
            </w:pPr>
            <w:r>
              <w:rPr>
                <w:rFonts w:ascii="Arial" w:cs="Arial" w:eastAsia="Arial" w:hAnsi="Arial"/>
                <w:sz w:val="20"/>
                <w:szCs w:val="20"/>
                <w:b w:val="1"/>
                <w:bCs w:val="1"/>
                <w:color w:val="auto"/>
              </w:rPr>
              <w:t>Interest rate contracts: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80" w:type="dxa"/>
            <w:vAlign w:val="bottom"/>
          </w:tcPr>
          <w:p>
            <w:pPr>
              <w:ind w:left="220"/>
              <w:spacing w:after="0"/>
              <w:rPr>
                <w:sz w:val="20"/>
                <w:szCs w:val="20"/>
                <w:color w:val="auto"/>
              </w:rPr>
            </w:pPr>
            <w:r>
              <w:rPr>
                <w:rFonts w:ascii="Arial" w:cs="Arial" w:eastAsia="Arial" w:hAnsi="Arial"/>
                <w:sz w:val="20"/>
                <w:szCs w:val="20"/>
                <w:color w:val="auto"/>
                <w:w w:val="90"/>
              </w:rPr>
              <w:t xml:space="preserve">Derivative assets  </w:t>
            </w:r>
            <w:r>
              <w:rPr>
                <w:rFonts w:ascii="Arial" w:cs="Arial" w:eastAsia="Arial" w:hAnsi="Arial"/>
                <w:sz w:val="20"/>
                <w:szCs w:val="20"/>
                <w:color w:val="B4B4B4"/>
                <w:w w:val="90"/>
              </w:rPr>
              <w:t>. . . . . . . . . . . .</w:t>
            </w:r>
          </w:p>
        </w:tc>
        <w:tc>
          <w:tcPr>
            <w:tcW w:w="500" w:type="dxa"/>
            <w:vAlign w:val="bottom"/>
            <w:gridSpan w:val="2"/>
          </w:tcPr>
          <w:p>
            <w:pPr>
              <w:spacing w:after="0"/>
              <w:rPr>
                <w:sz w:val="20"/>
                <w:szCs w:val="20"/>
                <w:color w:val="auto"/>
              </w:rPr>
            </w:pPr>
            <w:r>
              <w:rPr>
                <w:rFonts w:ascii="Arial" w:cs="Arial" w:eastAsia="Arial" w:hAnsi="Arial"/>
                <w:sz w:val="20"/>
                <w:szCs w:val="20"/>
                <w:color w:val="B4B4B4"/>
              </w:rPr>
              <w:t xml:space="preserve">. . . </w:t>
            </w:r>
            <w:r>
              <w:rPr>
                <w:rFonts w:ascii="Arial" w:cs="Arial" w:eastAsia="Arial" w:hAnsi="Arial"/>
                <w:sz w:val="20"/>
                <w:szCs w:val="20"/>
                <w:color w:val="000000"/>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9</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880" w:type="dxa"/>
            <w:vAlign w:val="bottom"/>
          </w:tcPr>
          <w:p>
            <w:pPr>
              <w:ind w:left="220"/>
              <w:spacing w:after="0"/>
              <w:rPr>
                <w:sz w:val="20"/>
                <w:szCs w:val="20"/>
                <w:color w:val="auto"/>
              </w:rPr>
            </w:pPr>
            <w:r>
              <w:rPr>
                <w:rFonts w:ascii="Arial" w:cs="Arial" w:eastAsia="Arial" w:hAnsi="Arial"/>
                <w:sz w:val="20"/>
                <w:szCs w:val="20"/>
                <w:color w:val="auto"/>
                <w:w w:val="93"/>
              </w:rPr>
              <w:t xml:space="preserve">Derivative liabilities </w:t>
            </w:r>
            <w:r>
              <w:rPr>
                <w:rFonts w:ascii="Arial" w:cs="Arial" w:eastAsia="Arial" w:hAnsi="Arial"/>
                <w:sz w:val="20"/>
                <w:szCs w:val="20"/>
                <w:color w:val="B4B4B4"/>
                <w:w w:val="93"/>
              </w:rPr>
              <w:t>. . . . . . . . . .</w:t>
            </w:r>
          </w:p>
        </w:tc>
        <w:tc>
          <w:tcPr>
            <w:tcW w:w="340" w:type="dxa"/>
            <w:vAlign w:val="bottom"/>
          </w:tcPr>
          <w:p>
            <w:pPr>
              <w:ind w:left="20"/>
              <w:spacing w:after="0"/>
              <w:rPr>
                <w:sz w:val="20"/>
                <w:szCs w:val="20"/>
                <w:color w:val="auto"/>
              </w:rPr>
            </w:pPr>
            <w:r>
              <w:rPr>
                <w:rFonts w:ascii="Arial" w:cs="Arial" w:eastAsia="Arial" w:hAnsi="Arial"/>
                <w:sz w:val="20"/>
                <w:szCs w:val="20"/>
                <w:color w:val="B4B4B4"/>
              </w:rPr>
              <w:t>. . .</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80" w:type="dxa"/>
            <w:vAlign w:val="bottom"/>
          </w:tcPr>
          <w:p>
            <w:pPr>
              <w:spacing w:after="0"/>
              <w:rPr>
                <w:sz w:val="20"/>
                <w:szCs w:val="20"/>
                <w:color w:val="auto"/>
              </w:rPr>
            </w:pPr>
            <w:r>
              <w:rPr>
                <w:rFonts w:ascii="Arial" w:cs="Arial" w:eastAsia="Arial" w:hAnsi="Arial"/>
                <w:sz w:val="20"/>
                <w:szCs w:val="20"/>
                <w:b w:val="1"/>
                <w:bCs w:val="1"/>
                <w:color w:val="B4B4B4"/>
              </w:rPr>
              <w:t>.</w:t>
            </w:r>
            <w:r>
              <w:rPr>
                <w:rFonts w:ascii="Arial" w:cs="Arial" w:eastAsia="Arial" w:hAnsi="Arial"/>
                <w:sz w:val="20"/>
                <w:szCs w:val="20"/>
                <w:b w:val="1"/>
                <w:bCs w:val="1"/>
                <w:color w:val="000000"/>
              </w:rPr>
              <w:t>Totalinterestratecontracts</w:t>
            </w:r>
            <w:r>
              <w:rPr>
                <w:rFonts w:ascii="Arial" w:cs="Arial" w:eastAsia="Arial" w:hAnsi="Arial"/>
                <w:sz w:val="20"/>
                <w:szCs w:val="20"/>
                <w:b w:val="1"/>
                <w:bCs w:val="1"/>
                <w:color w:val="B4B4B4"/>
              </w:rPr>
              <w:t>...</w:t>
            </w:r>
          </w:p>
        </w:tc>
        <w:tc>
          <w:tcPr>
            <w:tcW w:w="340" w:type="dxa"/>
            <w:vAlign w:val="bottom"/>
          </w:tcPr>
          <w:p>
            <w:pPr>
              <w:spacing w:after="0"/>
              <w:rPr>
                <w:sz w:val="20"/>
                <w:szCs w:val="20"/>
                <w:color w:val="auto"/>
              </w:rPr>
            </w:pPr>
            <w:r>
              <w:rPr>
                <w:rFonts w:ascii="Arial" w:cs="Arial" w:eastAsia="Arial" w:hAnsi="Arial"/>
                <w:sz w:val="20"/>
                <w:szCs w:val="20"/>
                <w:b w:val="1"/>
                <w:bCs w:val="1"/>
                <w:color w:val="B4B4B4"/>
              </w:rPr>
              <w:t>. . .</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880" w:type="dxa"/>
            <w:vAlign w:val="bottom"/>
          </w:tcPr>
          <w:p>
            <w:pPr>
              <w:spacing w:after="0"/>
              <w:rPr>
                <w:sz w:val="20"/>
                <w:szCs w:val="20"/>
                <w:color w:val="auto"/>
              </w:rPr>
            </w:pPr>
            <w:r>
              <w:rPr>
                <w:rFonts w:ascii="Arial" w:cs="Arial" w:eastAsia="Arial" w:hAnsi="Arial"/>
                <w:sz w:val="20"/>
                <w:szCs w:val="20"/>
                <w:b w:val="1"/>
                <w:bCs w:val="1"/>
                <w:color w:val="auto"/>
              </w:rPr>
              <w:t>Foreign exchange contracts:</w:t>
            </w:r>
          </w:p>
        </w:tc>
        <w:tc>
          <w:tcPr>
            <w:tcW w:w="3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880" w:type="dxa"/>
            <w:vAlign w:val="bottom"/>
          </w:tcPr>
          <w:p>
            <w:pPr>
              <w:ind w:left="220"/>
              <w:spacing w:after="0"/>
              <w:rPr>
                <w:sz w:val="20"/>
                <w:szCs w:val="20"/>
                <w:color w:val="auto"/>
              </w:rPr>
            </w:pPr>
            <w:r>
              <w:rPr>
                <w:rFonts w:ascii="Arial" w:cs="Arial" w:eastAsia="Arial" w:hAnsi="Arial"/>
                <w:sz w:val="20"/>
                <w:szCs w:val="20"/>
                <w:color w:val="auto"/>
                <w:w w:val="90"/>
              </w:rPr>
              <w:t xml:space="preserve">Derivative assets  </w:t>
            </w:r>
            <w:r>
              <w:rPr>
                <w:rFonts w:ascii="Arial" w:cs="Arial" w:eastAsia="Arial" w:hAnsi="Arial"/>
                <w:sz w:val="20"/>
                <w:szCs w:val="20"/>
                <w:color w:val="B4B4B4"/>
                <w:w w:val="90"/>
              </w:rPr>
              <w:t>. . . . . . . . . . . .</w:t>
            </w:r>
          </w:p>
        </w:tc>
        <w:tc>
          <w:tcPr>
            <w:tcW w:w="500" w:type="dxa"/>
            <w:vAlign w:val="bottom"/>
            <w:gridSpan w:val="2"/>
          </w:tcPr>
          <w:p>
            <w:pPr>
              <w:spacing w:after="0"/>
              <w:rPr>
                <w:sz w:val="20"/>
                <w:szCs w:val="20"/>
                <w:color w:val="auto"/>
              </w:rPr>
            </w:pPr>
            <w:r>
              <w:rPr>
                <w:rFonts w:ascii="Arial" w:cs="Arial" w:eastAsia="Arial" w:hAnsi="Arial"/>
                <w:sz w:val="20"/>
                <w:szCs w:val="20"/>
                <w:color w:val="B4B4B4"/>
              </w:rPr>
              <w:t xml:space="preserve">. . . </w:t>
            </w:r>
            <w:r>
              <w:rPr>
                <w:rFonts w:ascii="Arial" w:cs="Arial" w:eastAsia="Arial" w:hAnsi="Arial"/>
                <w:sz w:val="20"/>
                <w:szCs w:val="20"/>
                <w:color w:val="000000"/>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22</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880" w:type="dxa"/>
            <w:vAlign w:val="bottom"/>
          </w:tcPr>
          <w:p>
            <w:pPr>
              <w:ind w:left="220"/>
              <w:spacing w:after="0"/>
              <w:rPr>
                <w:sz w:val="20"/>
                <w:szCs w:val="20"/>
                <w:color w:val="auto"/>
              </w:rPr>
            </w:pPr>
            <w:r>
              <w:rPr>
                <w:rFonts w:ascii="Arial" w:cs="Arial" w:eastAsia="Arial" w:hAnsi="Arial"/>
                <w:sz w:val="20"/>
                <w:szCs w:val="20"/>
                <w:color w:val="auto"/>
                <w:w w:val="93"/>
              </w:rPr>
              <w:t xml:space="preserve">Derivative liabilities </w:t>
            </w:r>
            <w:r>
              <w:rPr>
                <w:rFonts w:ascii="Arial" w:cs="Arial" w:eastAsia="Arial" w:hAnsi="Arial"/>
                <w:sz w:val="20"/>
                <w:szCs w:val="20"/>
                <w:color w:val="B4B4B4"/>
                <w:w w:val="93"/>
              </w:rPr>
              <w:t>. . . . . . . . . .</w:t>
            </w:r>
          </w:p>
        </w:tc>
        <w:tc>
          <w:tcPr>
            <w:tcW w:w="340" w:type="dxa"/>
            <w:vAlign w:val="bottom"/>
          </w:tcPr>
          <w:p>
            <w:pPr>
              <w:ind w:left="20"/>
              <w:spacing w:after="0"/>
              <w:rPr>
                <w:sz w:val="20"/>
                <w:szCs w:val="20"/>
                <w:color w:val="auto"/>
              </w:rPr>
            </w:pPr>
            <w:r>
              <w:rPr>
                <w:rFonts w:ascii="Arial" w:cs="Arial" w:eastAsia="Arial" w:hAnsi="Arial"/>
                <w:sz w:val="20"/>
                <w:szCs w:val="20"/>
                <w:color w:val="B4B4B4"/>
              </w:rPr>
              <w:t>. . .</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80" w:type="dxa"/>
            <w:vAlign w:val="bottom"/>
          </w:tcPr>
          <w:p>
            <w:pPr>
              <w:spacing w:after="0"/>
              <w:rPr>
                <w:sz w:val="20"/>
                <w:szCs w:val="20"/>
                <w:color w:val="auto"/>
              </w:rPr>
            </w:pPr>
            <w:r>
              <w:rPr>
                <w:rFonts w:ascii="Arial" w:cs="Arial" w:eastAsia="Arial" w:hAnsi="Arial"/>
                <w:sz w:val="20"/>
                <w:szCs w:val="20"/>
                <w:b w:val="1"/>
                <w:bCs w:val="1"/>
                <w:color w:val="auto"/>
                <w:w w:val="90"/>
              </w:rPr>
              <w:t>Total foreign exchange contracts</w:t>
            </w:r>
          </w:p>
        </w:tc>
        <w:tc>
          <w:tcPr>
            <w:tcW w:w="500" w:type="dxa"/>
            <w:vAlign w:val="bottom"/>
            <w:gridSpan w:val="2"/>
          </w:tcPr>
          <w:p>
            <w:pPr>
              <w:spacing w:after="0"/>
              <w:rPr>
                <w:sz w:val="20"/>
                <w:szCs w:val="20"/>
                <w:color w:val="auto"/>
              </w:rPr>
            </w:pPr>
            <w:r>
              <w:rPr>
                <w:rFonts w:ascii="Arial" w:cs="Arial" w:eastAsia="Arial" w:hAnsi="Arial"/>
                <w:sz w:val="20"/>
                <w:szCs w:val="20"/>
                <w:b w:val="1"/>
                <w:bCs w:val="1"/>
                <w:color w:val="B4B4B4"/>
              </w:rPr>
              <w:t xml:space="preserve">. . . </w:t>
            </w:r>
            <w:r>
              <w:rPr>
                <w:rFonts w:ascii="Arial" w:cs="Arial" w:eastAsia="Arial" w:hAnsi="Arial"/>
                <w:sz w:val="20"/>
                <w:szCs w:val="20"/>
                <w:color w:val="000000"/>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21</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880" w:type="dxa"/>
            <w:vAlign w:val="bottom"/>
          </w:tcPr>
          <w:p>
            <w:pPr>
              <w:spacing w:after="0"/>
              <w:rPr>
                <w:sz w:val="20"/>
                <w:szCs w:val="20"/>
                <w:color w:val="auto"/>
              </w:rPr>
            </w:pPr>
            <w:r>
              <w:rPr>
                <w:rFonts w:ascii="Arial" w:cs="Arial" w:eastAsia="Arial" w:hAnsi="Arial"/>
                <w:sz w:val="20"/>
                <w:szCs w:val="20"/>
                <w:b w:val="1"/>
                <w:bCs w:val="1"/>
                <w:color w:val="auto"/>
              </w:rPr>
              <w:t>Commodity contracts:</w:t>
            </w:r>
          </w:p>
        </w:tc>
        <w:tc>
          <w:tcPr>
            <w:tcW w:w="3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880" w:type="dxa"/>
            <w:vAlign w:val="bottom"/>
          </w:tcPr>
          <w:p>
            <w:pPr>
              <w:ind w:left="220"/>
              <w:spacing w:after="0"/>
              <w:rPr>
                <w:sz w:val="20"/>
                <w:szCs w:val="20"/>
                <w:color w:val="auto"/>
              </w:rPr>
            </w:pPr>
            <w:r>
              <w:rPr>
                <w:rFonts w:ascii="Arial" w:cs="Arial" w:eastAsia="Arial" w:hAnsi="Arial"/>
                <w:sz w:val="20"/>
                <w:szCs w:val="20"/>
                <w:color w:val="auto"/>
                <w:w w:val="90"/>
              </w:rPr>
              <w:t xml:space="preserve">Derivative assets  </w:t>
            </w:r>
            <w:r>
              <w:rPr>
                <w:rFonts w:ascii="Arial" w:cs="Arial" w:eastAsia="Arial" w:hAnsi="Arial"/>
                <w:sz w:val="20"/>
                <w:szCs w:val="20"/>
                <w:color w:val="B4B4B4"/>
                <w:w w:val="90"/>
              </w:rPr>
              <w:t>. . . . . . . . . . . .</w:t>
            </w:r>
          </w:p>
        </w:tc>
        <w:tc>
          <w:tcPr>
            <w:tcW w:w="500" w:type="dxa"/>
            <w:vAlign w:val="bottom"/>
            <w:gridSpan w:val="2"/>
          </w:tcPr>
          <w:p>
            <w:pPr>
              <w:spacing w:after="0"/>
              <w:rPr>
                <w:sz w:val="20"/>
                <w:szCs w:val="20"/>
                <w:color w:val="auto"/>
              </w:rPr>
            </w:pPr>
            <w:r>
              <w:rPr>
                <w:rFonts w:ascii="Arial" w:cs="Arial" w:eastAsia="Arial" w:hAnsi="Arial"/>
                <w:sz w:val="20"/>
                <w:szCs w:val="20"/>
                <w:color w:val="B4B4B4"/>
              </w:rPr>
              <w:t xml:space="preserve">. . . </w:t>
            </w:r>
            <w:r>
              <w:rPr>
                <w:rFonts w:ascii="Arial" w:cs="Arial" w:eastAsia="Arial" w:hAnsi="Arial"/>
                <w:sz w:val="20"/>
                <w:szCs w:val="20"/>
                <w:color w:val="000000"/>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4,365</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(2,992)</w:t>
            </w: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(168)</w:t>
            </w:r>
          </w:p>
        </w:tc>
        <w:tc>
          <w:tcPr>
            <w:tcW w:w="80" w:type="dxa"/>
            <w:vAlign w:val="bottom"/>
          </w:tcPr>
          <w:p>
            <w:pPr>
              <w:spacing w:after="0"/>
              <w:rPr>
                <w:sz w:val="24"/>
                <w:szCs w:val="24"/>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1,205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880" w:type="dxa"/>
            <w:vAlign w:val="bottom"/>
          </w:tcPr>
          <w:p>
            <w:pPr>
              <w:ind w:left="220"/>
              <w:spacing w:after="0"/>
              <w:rPr>
                <w:sz w:val="20"/>
                <w:szCs w:val="20"/>
                <w:color w:val="auto"/>
              </w:rPr>
            </w:pPr>
            <w:r>
              <w:rPr>
                <w:rFonts w:ascii="Arial" w:cs="Arial" w:eastAsia="Arial" w:hAnsi="Arial"/>
                <w:sz w:val="20"/>
                <w:szCs w:val="20"/>
                <w:color w:val="auto"/>
                <w:w w:val="93"/>
              </w:rPr>
              <w:t xml:space="preserve">Derivative liabilities </w:t>
            </w:r>
            <w:r>
              <w:rPr>
                <w:rFonts w:ascii="Arial" w:cs="Arial" w:eastAsia="Arial" w:hAnsi="Arial"/>
                <w:sz w:val="20"/>
                <w:szCs w:val="20"/>
                <w:color w:val="B4B4B4"/>
                <w:w w:val="93"/>
              </w:rPr>
              <w:t>. . . . . . . . . .</w:t>
            </w:r>
          </w:p>
        </w:tc>
        <w:tc>
          <w:tcPr>
            <w:tcW w:w="340" w:type="dxa"/>
            <w:vAlign w:val="bottom"/>
          </w:tcPr>
          <w:p>
            <w:pPr>
              <w:ind w:left="20"/>
              <w:spacing w:after="0"/>
              <w:rPr>
                <w:sz w:val="20"/>
                <w:szCs w:val="20"/>
                <w:color w:val="auto"/>
              </w:rPr>
            </w:pPr>
            <w:r>
              <w:rPr>
                <w:rFonts w:ascii="Arial" w:cs="Arial" w:eastAsia="Arial" w:hAnsi="Arial"/>
                <w:sz w:val="20"/>
                <w:szCs w:val="20"/>
                <w:color w:val="B4B4B4"/>
              </w:rPr>
              <w:t>. . .</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(3,197)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2,992</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880" w:type="dxa"/>
            <w:vAlign w:val="bottom"/>
          </w:tcPr>
          <w:p>
            <w:pPr>
              <w:spacing w:after="0"/>
              <w:rPr>
                <w:sz w:val="20"/>
                <w:szCs w:val="20"/>
                <w:color w:val="auto"/>
              </w:rPr>
            </w:pPr>
            <w:r>
              <w:rPr>
                <w:rFonts w:ascii="Arial" w:cs="Arial" w:eastAsia="Arial" w:hAnsi="Arial"/>
                <w:sz w:val="20"/>
                <w:szCs w:val="20"/>
                <w:b w:val="1"/>
                <w:bCs w:val="1"/>
                <w:color w:val="B4B4B4"/>
              </w:rPr>
              <w:t>.</w:t>
            </w:r>
            <w:r>
              <w:rPr>
                <w:rFonts w:ascii="Arial" w:cs="Arial" w:eastAsia="Arial" w:hAnsi="Arial"/>
                <w:sz w:val="20"/>
                <w:szCs w:val="20"/>
                <w:b w:val="1"/>
                <w:bCs w:val="1"/>
                <w:color w:val="000000"/>
              </w:rPr>
              <w:t>Totalcommoditycontracts</w:t>
            </w:r>
            <w:r>
              <w:rPr>
                <w:rFonts w:ascii="Arial" w:cs="Arial" w:eastAsia="Arial" w:hAnsi="Arial"/>
                <w:sz w:val="20"/>
                <w:szCs w:val="20"/>
                <w:b w:val="1"/>
                <w:bCs w:val="1"/>
                <w:color w:val="B4B4B4"/>
              </w:rPr>
              <w:t>....</w:t>
            </w:r>
          </w:p>
        </w:tc>
        <w:tc>
          <w:tcPr>
            <w:tcW w:w="500" w:type="dxa"/>
            <w:vAlign w:val="bottom"/>
            <w:gridSpan w:val="2"/>
          </w:tcPr>
          <w:p>
            <w:pPr>
              <w:spacing w:after="0"/>
              <w:rPr>
                <w:sz w:val="20"/>
                <w:szCs w:val="20"/>
                <w:color w:val="auto"/>
              </w:rPr>
            </w:pPr>
            <w:r>
              <w:rPr>
                <w:rFonts w:ascii="Arial" w:cs="Arial" w:eastAsia="Arial" w:hAnsi="Arial"/>
                <w:sz w:val="20"/>
                <w:szCs w:val="20"/>
                <w:b w:val="1"/>
                <w:bCs w:val="1"/>
                <w:color w:val="B4B4B4"/>
              </w:rPr>
              <w:t xml:space="preserve">. . . </w:t>
            </w:r>
            <w:r>
              <w:rPr>
                <w:rFonts w:ascii="Arial" w:cs="Arial" w:eastAsia="Arial" w:hAnsi="Arial"/>
                <w:sz w:val="20"/>
                <w:szCs w:val="20"/>
                <w:color w:val="000000"/>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1,168</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(107)</w:t>
            </w:r>
          </w:p>
        </w:tc>
        <w:tc>
          <w:tcPr>
            <w:tcW w:w="80" w:type="dxa"/>
            <w:vAlign w:val="bottom"/>
          </w:tcPr>
          <w:p>
            <w:pPr>
              <w:spacing w:after="0"/>
              <w:rPr>
                <w:sz w:val="23"/>
                <w:szCs w:val="23"/>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1,061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2880" w:type="dxa"/>
            <w:vAlign w:val="bottom"/>
          </w:tcPr>
          <w:p>
            <w:pPr>
              <w:spacing w:after="0"/>
              <w:rPr>
                <w:sz w:val="20"/>
                <w:szCs w:val="20"/>
                <w:color w:val="auto"/>
              </w:rPr>
            </w:pPr>
            <w:r>
              <w:rPr>
                <w:rFonts w:ascii="Arial" w:cs="Arial" w:eastAsia="Arial" w:hAnsi="Arial"/>
                <w:sz w:val="20"/>
                <w:szCs w:val="20"/>
                <w:b w:val="1"/>
                <w:bCs w:val="1"/>
                <w:color w:val="auto"/>
                <w:w w:val="97"/>
              </w:rPr>
              <w:t>Consumer Financing Program:</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880" w:type="dxa"/>
            <w:vAlign w:val="bottom"/>
          </w:tcPr>
          <w:p>
            <w:pPr>
              <w:ind w:left="220"/>
              <w:spacing w:after="0"/>
              <w:rPr>
                <w:sz w:val="20"/>
                <w:szCs w:val="20"/>
                <w:color w:val="auto"/>
              </w:rPr>
            </w:pPr>
            <w:r>
              <w:rPr>
                <w:rFonts w:ascii="Arial" w:cs="Arial" w:eastAsia="Arial" w:hAnsi="Arial"/>
                <w:sz w:val="20"/>
                <w:szCs w:val="20"/>
                <w:color w:val="auto"/>
                <w:w w:val="93"/>
              </w:rPr>
              <w:t xml:space="preserve">Derivative liabilities </w:t>
            </w:r>
            <w:r>
              <w:rPr>
                <w:rFonts w:ascii="Arial" w:cs="Arial" w:eastAsia="Arial" w:hAnsi="Arial"/>
                <w:sz w:val="20"/>
                <w:szCs w:val="20"/>
                <w:color w:val="B4B4B4"/>
                <w:w w:val="93"/>
              </w:rPr>
              <w:t>. . . . . . . . . .</w:t>
            </w:r>
          </w:p>
        </w:tc>
        <w:tc>
          <w:tcPr>
            <w:tcW w:w="500" w:type="dxa"/>
            <w:vAlign w:val="bottom"/>
            <w:gridSpan w:val="2"/>
          </w:tcPr>
          <w:p>
            <w:pPr>
              <w:ind w:left="20"/>
              <w:spacing w:after="0"/>
              <w:rPr>
                <w:sz w:val="20"/>
                <w:szCs w:val="20"/>
                <w:color w:val="auto"/>
              </w:rPr>
            </w:pPr>
            <w:r>
              <w:rPr>
                <w:rFonts w:ascii="Arial" w:cs="Arial" w:eastAsia="Arial" w:hAnsi="Arial"/>
                <w:sz w:val="20"/>
                <w:szCs w:val="20"/>
                <w:color w:val="B4B4B4"/>
              </w:rPr>
              <w:t xml:space="preserve">. . . </w:t>
            </w:r>
            <w:r>
              <w:rPr>
                <w:rFonts w:ascii="Arial" w:cs="Arial" w:eastAsia="Arial" w:hAnsi="Arial"/>
                <w:sz w:val="20"/>
                <w:szCs w:val="20"/>
                <w:color w:val="000000"/>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(203)</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880" w:type="dxa"/>
            <w:vAlign w:val="bottom"/>
            <w:vMerge w:val="restart"/>
          </w:tcPr>
          <w:p>
            <w:pPr>
              <w:spacing w:after="0"/>
              <w:rPr>
                <w:sz w:val="20"/>
                <w:szCs w:val="20"/>
                <w:color w:val="auto"/>
              </w:rPr>
            </w:pPr>
            <w:r>
              <w:rPr>
                <w:rFonts w:ascii="Arial" w:cs="Arial" w:eastAsia="Arial" w:hAnsi="Arial"/>
                <w:sz w:val="20"/>
                <w:szCs w:val="20"/>
                <w:b w:val="1"/>
                <w:bCs w:val="1"/>
                <w:color w:val="auto"/>
                <w:w w:val="95"/>
              </w:rPr>
              <w:t xml:space="preserve">Total derivative instruments </w:t>
            </w:r>
            <w:r>
              <w:rPr>
                <w:rFonts w:ascii="Arial" w:cs="Arial" w:eastAsia="Arial" w:hAnsi="Arial"/>
                <w:sz w:val="20"/>
                <w:szCs w:val="20"/>
                <w:b w:val="1"/>
                <w:bCs w:val="1"/>
                <w:color w:val="B4B4B4"/>
                <w:w w:val="95"/>
              </w:rPr>
              <w:t>. . .</w:t>
            </w:r>
          </w:p>
        </w:tc>
        <w:tc>
          <w:tcPr>
            <w:tcW w:w="3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880" w:type="dxa"/>
            <w:vAlign w:val="bottom"/>
            <w:vMerge w:val="continue"/>
          </w:tcPr>
          <w:p>
            <w:pPr>
              <w:ind w:left="2800"/>
              <w:spacing w:after="0" w:line="215" w:lineRule="exact"/>
              <w:rPr>
                <w:sz w:val="20"/>
                <w:szCs w:val="20"/>
                <w:color w:val="auto"/>
              </w:rPr>
            </w:pPr>
            <w:r>
              <w:rPr>
                <w:rFonts w:ascii="Arial" w:cs="Arial" w:eastAsia="Arial" w:hAnsi="Arial"/>
                <w:sz w:val="20"/>
                <w:szCs w:val="20"/>
                <w:b w:val="1"/>
                <w:bCs w:val="1"/>
                <w:color w:val="B4B4B4"/>
              </w:rPr>
              <w:t>.</w:t>
            </w:r>
          </w:p>
        </w:tc>
        <w:tc>
          <w:tcPr>
            <w:tcW w:w="500" w:type="dxa"/>
            <w:vAlign w:val="bottom"/>
            <w:gridSpan w:val="2"/>
          </w:tcPr>
          <w:p>
            <w:pPr>
              <w:spacing w:after="0"/>
              <w:rPr>
                <w:sz w:val="20"/>
                <w:szCs w:val="20"/>
                <w:color w:val="auto"/>
              </w:rPr>
            </w:pPr>
            <w:r>
              <w:rPr>
                <w:rFonts w:ascii="Arial" w:cs="Arial" w:eastAsia="Arial" w:hAnsi="Arial"/>
                <w:sz w:val="20"/>
                <w:szCs w:val="20"/>
                <w:b w:val="1"/>
                <w:bCs w:val="1"/>
                <w:color w:val="B4B4B4"/>
              </w:rPr>
              <w:t xml:space="preserve">. . . </w:t>
            </w:r>
            <w:r>
              <w:rPr>
                <w:rFonts w:ascii="Arial" w:cs="Arial" w:eastAsia="Arial" w:hAnsi="Arial"/>
                <w:sz w:val="20"/>
                <w:szCs w:val="20"/>
                <w:color w:val="000000"/>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992</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(107)</w:t>
            </w:r>
          </w:p>
        </w:tc>
        <w:tc>
          <w:tcPr>
            <w:tcW w:w="80" w:type="dxa"/>
            <w:vAlign w:val="bottom"/>
          </w:tcPr>
          <w:p>
            <w:pPr>
              <w:spacing w:after="0"/>
              <w:rPr>
                <w:sz w:val="22"/>
                <w:szCs w:val="22"/>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885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2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10"/>
          </w:tcPr>
          <w:p>
            <w:pPr>
              <w:jc w:val="right"/>
              <w:ind w:right="1123"/>
              <w:spacing w:after="0"/>
              <w:rPr>
                <w:sz w:val="20"/>
                <w:szCs w:val="20"/>
                <w:color w:val="auto"/>
              </w:rPr>
            </w:pPr>
            <w:r>
              <w:rPr>
                <w:rFonts w:ascii="Arial" w:cs="Arial" w:eastAsia="Arial" w:hAnsi="Arial"/>
                <w:sz w:val="16"/>
                <w:szCs w:val="16"/>
                <w:b w:val="1"/>
                <w:bCs w:val="1"/>
                <w:color w:val="auto"/>
              </w:rPr>
              <w:t>Gross Amounts Not Offset in the Statement of Financial Position</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66"/>
              <w:spacing w:after="0"/>
              <w:rPr>
                <w:sz w:val="20"/>
                <w:szCs w:val="20"/>
                <w:color w:val="auto"/>
              </w:rPr>
            </w:pPr>
            <w:r>
              <w:rPr>
                <w:rFonts w:ascii="Arial" w:cs="Arial" w:eastAsia="Arial" w:hAnsi="Arial"/>
                <w:sz w:val="16"/>
                <w:szCs w:val="16"/>
                <w:b w:val="1"/>
                <w:bCs w:val="1"/>
                <w:color w:val="auto"/>
                <w:w w:val="88"/>
              </w:rPr>
              <w:t>Gross Amounts of</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1"/>
              </w:rPr>
              <w:t>Derivative</w:t>
            </w:r>
          </w:p>
        </w:tc>
        <w:tc>
          <w:tcPr>
            <w:tcW w:w="220" w:type="dxa"/>
            <w:vAlign w:val="bottom"/>
          </w:tcPr>
          <w:p>
            <w:pPr>
              <w:spacing w:after="0"/>
              <w:rPr>
                <w:sz w:val="16"/>
                <w:szCs w:val="16"/>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0"/>
              </w:rPr>
              <w:t>Cash Collateral</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88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jc w:val="center"/>
              <w:ind w:right="66"/>
              <w:spacing w:after="0" w:line="158" w:lineRule="exact"/>
              <w:rPr>
                <w:sz w:val="20"/>
                <w:szCs w:val="20"/>
                <w:color w:val="auto"/>
              </w:rPr>
            </w:pPr>
            <w:r>
              <w:rPr>
                <w:rFonts w:ascii="Arial" w:cs="Arial" w:eastAsia="Arial" w:hAnsi="Arial"/>
                <w:sz w:val="16"/>
                <w:szCs w:val="16"/>
                <w:b w:val="1"/>
                <w:bCs w:val="1"/>
                <w:color w:val="auto"/>
                <w:w w:val="84"/>
              </w:rPr>
              <w:t>Recognized Assets/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vMerge w:val="restart"/>
          </w:tcPr>
          <w:p>
            <w:pPr>
              <w:jc w:val="right"/>
              <w:ind w:right="303"/>
              <w:spacing w:after="0"/>
              <w:rPr>
                <w:sz w:val="20"/>
                <w:szCs w:val="20"/>
                <w:color w:val="auto"/>
              </w:rPr>
            </w:pPr>
            <w:r>
              <w:rPr>
                <w:rFonts w:ascii="Arial" w:cs="Arial" w:eastAsia="Arial" w:hAnsi="Arial"/>
                <w:sz w:val="16"/>
                <w:szCs w:val="16"/>
                <w:b w:val="1"/>
                <w:bCs w:val="1"/>
                <w:color w:val="auto"/>
                <w:w w:val="90"/>
              </w:rPr>
              <w:t>Net 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8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center"/>
              <w:ind w:right="66"/>
              <w:spacing w:after="0"/>
              <w:rPr>
                <w:sz w:val="20"/>
                <w:szCs w:val="20"/>
                <w:color w:val="auto"/>
              </w:rPr>
            </w:pPr>
            <w:r>
              <w:rPr>
                <w:rFonts w:ascii="Arial" w:cs="Arial" w:eastAsia="Arial" w:hAnsi="Arial"/>
                <w:sz w:val="16"/>
                <w:szCs w:val="16"/>
                <w:b w:val="1"/>
                <w:bCs w:val="1"/>
                <w:color w:val="auto"/>
                <w:w w:val="92"/>
              </w:rPr>
              <w:t>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Instruments</w:t>
            </w:r>
          </w:p>
        </w:tc>
        <w:tc>
          <w:tcPr>
            <w:tcW w:w="22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(Held)/Posted</w:t>
            </w:r>
          </w:p>
        </w:tc>
        <w:tc>
          <w:tcPr>
            <w:tcW w:w="4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880" w:type="dxa"/>
            <w:vAlign w:val="bottom"/>
          </w:tcPr>
          <w:p>
            <w:pPr>
              <w:spacing w:after="0"/>
              <w:rPr>
                <w:sz w:val="20"/>
                <w:szCs w:val="20"/>
                <w:color w:val="auto"/>
              </w:rPr>
            </w:pPr>
            <w:r>
              <w:rPr>
                <w:rFonts w:ascii="Arial" w:cs="Arial" w:eastAsia="Arial" w:hAnsi="Arial"/>
                <w:sz w:val="20"/>
                <w:szCs w:val="20"/>
                <w:b w:val="1"/>
                <w:bCs w:val="1"/>
                <w:color w:val="auto"/>
              </w:rPr>
              <w:t>As of December 31, 2023</w:t>
            </w:r>
          </w:p>
        </w:tc>
        <w:tc>
          <w:tcPr>
            <w:tcW w:w="3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0"/>
                <w:szCs w:val="20"/>
                <w:color w:val="auto"/>
              </w:rPr>
            </w:pPr>
            <w:r>
              <w:rPr>
                <w:rFonts w:ascii="Arial" w:cs="Arial" w:eastAsia="Arial" w:hAnsi="Arial"/>
                <w:sz w:val="20"/>
                <w:szCs w:val="20"/>
                <w:b w:val="1"/>
                <w:bCs w:val="1"/>
                <w:color w:val="auto"/>
              </w:rPr>
              <w:t>Interest rate contracts: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80" w:type="dxa"/>
            <w:vAlign w:val="bottom"/>
          </w:tcPr>
          <w:p>
            <w:pPr>
              <w:ind w:left="240"/>
              <w:spacing w:after="0"/>
              <w:rPr>
                <w:sz w:val="20"/>
                <w:szCs w:val="20"/>
                <w:color w:val="auto"/>
              </w:rPr>
            </w:pPr>
            <w:r>
              <w:rPr>
                <w:rFonts w:ascii="Arial" w:cs="Arial" w:eastAsia="Arial" w:hAnsi="Arial"/>
                <w:sz w:val="20"/>
                <w:szCs w:val="20"/>
                <w:color w:val="auto"/>
                <w:w w:val="89"/>
              </w:rPr>
              <w:t xml:space="preserve">Derivative assets  </w:t>
            </w:r>
            <w:r>
              <w:rPr>
                <w:rFonts w:ascii="Arial" w:cs="Arial" w:eastAsia="Arial" w:hAnsi="Arial"/>
                <w:sz w:val="20"/>
                <w:szCs w:val="20"/>
                <w:color w:val="B4B4B4"/>
                <w:w w:val="89"/>
              </w:rPr>
              <w:t>. . . . . . . . . . . .</w:t>
            </w:r>
          </w:p>
        </w:tc>
        <w:tc>
          <w:tcPr>
            <w:tcW w:w="500" w:type="dxa"/>
            <w:vAlign w:val="bottom"/>
            <w:gridSpan w:val="2"/>
          </w:tcPr>
          <w:p>
            <w:pPr>
              <w:ind w:left="20"/>
              <w:spacing w:after="0"/>
              <w:rPr>
                <w:sz w:val="20"/>
                <w:szCs w:val="20"/>
                <w:color w:val="auto"/>
              </w:rPr>
            </w:pPr>
            <w:r>
              <w:rPr>
                <w:rFonts w:ascii="Arial" w:cs="Arial" w:eastAsia="Arial" w:hAnsi="Arial"/>
                <w:sz w:val="20"/>
                <w:szCs w:val="20"/>
                <w:color w:val="B4B4B4"/>
              </w:rPr>
              <w:t xml:space="preserve">. . . </w:t>
            </w:r>
            <w:r>
              <w:rPr>
                <w:rFonts w:ascii="Arial" w:cs="Arial" w:eastAsia="Arial" w:hAnsi="Arial"/>
                <w:sz w:val="20"/>
                <w:szCs w:val="20"/>
                <w:color w:val="000000"/>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12</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880" w:type="dxa"/>
            <w:vAlign w:val="bottom"/>
          </w:tcPr>
          <w:p>
            <w:pPr>
              <w:ind w:left="240"/>
              <w:spacing w:after="0"/>
              <w:rPr>
                <w:sz w:val="20"/>
                <w:szCs w:val="20"/>
                <w:color w:val="auto"/>
              </w:rPr>
            </w:pPr>
            <w:r>
              <w:rPr>
                <w:rFonts w:ascii="Arial" w:cs="Arial" w:eastAsia="Arial" w:hAnsi="Arial"/>
                <w:sz w:val="20"/>
                <w:szCs w:val="20"/>
                <w:color w:val="auto"/>
                <w:w w:val="93"/>
              </w:rPr>
              <w:t xml:space="preserve">Derivative liabilities </w:t>
            </w:r>
            <w:r>
              <w:rPr>
                <w:rFonts w:ascii="Arial" w:cs="Arial" w:eastAsia="Arial" w:hAnsi="Arial"/>
                <w:sz w:val="20"/>
                <w:szCs w:val="20"/>
                <w:color w:val="B4B4B4"/>
                <w:w w:val="93"/>
              </w:rPr>
              <w:t>. . . . . . . . . .</w:t>
            </w:r>
          </w:p>
        </w:tc>
        <w:tc>
          <w:tcPr>
            <w:tcW w:w="340" w:type="dxa"/>
            <w:vAlign w:val="bottom"/>
          </w:tcPr>
          <w:p>
            <w:pPr>
              <w:ind w:left="20"/>
              <w:spacing w:after="0"/>
              <w:rPr>
                <w:sz w:val="20"/>
                <w:szCs w:val="20"/>
                <w:color w:val="auto"/>
              </w:rPr>
            </w:pPr>
            <w:r>
              <w:rPr>
                <w:rFonts w:ascii="Arial" w:cs="Arial" w:eastAsia="Arial" w:hAnsi="Arial"/>
                <w:sz w:val="20"/>
                <w:szCs w:val="20"/>
                <w:color w:val="B4B4B4"/>
              </w:rPr>
              <w:t>. . .</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80" w:type="dxa"/>
            <w:vAlign w:val="bottom"/>
          </w:tcPr>
          <w:p>
            <w:pPr>
              <w:spacing w:after="0"/>
              <w:rPr>
                <w:sz w:val="20"/>
                <w:szCs w:val="20"/>
                <w:color w:val="auto"/>
              </w:rPr>
            </w:pPr>
            <w:r>
              <w:rPr>
                <w:rFonts w:ascii="Arial" w:cs="Arial" w:eastAsia="Arial" w:hAnsi="Arial"/>
                <w:sz w:val="20"/>
                <w:szCs w:val="20"/>
                <w:b w:val="1"/>
                <w:bCs w:val="1"/>
                <w:color w:val="B4B4B4"/>
              </w:rPr>
              <w:t>.</w:t>
            </w:r>
            <w:r>
              <w:rPr>
                <w:rFonts w:ascii="Arial" w:cs="Arial" w:eastAsia="Arial" w:hAnsi="Arial"/>
                <w:sz w:val="20"/>
                <w:szCs w:val="20"/>
                <w:b w:val="1"/>
                <w:bCs w:val="1"/>
                <w:color w:val="000000"/>
              </w:rPr>
              <w:t>Totalinterestratecontracts</w:t>
            </w:r>
            <w:r>
              <w:rPr>
                <w:rFonts w:ascii="Arial" w:cs="Arial" w:eastAsia="Arial" w:hAnsi="Arial"/>
                <w:sz w:val="20"/>
                <w:szCs w:val="20"/>
                <w:b w:val="1"/>
                <w:bCs w:val="1"/>
                <w:color w:val="B4B4B4"/>
              </w:rPr>
              <w:t>...</w:t>
            </w:r>
          </w:p>
        </w:tc>
        <w:tc>
          <w:tcPr>
            <w:tcW w:w="340" w:type="dxa"/>
            <w:vAlign w:val="bottom"/>
          </w:tcPr>
          <w:p>
            <w:pPr>
              <w:ind w:left="20"/>
              <w:spacing w:after="0"/>
              <w:rPr>
                <w:sz w:val="20"/>
                <w:szCs w:val="20"/>
                <w:color w:val="auto"/>
              </w:rPr>
            </w:pPr>
            <w:r>
              <w:rPr>
                <w:rFonts w:ascii="Arial" w:cs="Arial" w:eastAsia="Arial" w:hAnsi="Arial"/>
                <w:sz w:val="20"/>
                <w:szCs w:val="20"/>
                <w:b w:val="1"/>
                <w:bCs w:val="1"/>
                <w:color w:val="B4B4B4"/>
              </w:rPr>
              <w:t>. . .</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880" w:type="dxa"/>
            <w:vAlign w:val="bottom"/>
          </w:tcPr>
          <w:p>
            <w:pPr>
              <w:spacing w:after="0"/>
              <w:rPr>
                <w:sz w:val="20"/>
                <w:szCs w:val="20"/>
                <w:color w:val="auto"/>
              </w:rPr>
            </w:pPr>
            <w:r>
              <w:rPr>
                <w:rFonts w:ascii="Arial" w:cs="Arial" w:eastAsia="Arial" w:hAnsi="Arial"/>
                <w:sz w:val="20"/>
                <w:szCs w:val="20"/>
                <w:b w:val="1"/>
                <w:bCs w:val="1"/>
                <w:color w:val="auto"/>
              </w:rPr>
              <w:t>Foreign exchange contracts:</w:t>
            </w:r>
          </w:p>
        </w:tc>
        <w:tc>
          <w:tcPr>
            <w:tcW w:w="3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880" w:type="dxa"/>
            <w:vAlign w:val="bottom"/>
          </w:tcPr>
          <w:p>
            <w:pPr>
              <w:ind w:left="240"/>
              <w:spacing w:after="0"/>
              <w:rPr>
                <w:sz w:val="20"/>
                <w:szCs w:val="20"/>
                <w:color w:val="auto"/>
              </w:rPr>
            </w:pPr>
            <w:r>
              <w:rPr>
                <w:rFonts w:ascii="Arial" w:cs="Arial" w:eastAsia="Arial" w:hAnsi="Arial"/>
                <w:sz w:val="20"/>
                <w:szCs w:val="20"/>
                <w:color w:val="auto"/>
                <w:w w:val="89"/>
              </w:rPr>
              <w:t xml:space="preserve">Derivative assets  </w:t>
            </w:r>
            <w:r>
              <w:rPr>
                <w:rFonts w:ascii="Arial" w:cs="Arial" w:eastAsia="Arial" w:hAnsi="Arial"/>
                <w:sz w:val="20"/>
                <w:szCs w:val="20"/>
                <w:color w:val="B4B4B4"/>
                <w:w w:val="89"/>
              </w:rPr>
              <w:t>. . . . . . . . . . . .</w:t>
            </w:r>
          </w:p>
        </w:tc>
        <w:tc>
          <w:tcPr>
            <w:tcW w:w="500" w:type="dxa"/>
            <w:vAlign w:val="bottom"/>
            <w:gridSpan w:val="2"/>
          </w:tcPr>
          <w:p>
            <w:pPr>
              <w:ind w:left="20"/>
              <w:spacing w:after="0"/>
              <w:rPr>
                <w:sz w:val="20"/>
                <w:szCs w:val="20"/>
                <w:color w:val="auto"/>
              </w:rPr>
            </w:pPr>
            <w:r>
              <w:rPr>
                <w:rFonts w:ascii="Arial" w:cs="Arial" w:eastAsia="Arial" w:hAnsi="Arial"/>
                <w:sz w:val="20"/>
                <w:szCs w:val="20"/>
                <w:color w:val="B4B4B4"/>
              </w:rPr>
              <w:t xml:space="preserve">. . . </w:t>
            </w:r>
            <w:r>
              <w:rPr>
                <w:rFonts w:ascii="Arial" w:cs="Arial" w:eastAsia="Arial" w:hAnsi="Arial"/>
                <w:sz w:val="20"/>
                <w:szCs w:val="20"/>
                <w:color w:val="000000"/>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5</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880" w:type="dxa"/>
            <w:vAlign w:val="bottom"/>
          </w:tcPr>
          <w:p>
            <w:pPr>
              <w:ind w:left="240"/>
              <w:spacing w:after="0"/>
              <w:rPr>
                <w:sz w:val="20"/>
                <w:szCs w:val="20"/>
                <w:color w:val="auto"/>
              </w:rPr>
            </w:pPr>
            <w:r>
              <w:rPr>
                <w:rFonts w:ascii="Arial" w:cs="Arial" w:eastAsia="Arial" w:hAnsi="Arial"/>
                <w:sz w:val="20"/>
                <w:szCs w:val="20"/>
                <w:color w:val="auto"/>
                <w:w w:val="93"/>
              </w:rPr>
              <w:t xml:space="preserve">Derivative liabilities </w:t>
            </w:r>
            <w:r>
              <w:rPr>
                <w:rFonts w:ascii="Arial" w:cs="Arial" w:eastAsia="Arial" w:hAnsi="Arial"/>
                <w:sz w:val="20"/>
                <w:szCs w:val="20"/>
                <w:color w:val="B4B4B4"/>
                <w:w w:val="93"/>
              </w:rPr>
              <w:t>. . . . . . . . . .</w:t>
            </w:r>
          </w:p>
        </w:tc>
        <w:tc>
          <w:tcPr>
            <w:tcW w:w="340" w:type="dxa"/>
            <w:vAlign w:val="bottom"/>
          </w:tcPr>
          <w:p>
            <w:pPr>
              <w:ind w:left="20"/>
              <w:spacing w:after="0"/>
              <w:rPr>
                <w:sz w:val="20"/>
                <w:szCs w:val="20"/>
                <w:color w:val="auto"/>
              </w:rPr>
            </w:pPr>
            <w:r>
              <w:rPr>
                <w:rFonts w:ascii="Arial" w:cs="Arial" w:eastAsia="Arial" w:hAnsi="Arial"/>
                <w:sz w:val="20"/>
                <w:szCs w:val="20"/>
                <w:color w:val="B4B4B4"/>
              </w:rPr>
              <w:t>. . .</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80" w:type="dxa"/>
            <w:vAlign w:val="bottom"/>
          </w:tcPr>
          <w:p>
            <w:pPr>
              <w:spacing w:after="0"/>
              <w:rPr>
                <w:sz w:val="20"/>
                <w:szCs w:val="20"/>
                <w:color w:val="auto"/>
              </w:rPr>
            </w:pPr>
            <w:r>
              <w:rPr>
                <w:rFonts w:ascii="Arial" w:cs="Arial" w:eastAsia="Arial" w:hAnsi="Arial"/>
                <w:sz w:val="20"/>
                <w:szCs w:val="20"/>
                <w:b w:val="1"/>
                <w:bCs w:val="1"/>
                <w:color w:val="auto"/>
                <w:w w:val="90"/>
              </w:rPr>
              <w:t>Total foreign exchange contracts</w:t>
            </w:r>
          </w:p>
        </w:tc>
        <w:tc>
          <w:tcPr>
            <w:tcW w:w="500" w:type="dxa"/>
            <w:vAlign w:val="bottom"/>
            <w:gridSpan w:val="2"/>
          </w:tcPr>
          <w:p>
            <w:pPr>
              <w:ind w:left="20"/>
              <w:spacing w:after="0"/>
              <w:rPr>
                <w:sz w:val="20"/>
                <w:szCs w:val="20"/>
                <w:color w:val="auto"/>
              </w:rPr>
            </w:pPr>
            <w:r>
              <w:rPr>
                <w:rFonts w:ascii="Arial" w:cs="Arial" w:eastAsia="Arial" w:hAnsi="Arial"/>
                <w:sz w:val="20"/>
                <w:szCs w:val="20"/>
                <w:b w:val="1"/>
                <w:bCs w:val="1"/>
                <w:color w:val="B4B4B4"/>
              </w:rPr>
              <w:t xml:space="preserve">. . . </w:t>
            </w:r>
            <w:r>
              <w:rPr>
                <w:rFonts w:ascii="Arial" w:cs="Arial" w:eastAsia="Arial" w:hAnsi="Arial"/>
                <w:sz w:val="20"/>
                <w:szCs w:val="20"/>
                <w:color w:val="000000"/>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(4)</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880" w:type="dxa"/>
            <w:vAlign w:val="bottom"/>
          </w:tcPr>
          <w:p>
            <w:pPr>
              <w:spacing w:after="0"/>
              <w:rPr>
                <w:sz w:val="20"/>
                <w:szCs w:val="20"/>
                <w:color w:val="auto"/>
              </w:rPr>
            </w:pPr>
            <w:r>
              <w:rPr>
                <w:rFonts w:ascii="Arial" w:cs="Arial" w:eastAsia="Arial" w:hAnsi="Arial"/>
                <w:sz w:val="20"/>
                <w:szCs w:val="20"/>
                <w:b w:val="1"/>
                <w:bCs w:val="1"/>
                <w:color w:val="auto"/>
              </w:rPr>
              <w:t>Commodity contracts:</w:t>
            </w:r>
          </w:p>
        </w:tc>
        <w:tc>
          <w:tcPr>
            <w:tcW w:w="3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880" w:type="dxa"/>
            <w:vAlign w:val="bottom"/>
          </w:tcPr>
          <w:p>
            <w:pPr>
              <w:ind w:left="240"/>
              <w:spacing w:after="0"/>
              <w:rPr>
                <w:sz w:val="20"/>
                <w:szCs w:val="20"/>
                <w:color w:val="auto"/>
              </w:rPr>
            </w:pPr>
            <w:r>
              <w:rPr>
                <w:rFonts w:ascii="Arial" w:cs="Arial" w:eastAsia="Arial" w:hAnsi="Arial"/>
                <w:sz w:val="20"/>
                <w:szCs w:val="20"/>
                <w:color w:val="auto"/>
                <w:w w:val="89"/>
              </w:rPr>
              <w:t xml:space="preserve">Derivative assets  </w:t>
            </w:r>
            <w:r>
              <w:rPr>
                <w:rFonts w:ascii="Arial" w:cs="Arial" w:eastAsia="Arial" w:hAnsi="Arial"/>
                <w:sz w:val="20"/>
                <w:szCs w:val="20"/>
                <w:color w:val="B4B4B4"/>
                <w:w w:val="89"/>
              </w:rPr>
              <w:t>. . . . . . . . . . . .</w:t>
            </w:r>
          </w:p>
        </w:tc>
        <w:tc>
          <w:tcPr>
            <w:tcW w:w="500" w:type="dxa"/>
            <w:vAlign w:val="bottom"/>
            <w:gridSpan w:val="2"/>
          </w:tcPr>
          <w:p>
            <w:pPr>
              <w:ind w:left="20"/>
              <w:spacing w:after="0"/>
              <w:rPr>
                <w:sz w:val="20"/>
                <w:szCs w:val="20"/>
                <w:color w:val="auto"/>
              </w:rPr>
            </w:pPr>
            <w:r>
              <w:rPr>
                <w:rFonts w:ascii="Arial" w:cs="Arial" w:eastAsia="Arial" w:hAnsi="Arial"/>
                <w:sz w:val="20"/>
                <w:szCs w:val="20"/>
                <w:color w:val="B4B4B4"/>
              </w:rPr>
              <w:t xml:space="preserve">. . . </w:t>
            </w:r>
            <w:r>
              <w:rPr>
                <w:rFonts w:ascii="Arial" w:cs="Arial" w:eastAsia="Arial" w:hAnsi="Arial"/>
                <w:sz w:val="20"/>
                <w:szCs w:val="20"/>
                <w:color w:val="000000"/>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6,138</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(4,926)</w:t>
            </w: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(74)</w:t>
            </w:r>
          </w:p>
        </w:tc>
        <w:tc>
          <w:tcPr>
            <w:tcW w:w="80" w:type="dxa"/>
            <w:vAlign w:val="bottom"/>
          </w:tcPr>
          <w:p>
            <w:pPr>
              <w:spacing w:after="0"/>
              <w:rPr>
                <w:sz w:val="24"/>
                <w:szCs w:val="24"/>
                <w:color w:val="auto"/>
              </w:rPr>
            </w:pPr>
          </w:p>
        </w:tc>
        <w:tc>
          <w:tcPr>
            <w:tcW w:w="40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1,138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880" w:type="dxa"/>
            <w:vAlign w:val="bottom"/>
          </w:tcPr>
          <w:p>
            <w:pPr>
              <w:ind w:left="240"/>
              <w:spacing w:after="0"/>
              <w:rPr>
                <w:sz w:val="20"/>
                <w:szCs w:val="20"/>
                <w:color w:val="auto"/>
              </w:rPr>
            </w:pPr>
            <w:r>
              <w:rPr>
                <w:rFonts w:ascii="Arial" w:cs="Arial" w:eastAsia="Arial" w:hAnsi="Arial"/>
                <w:sz w:val="20"/>
                <w:szCs w:val="20"/>
                <w:color w:val="auto"/>
                <w:w w:val="93"/>
              </w:rPr>
              <w:t xml:space="preserve">Derivative liabilities </w:t>
            </w:r>
            <w:r>
              <w:rPr>
                <w:rFonts w:ascii="Arial" w:cs="Arial" w:eastAsia="Arial" w:hAnsi="Arial"/>
                <w:sz w:val="20"/>
                <w:szCs w:val="20"/>
                <w:color w:val="B4B4B4"/>
                <w:w w:val="93"/>
              </w:rPr>
              <w:t>. . . . . . . . . .</w:t>
            </w:r>
          </w:p>
        </w:tc>
        <w:tc>
          <w:tcPr>
            <w:tcW w:w="340" w:type="dxa"/>
            <w:vAlign w:val="bottom"/>
          </w:tcPr>
          <w:p>
            <w:pPr>
              <w:ind w:left="20"/>
              <w:spacing w:after="0"/>
              <w:rPr>
                <w:sz w:val="20"/>
                <w:szCs w:val="20"/>
                <w:color w:val="auto"/>
              </w:rPr>
            </w:pPr>
            <w:r>
              <w:rPr>
                <w:rFonts w:ascii="Arial" w:cs="Arial" w:eastAsia="Arial" w:hAnsi="Arial"/>
                <w:sz w:val="20"/>
                <w:szCs w:val="20"/>
                <w:color w:val="B4B4B4"/>
              </w:rPr>
              <w:t>. . .</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(5,356)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4,926</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880" w:type="dxa"/>
            <w:vAlign w:val="bottom"/>
          </w:tcPr>
          <w:p>
            <w:pPr>
              <w:spacing w:after="0"/>
              <w:rPr>
                <w:sz w:val="20"/>
                <w:szCs w:val="20"/>
                <w:color w:val="auto"/>
              </w:rPr>
            </w:pPr>
            <w:r>
              <w:rPr>
                <w:rFonts w:ascii="Arial" w:cs="Arial" w:eastAsia="Arial" w:hAnsi="Arial"/>
                <w:sz w:val="20"/>
                <w:szCs w:val="20"/>
                <w:b w:val="1"/>
                <w:bCs w:val="1"/>
                <w:color w:val="B4B4B4"/>
              </w:rPr>
              <w:t>.</w:t>
            </w:r>
            <w:r>
              <w:rPr>
                <w:rFonts w:ascii="Arial" w:cs="Arial" w:eastAsia="Arial" w:hAnsi="Arial"/>
                <w:sz w:val="20"/>
                <w:szCs w:val="20"/>
                <w:b w:val="1"/>
                <w:bCs w:val="1"/>
                <w:color w:val="000000"/>
              </w:rPr>
              <w:t>Totalcommoditycontracts</w:t>
            </w:r>
            <w:r>
              <w:rPr>
                <w:rFonts w:ascii="Arial" w:cs="Arial" w:eastAsia="Arial" w:hAnsi="Arial"/>
                <w:sz w:val="20"/>
                <w:szCs w:val="20"/>
                <w:b w:val="1"/>
                <w:bCs w:val="1"/>
                <w:color w:val="B4B4B4"/>
              </w:rPr>
              <w:t>....</w:t>
            </w:r>
          </w:p>
        </w:tc>
        <w:tc>
          <w:tcPr>
            <w:tcW w:w="500" w:type="dxa"/>
            <w:vAlign w:val="bottom"/>
            <w:gridSpan w:val="2"/>
          </w:tcPr>
          <w:p>
            <w:pPr>
              <w:ind w:left="20"/>
              <w:spacing w:after="0"/>
              <w:rPr>
                <w:sz w:val="20"/>
                <w:szCs w:val="20"/>
                <w:color w:val="auto"/>
              </w:rPr>
            </w:pPr>
            <w:r>
              <w:rPr>
                <w:rFonts w:ascii="Arial" w:cs="Arial" w:eastAsia="Arial" w:hAnsi="Arial"/>
                <w:sz w:val="20"/>
                <w:szCs w:val="20"/>
                <w:b w:val="1"/>
                <w:bCs w:val="1"/>
                <w:color w:val="B4B4B4"/>
              </w:rPr>
              <w:t xml:space="preserve">. . . </w:t>
            </w:r>
            <w:r>
              <w:rPr>
                <w:rFonts w:ascii="Arial" w:cs="Arial" w:eastAsia="Arial" w:hAnsi="Arial"/>
                <w:sz w:val="20"/>
                <w:szCs w:val="20"/>
                <w:color w:val="000000"/>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782</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71</w:t>
            </w:r>
          </w:p>
        </w:tc>
        <w:tc>
          <w:tcPr>
            <w:tcW w:w="80" w:type="dxa"/>
            <w:vAlign w:val="bottom"/>
          </w:tcPr>
          <w:p>
            <w:pPr>
              <w:spacing w:after="0"/>
              <w:rPr>
                <w:sz w:val="23"/>
                <w:szCs w:val="23"/>
                <w:color w:val="auto"/>
              </w:rPr>
            </w:pPr>
          </w:p>
        </w:tc>
        <w:tc>
          <w:tcPr>
            <w:tcW w:w="40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853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0"/>
                <w:szCs w:val="20"/>
                <w:color w:val="auto"/>
              </w:rPr>
            </w:pPr>
            <w:r>
              <w:rPr>
                <w:rFonts w:ascii="Arial" w:cs="Arial" w:eastAsia="Arial" w:hAnsi="Arial"/>
                <w:sz w:val="20"/>
                <w:szCs w:val="20"/>
                <w:b w:val="1"/>
                <w:bCs w:val="1"/>
                <w:color w:val="auto"/>
                <w:w w:val="97"/>
              </w:rPr>
              <w:t>Consumer Financing Program:</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80" w:type="dxa"/>
            <w:vAlign w:val="bottom"/>
          </w:tcPr>
          <w:p>
            <w:pPr>
              <w:ind w:left="240"/>
              <w:spacing w:after="0"/>
              <w:rPr>
                <w:sz w:val="20"/>
                <w:szCs w:val="20"/>
                <w:color w:val="auto"/>
              </w:rPr>
            </w:pPr>
            <w:r>
              <w:rPr>
                <w:rFonts w:ascii="Arial" w:cs="Arial" w:eastAsia="Arial" w:hAnsi="Arial"/>
                <w:sz w:val="20"/>
                <w:szCs w:val="20"/>
                <w:color w:val="auto"/>
                <w:w w:val="93"/>
              </w:rPr>
              <w:t xml:space="preserve">Derivative liabilities </w:t>
            </w:r>
            <w:r>
              <w:rPr>
                <w:rFonts w:ascii="Arial" w:cs="Arial" w:eastAsia="Arial" w:hAnsi="Arial"/>
                <w:sz w:val="20"/>
                <w:szCs w:val="20"/>
                <w:color w:val="B4B4B4"/>
                <w:w w:val="93"/>
              </w:rPr>
              <w:t>. . . . . . . . . .</w:t>
            </w:r>
          </w:p>
        </w:tc>
        <w:tc>
          <w:tcPr>
            <w:tcW w:w="500" w:type="dxa"/>
            <w:vAlign w:val="bottom"/>
            <w:gridSpan w:val="2"/>
          </w:tcPr>
          <w:p>
            <w:pPr>
              <w:ind w:left="20"/>
              <w:spacing w:after="0"/>
              <w:rPr>
                <w:sz w:val="20"/>
                <w:szCs w:val="20"/>
                <w:color w:val="auto"/>
              </w:rPr>
            </w:pPr>
            <w:r>
              <w:rPr>
                <w:rFonts w:ascii="Arial" w:cs="Arial" w:eastAsia="Arial" w:hAnsi="Arial"/>
                <w:sz w:val="20"/>
                <w:szCs w:val="20"/>
                <w:color w:val="B4B4B4"/>
              </w:rPr>
              <w:t xml:space="preserve">. . . </w:t>
            </w:r>
            <w:r>
              <w:rPr>
                <w:rFonts w:ascii="Arial" w:cs="Arial" w:eastAsia="Arial" w:hAnsi="Arial"/>
                <w:sz w:val="20"/>
                <w:szCs w:val="20"/>
                <w:color w:val="000000"/>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(134)</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880" w:type="dxa"/>
            <w:vAlign w:val="bottom"/>
            <w:vMerge w:val="restart"/>
          </w:tcPr>
          <w:p>
            <w:pPr>
              <w:spacing w:after="0"/>
              <w:rPr>
                <w:sz w:val="20"/>
                <w:szCs w:val="20"/>
                <w:color w:val="auto"/>
              </w:rPr>
            </w:pPr>
            <w:r>
              <w:rPr>
                <w:rFonts w:ascii="Arial" w:cs="Arial" w:eastAsia="Arial" w:hAnsi="Arial"/>
                <w:sz w:val="20"/>
                <w:szCs w:val="20"/>
                <w:b w:val="1"/>
                <w:bCs w:val="1"/>
                <w:color w:val="auto"/>
                <w:w w:val="95"/>
              </w:rPr>
              <w:t xml:space="preserve">Total derivative instruments </w:t>
            </w:r>
            <w:r>
              <w:rPr>
                <w:rFonts w:ascii="Arial" w:cs="Arial" w:eastAsia="Arial" w:hAnsi="Arial"/>
                <w:sz w:val="20"/>
                <w:szCs w:val="20"/>
                <w:b w:val="1"/>
                <w:bCs w:val="1"/>
                <w:color w:val="B4B4B4"/>
                <w:w w:val="95"/>
              </w:rPr>
              <w:t>. . .</w:t>
            </w: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880" w:type="dxa"/>
            <w:vAlign w:val="bottom"/>
            <w:vMerge w:val="continue"/>
          </w:tcPr>
          <w:p>
            <w:pPr>
              <w:ind w:left="2800"/>
              <w:spacing w:after="0" w:line="215" w:lineRule="exact"/>
              <w:rPr>
                <w:sz w:val="20"/>
                <w:szCs w:val="20"/>
                <w:color w:val="auto"/>
              </w:rPr>
            </w:pPr>
            <w:r>
              <w:rPr>
                <w:rFonts w:ascii="Arial" w:cs="Arial" w:eastAsia="Arial" w:hAnsi="Arial"/>
                <w:sz w:val="20"/>
                <w:szCs w:val="20"/>
                <w:b w:val="1"/>
                <w:bCs w:val="1"/>
                <w:color w:val="B4B4B4"/>
              </w:rPr>
              <w:t>.</w:t>
            </w:r>
          </w:p>
        </w:tc>
        <w:tc>
          <w:tcPr>
            <w:tcW w:w="500" w:type="dxa"/>
            <w:vAlign w:val="bottom"/>
            <w:gridSpan w:val="2"/>
          </w:tcPr>
          <w:p>
            <w:pPr>
              <w:ind w:left="20"/>
              <w:spacing w:after="0"/>
              <w:rPr>
                <w:sz w:val="20"/>
                <w:szCs w:val="20"/>
                <w:color w:val="auto"/>
              </w:rPr>
            </w:pPr>
            <w:r>
              <w:rPr>
                <w:rFonts w:ascii="Arial" w:cs="Arial" w:eastAsia="Arial" w:hAnsi="Arial"/>
                <w:sz w:val="20"/>
                <w:szCs w:val="20"/>
                <w:b w:val="1"/>
                <w:bCs w:val="1"/>
                <w:color w:val="B4B4B4"/>
              </w:rPr>
              <w:t xml:space="preserve">. . . </w:t>
            </w:r>
            <w:r>
              <w:rPr>
                <w:rFonts w:ascii="Arial" w:cs="Arial" w:eastAsia="Arial" w:hAnsi="Arial"/>
                <w:sz w:val="20"/>
                <w:szCs w:val="20"/>
                <w:color w:val="000000"/>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648</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71</w:t>
            </w:r>
          </w:p>
        </w:tc>
        <w:tc>
          <w:tcPr>
            <w:tcW w:w="80" w:type="dxa"/>
            <w:vAlign w:val="bottom"/>
          </w:tcPr>
          <w:p>
            <w:pPr>
              <w:spacing w:after="0"/>
              <w:rPr>
                <w:sz w:val="22"/>
                <w:szCs w:val="22"/>
                <w:color w:val="auto"/>
              </w:rPr>
            </w:pPr>
          </w:p>
        </w:tc>
        <w:tc>
          <w:tcPr>
            <w:tcW w:w="40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719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-6732270</wp:posOffset>
            </wp:positionV>
            <wp:extent cx="6456680" cy="30460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5">
                      <a:extLst>
                        <a:ext uri="{28A0092B-C50C-407E-A947-70E740481C1C}"/>
                      </a:extLst>
                    </a:blip>
                    <a:srcRect/>
                    <a:stretch>
                      <a:fillRect/>
                    </a:stretch>
                  </pic:blipFill>
                  <pic:spPr bwMode="auto">
                    <a:xfrm>
                      <a:off x="0" y="0"/>
                      <a:ext cx="6456680" cy="30460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-3020060</wp:posOffset>
            </wp:positionV>
            <wp:extent cx="6456680" cy="30270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06">
                      <a:extLst>
                        <a:ext uri="{28A0092B-C50C-407E-A947-70E740481C1C}"/>
                      </a:extLst>
                    </a:blip>
                    <a:srcRect/>
                    <a:stretch>
                      <a:fillRect/>
                    </a:stretch>
                  </pic:blipFill>
                  <pic:spPr bwMode="auto">
                    <a:xfrm>
                      <a:off x="0" y="0"/>
                      <a:ext cx="6456680" cy="3027045"/>
                    </a:xfrm>
                    <a:prstGeom prst="rect">
                      <a:avLst/>
                    </a:prstGeom>
                    <a:noFill/>
                  </pic:spPr>
                </pic:pic>
              </a:graphicData>
            </a:graphic>
          </wp:anchor>
        </w:drawing>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ectPr>
          <w:pgSz w:w="11880" w:h="15480" w:orient="portrait"/>
          <w:cols w:equalWidth="0" w:num="1">
            <w:col w:w="10160"/>
          </w:cols>
          <w:pgMar w:left="860" w:top="512" w:right="860" w:bottom="0" w:gutter="0" w:footer="0" w:header="0"/>
          <w:type w:val="continuous"/>
        </w:sectPr>
      </w:pPr>
    </w:p>
    <w:bookmarkStart w:id="123" w:name="page124"/>
    <w:bookmarkEnd w:id="123"/>
    <w:p>
      <w:pPr>
        <w:ind w:left="440"/>
        <w:spacing w:after="0"/>
        <w:rPr>
          <w:sz w:val="20"/>
          <w:szCs w:val="20"/>
          <w:color w:val="auto"/>
        </w:rPr>
      </w:pPr>
      <w:r>
        <w:rPr>
          <w:rFonts w:ascii="Arial" w:cs="Arial" w:eastAsia="Arial" w:hAnsi="Arial"/>
          <w:sz w:val="20"/>
          <w:szCs w:val="20"/>
          <w:b w:val="1"/>
          <w:bCs w:val="1"/>
          <w:i w:val="1"/>
          <w:iCs w:val="1"/>
          <w:color w:val="auto"/>
        </w:rPr>
        <w:t>Impact of Derivative Instruments on the Statement of Operations</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Unrealized gains and losses associated with changes in the fair value of derivative instruments that are not accounted for as cash flow hedges are reflected in current period results of operations.</w:t>
      </w:r>
    </w:p>
    <w:p>
      <w:pPr>
        <w:spacing w:after="0" w:line="63" w:lineRule="exact"/>
        <w:rPr>
          <w:sz w:val="20"/>
          <w:szCs w:val="20"/>
          <w:color w:val="auto"/>
        </w:rPr>
      </w:pPr>
    </w:p>
    <w:p>
      <w:pPr>
        <w:jc w:val="both"/>
        <w:ind w:firstLine="445"/>
        <w:spacing w:after="0" w:line="295" w:lineRule="auto"/>
        <w:rPr>
          <w:sz w:val="20"/>
          <w:szCs w:val="20"/>
          <w:color w:val="auto"/>
        </w:rPr>
      </w:pPr>
      <w:r>
        <w:rPr>
          <w:rFonts w:ascii="Arial" w:cs="Arial" w:eastAsia="Arial" w:hAnsi="Arial"/>
          <w:sz w:val="18"/>
          <w:szCs w:val="18"/>
          <w:color w:val="auto"/>
        </w:rPr>
        <w:t>The following tables summarize the pre-tax effects of economic hedges that have not been designated as cash flow hedges or fair value hedges and trading activity on the Company's statement of operations. The effect of foreign exchange and commodity hedges is included within revenues and cost of operations. The effect of the interest rate contracts is included within interest expense. The effect of the Consumer Financing Program is included in other income, net.</w:t>
      </w:r>
    </w:p>
    <w:p>
      <w:pPr>
        <w:spacing w:after="0" w:line="99"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Year Ended December 31,</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606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12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wp:posOffset>
            </wp:positionV>
            <wp:extent cx="6428105" cy="22256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7">
                      <a:extLst>
                        <a:ext uri="{28A0092B-C50C-407E-A947-70E740481C1C}"/>
                      </a:extLst>
                    </a:blip>
                    <a:srcRect/>
                    <a:stretch>
                      <a:fillRect/>
                    </a:stretch>
                  </pic:blipFill>
                  <pic:spPr bwMode="auto">
                    <a:xfrm>
                      <a:off x="0" y="0"/>
                      <a:ext cx="6428105" cy="2225675"/>
                    </a:xfrm>
                    <a:prstGeom prst="rect">
                      <a:avLst/>
                    </a:prstGeom>
                    <a:noFill/>
                  </pic:spPr>
                </pic:pic>
              </a:graphicData>
            </a:graphic>
          </wp:anchor>
        </w:drawing>
      </w:r>
    </w:p>
    <w:p>
      <w:pPr>
        <w:sectPr>
          <w:pgSz w:w="11880" w:h="15480" w:orient="portrait"/>
          <w:cols w:equalWidth="0" w:num="1">
            <w:col w:w="10160"/>
          </w:cols>
          <w:pgMar w:left="860" w:top="505" w:right="860" w:bottom="0" w:gutter="0" w:footer="0" w:header="0"/>
        </w:sectPr>
      </w:pPr>
    </w:p>
    <w:p>
      <w:pPr>
        <w:spacing w:after="0" w:line="1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Unrealized mark-to-market results</w:t>
      </w:r>
    </w:p>
    <w:p>
      <w:pPr>
        <w:spacing w:after="0" w:line="66" w:lineRule="exact"/>
        <w:rPr>
          <w:sz w:val="20"/>
          <w:szCs w:val="20"/>
          <w:color w:val="auto"/>
        </w:rPr>
      </w:pPr>
    </w:p>
    <w:p>
      <w:pPr>
        <w:ind w:left="360" w:hanging="177"/>
        <w:spacing w:after="0" w:line="283" w:lineRule="auto"/>
        <w:rPr>
          <w:sz w:val="20"/>
          <w:szCs w:val="20"/>
          <w:color w:val="auto"/>
        </w:rPr>
      </w:pPr>
      <w:r>
        <w:rPr>
          <w:rFonts w:ascii="Arial" w:cs="Arial" w:eastAsia="Arial" w:hAnsi="Arial"/>
          <w:sz w:val="17"/>
          <w:szCs w:val="17"/>
          <w:color w:val="auto"/>
        </w:rPr>
        <w:t>Reversal of previously recognized unrealized losses/(gains) on settled positions related to economic hedges</w:t>
      </w:r>
      <w:r>
        <w:rPr>
          <w:rFonts w:ascii="Arial" w:cs="Arial" w:eastAsia="Arial" w:hAnsi="Arial"/>
          <w:sz w:val="21"/>
          <w:szCs w:val="21"/>
          <w:color w:val="auto"/>
          <w:vertAlign w:val="superscript"/>
        </w:rPr>
        <w:t>(a)</w:t>
      </w:r>
      <w:r>
        <w:rPr>
          <w:rFonts w:ascii="Arial" w:cs="Arial" w:eastAsia="Arial" w:hAnsi="Arial"/>
          <w:sz w:val="17"/>
          <w:szCs w:val="17"/>
          <w:color w:val="auto"/>
        </w:rPr>
        <w:t xml:space="preserve"> </w:t>
      </w:r>
      <w:r>
        <w:rPr>
          <w:rFonts w:ascii="Arial" w:cs="Arial" w:eastAsia="Arial" w:hAnsi="Arial"/>
          <w:sz w:val="17"/>
          <w:szCs w:val="17"/>
          <w:color w:val="B4B4B4"/>
        </w:rPr>
        <w:t>. . . . . . . . . . . . . . . . . . . . . . . . . .</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Reversal of acquired loss positions related to economic hedges </w:t>
      </w:r>
      <w:r>
        <w:rPr>
          <w:rFonts w:ascii="Arial" w:cs="Arial" w:eastAsia="Arial" w:hAnsi="Arial"/>
          <w:sz w:val="16"/>
          <w:szCs w:val="16"/>
          <w:color w:val="B4B4B4"/>
        </w:rPr>
        <w:t>. . . . . . . . .</w:t>
      </w:r>
    </w:p>
    <w:p>
      <w:pPr>
        <w:spacing w:after="0" w:line="86" w:lineRule="exact"/>
        <w:rPr>
          <w:sz w:val="20"/>
          <w:szCs w:val="20"/>
          <w:color w:val="auto"/>
        </w:rPr>
      </w:pPr>
    </w:p>
    <w:p>
      <w:pPr>
        <w:ind w:left="360" w:hanging="177"/>
        <w:spacing w:after="0" w:line="319" w:lineRule="auto"/>
        <w:rPr>
          <w:sz w:val="20"/>
          <w:szCs w:val="20"/>
          <w:color w:val="auto"/>
        </w:rPr>
      </w:pPr>
      <w:r>
        <w:rPr>
          <w:rFonts w:ascii="Arial" w:cs="Arial" w:eastAsia="Arial" w:hAnsi="Arial"/>
          <w:sz w:val="16"/>
          <w:szCs w:val="16"/>
          <w:color w:val="auto"/>
        </w:rPr>
        <w:t xml:space="preserve">Net unrealized gains/(losses) on open positions related to economic hedges </w:t>
      </w:r>
      <w:r>
        <w:rPr>
          <w:rFonts w:ascii="Arial" w:cs="Arial" w:eastAsia="Arial" w:hAnsi="Arial"/>
          <w:sz w:val="16"/>
          <w:szCs w:val="16"/>
          <w:color w:val="B4B4B4"/>
        </w:rPr>
        <w:t>. . . . . . . . . . . . . . . . . . . . . . . . . . . . . . . . . . . . . . . . . . . . . . . . . . . .</w:t>
      </w:r>
    </w:p>
    <w:p>
      <w:pPr>
        <w:spacing w:after="0" w:line="1" w:lineRule="exact"/>
        <w:rPr>
          <w:sz w:val="20"/>
          <w:szCs w:val="20"/>
          <w:color w:val="auto"/>
        </w:rPr>
      </w:pPr>
    </w:p>
    <w:p>
      <w:pPr>
        <w:ind w:left="360" w:hanging="177"/>
        <w:spacing w:after="0" w:line="284" w:lineRule="auto"/>
        <w:rPr>
          <w:sz w:val="20"/>
          <w:szCs w:val="20"/>
          <w:color w:val="auto"/>
        </w:rPr>
      </w:pPr>
      <w:r>
        <w:rPr>
          <w:rFonts w:ascii="Arial" w:cs="Arial" w:eastAsia="Arial" w:hAnsi="Arial"/>
          <w:sz w:val="18"/>
          <w:szCs w:val="18"/>
          <w:color w:val="auto"/>
        </w:rPr>
        <w:t xml:space="preserve">Total unrealized mark-to-market gains/(losses) for economic hedging activities </w:t>
      </w:r>
      <w:r>
        <w:rPr>
          <w:rFonts w:ascii="Arial" w:cs="Arial" w:eastAsia="Arial" w:hAnsi="Arial"/>
          <w:sz w:val="18"/>
          <w:szCs w:val="18"/>
          <w:color w:val="B4B4B4"/>
        </w:rPr>
        <w:t>. . . . . . . . . . . . . . . . . . . . . . . . . . . . . . . . . . . . . . . . . . . . . . . . . .</w:t>
      </w:r>
    </w:p>
    <w:p>
      <w:pPr>
        <w:ind w:left="360" w:hanging="177"/>
        <w:spacing w:after="0" w:line="286" w:lineRule="auto"/>
        <w:rPr>
          <w:sz w:val="20"/>
          <w:szCs w:val="20"/>
          <w:color w:val="auto"/>
        </w:rPr>
      </w:pPr>
      <w:r>
        <w:rPr>
          <w:rFonts w:ascii="Arial" w:cs="Arial" w:eastAsia="Arial" w:hAnsi="Arial"/>
          <w:sz w:val="18"/>
          <w:szCs w:val="18"/>
          <w:color w:val="auto"/>
        </w:rPr>
        <w:t xml:space="preserve">Reversal of previously recognized unrealized (gains)/losses on settled positions related to trading activity </w:t>
      </w:r>
      <w:r>
        <w:rPr>
          <w:rFonts w:ascii="Arial" w:cs="Arial" w:eastAsia="Arial" w:hAnsi="Arial"/>
          <w:sz w:val="18"/>
          <w:szCs w:val="18"/>
          <w:color w:val="B4B4B4"/>
        </w:rPr>
        <w:t>. . . . . . . . . . . . . . . . . . . . . . . . . . . . .</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Net unrealized gains/(losses) on open positions related to trading activity </w:t>
      </w:r>
      <w:r>
        <w:rPr>
          <w:rFonts w:ascii="Arial" w:cs="Arial" w:eastAsia="Arial" w:hAnsi="Arial"/>
          <w:sz w:val="16"/>
          <w:szCs w:val="16"/>
          <w:color w:val="B4B4B4"/>
        </w:rPr>
        <w:t>.</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Total unrealized mark-to-market gains/(losses) for trading activity </w:t>
      </w:r>
      <w:r>
        <w:rPr>
          <w:rFonts w:ascii="Arial" w:cs="Arial" w:eastAsia="Arial" w:hAnsi="Arial"/>
          <w:sz w:val="18"/>
          <w:szCs w:val="18"/>
          <w:color w:val="B4B4B4"/>
        </w:rPr>
        <w:t>. . . . . .</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Total unrealized gains/(losses) - commodities and foreign exchange </w:t>
      </w:r>
      <w:r>
        <w:rPr>
          <w:rFonts w:ascii="Arial" w:cs="Arial" w:eastAsia="Arial" w:hAnsi="Arial"/>
          <w:sz w:val="16"/>
          <w:szCs w:val="16"/>
          <w:b w:val="1"/>
          <w:bCs w:val="1"/>
          <w:color w:val="B4B4B4"/>
        </w:rPr>
        <w: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52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106</w:t>
            </w:r>
          </w:p>
        </w:tc>
        <w:tc>
          <w:tcPr>
            <w:tcW w:w="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(1,734)</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(1,232)</w:t>
            </w:r>
          </w:p>
        </w:tc>
      </w:tr>
      <w:tr>
        <w:trPr>
          <w:trHeight w:val="297"/>
        </w:trPr>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492"/>
        </w:trPr>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(1,149)</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2,478</w:t>
            </w:r>
          </w:p>
        </w:tc>
      </w:tr>
      <w:tr>
        <w:trPr>
          <w:trHeight w:val="470"/>
        </w:trPr>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206</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(2,863)</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1,248</w:t>
            </w:r>
          </w:p>
        </w:tc>
      </w:tr>
      <w:tr>
        <w:trPr>
          <w:trHeight w:val="468"/>
        </w:trPr>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99"/>
        </w:trPr>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r>
      <w:tr>
        <w:trPr>
          <w:trHeight w:val="277"/>
        </w:trPr>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r>
      <w:tr>
        <w:trPr>
          <w:trHeight w:val="257"/>
        </w:trPr>
        <w:tc>
          <w:tcPr>
            <w:tcW w:w="52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207</w:t>
            </w:r>
          </w:p>
        </w:tc>
        <w:tc>
          <w:tcPr>
            <w:tcW w:w="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(2,825)</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1,244</w:t>
            </w:r>
          </w:p>
        </w:tc>
      </w:tr>
      <w:tr>
        <w:trPr>
          <w:trHeight w:val="20"/>
        </w:trPr>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880" w:h="15480" w:orient="portrait"/>
          <w:cols w:equalWidth="0" w:num="2">
            <w:col w:w="6060" w:space="60"/>
            <w:col w:w="4040"/>
          </w:cols>
          <w:pgMar w:left="860" w:top="505" w:right="860" w:bottom="0" w:gutter="0" w:footer="0" w:header="0"/>
          <w:type w:val="continuous"/>
        </w:sectPr>
      </w:pPr>
    </w:p>
    <w:p>
      <w:pPr>
        <w:ind w:firstLine="1"/>
        <w:spacing w:after="0" w:line="278" w:lineRule="auto"/>
        <w:tabs>
          <w:tab w:leader="none" w:pos="222" w:val="left"/>
        </w:tabs>
        <w:numPr>
          <w:ilvl w:val="0"/>
          <w:numId w:val="75"/>
        </w:numPr>
        <w:rPr>
          <w:rFonts w:ascii="Arial" w:cs="Arial" w:eastAsia="Arial" w:hAnsi="Arial"/>
          <w:sz w:val="16"/>
          <w:szCs w:val="16"/>
          <w:color w:val="auto"/>
        </w:rPr>
      </w:pPr>
      <w:r>
        <w:rPr>
          <w:rFonts w:ascii="Arial" w:cs="Arial" w:eastAsia="Arial" w:hAnsi="Arial"/>
          <w:sz w:val="16"/>
          <w:szCs w:val="16"/>
          <w:color w:val="auto"/>
        </w:rPr>
        <w:t>December 31, 2024 balance includes $37 million related to derivative contracts that were elected as NPNS on October 1, 2024 and are no longer valued at fair value on a recurring basis</w:t>
      </w:r>
    </w:p>
    <w:p>
      <w:pPr>
        <w:spacing w:after="0" w:line="15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Year Ended December 31,</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7"/>
        </w:trPr>
        <w:tc>
          <w:tcPr>
            <w:tcW w:w="6060" w:type="dxa"/>
            <w:vAlign w:val="bottom"/>
          </w:tcPr>
          <w:p>
            <w:pPr>
              <w:spacing w:after="0"/>
              <w:rPr>
                <w:sz w:val="20"/>
                <w:szCs w:val="20"/>
                <w:color w:val="auto"/>
              </w:rPr>
            </w:pPr>
            <w:r>
              <w:rPr>
                <w:rFonts w:ascii="Arial" w:cs="Arial" w:eastAsia="Arial" w:hAnsi="Arial"/>
                <w:sz w:val="20"/>
                <w:szCs w:val="20"/>
                <w:b w:val="1"/>
                <w:bCs w:val="1"/>
                <w:color w:val="auto"/>
                <w:w w:val="90"/>
              </w:rPr>
              <w:t xml:space="preserve">Total impact to statement of operations - interest rate contracts </w:t>
            </w:r>
            <w:r>
              <w:rPr>
                <w:rFonts w:ascii="Arial" w:cs="Arial" w:eastAsia="Arial" w:hAnsi="Arial"/>
                <w:sz w:val="20"/>
                <w:szCs w:val="20"/>
                <w:b w:val="1"/>
                <w:bCs w:val="1"/>
                <w:color w:val="B4B4B4"/>
                <w:w w:val="90"/>
              </w:rPr>
              <w:t>. . . . . .</w:t>
            </w:r>
          </w:p>
        </w:tc>
        <w:tc>
          <w:tcPr>
            <w:tcW w:w="3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3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4"/>
                <w:szCs w:val="24"/>
                <w:color w:val="auto"/>
              </w:rPr>
            </w:pPr>
          </w:p>
        </w:tc>
        <w:tc>
          <w:tcPr>
            <w:tcW w:w="3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6060" w:type="dxa"/>
            <w:vAlign w:val="bottom"/>
          </w:tcPr>
          <w:p>
            <w:pPr>
              <w:spacing w:after="0"/>
              <w:rPr>
                <w:sz w:val="20"/>
                <w:szCs w:val="20"/>
                <w:color w:val="auto"/>
              </w:rPr>
            </w:pPr>
            <w:r>
              <w:rPr>
                <w:rFonts w:ascii="Arial" w:cs="Arial" w:eastAsia="Arial" w:hAnsi="Arial"/>
                <w:sz w:val="20"/>
                <w:szCs w:val="20"/>
                <w:color w:val="auto"/>
                <w:w w:val="90"/>
              </w:rPr>
              <w:t xml:space="preserve">Unrealized (losses)/gains included in revenues - commodities </w:t>
            </w:r>
            <w:r>
              <w:rPr>
                <w:rFonts w:ascii="Arial" w:cs="Arial" w:eastAsia="Arial" w:hAnsi="Arial"/>
                <w:sz w:val="20"/>
                <w:szCs w:val="20"/>
                <w:color w:val="B4B4B4"/>
                <w:w w:val="90"/>
              </w:rPr>
              <w:t>. . . . . . . . . . .</w:t>
            </w: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w:t>
            </w:r>
          </w:p>
        </w:tc>
        <w:tc>
          <w:tcPr>
            <w:tcW w:w="38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182</w:t>
            </w:r>
          </w:p>
        </w:tc>
        <w:tc>
          <w:tcPr>
            <w:tcW w:w="38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0"/>
                <w:szCs w:val="20"/>
                <w:color w:val="auto"/>
              </w:rPr>
            </w:pPr>
            <w:r>
              <w:rPr>
                <w:rFonts w:ascii="Arial" w:cs="Arial" w:eastAsia="Arial" w:hAnsi="Arial"/>
                <w:sz w:val="20"/>
                <w:szCs w:val="20"/>
                <w:color w:val="auto"/>
                <w:w w:val="91"/>
              </w:rPr>
              <w:t xml:space="preserve">Unrealized gains/(losses) included in cost of operations - commodities </w:t>
            </w:r>
            <w:r>
              <w:rPr>
                <w:rFonts w:ascii="Arial" w:cs="Arial" w:eastAsia="Arial" w:hAnsi="Arial"/>
                <w:sz w:val="20"/>
                <w:szCs w:val="20"/>
                <w:color w:val="B4B4B4"/>
                <w:w w:val="91"/>
              </w:rPr>
              <w:t>. . . .</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186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(2,988)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1,315</w:t>
            </w:r>
          </w:p>
        </w:tc>
        <w:tc>
          <w:tcPr>
            <w:tcW w:w="0" w:type="dxa"/>
            <w:vAlign w:val="bottom"/>
          </w:tcPr>
          <w:p>
            <w:pPr>
              <w:spacing w:after="0"/>
              <w:rPr>
                <w:sz w:val="1"/>
                <w:szCs w:val="1"/>
                <w:color w:val="auto"/>
              </w:rPr>
            </w:pPr>
          </w:p>
        </w:tc>
      </w:tr>
      <w:tr>
        <w:trPr>
          <w:trHeight w:val="299"/>
        </w:trPr>
        <w:tc>
          <w:tcPr>
            <w:tcW w:w="6060" w:type="dxa"/>
            <w:vAlign w:val="bottom"/>
          </w:tcPr>
          <w:p>
            <w:pPr>
              <w:spacing w:after="0"/>
              <w:rPr>
                <w:sz w:val="20"/>
                <w:szCs w:val="20"/>
                <w:color w:val="auto"/>
              </w:rPr>
            </w:pPr>
            <w:r>
              <w:rPr>
                <w:rFonts w:ascii="Arial" w:cs="Arial" w:eastAsia="Arial" w:hAnsi="Arial"/>
                <w:sz w:val="20"/>
                <w:szCs w:val="20"/>
                <w:color w:val="auto"/>
                <w:w w:val="91"/>
              </w:rPr>
              <w:t>Unrealized gains/(losses) included in cost of operations - foreign exchange</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10"/>
        </w:trPr>
        <w:tc>
          <w:tcPr>
            <w:tcW w:w="6060" w:type="dxa"/>
            <w:vAlign w:val="bottom"/>
          </w:tcPr>
          <w:p>
            <w:pPr>
              <w:spacing w:after="0" w:line="209" w:lineRule="exact"/>
              <w:rPr>
                <w:sz w:val="20"/>
                <w:szCs w:val="20"/>
                <w:color w:val="auto"/>
              </w:rPr>
            </w:pPr>
            <w:r>
              <w:rPr>
                <w:rFonts w:ascii="Arial" w:cs="Arial" w:eastAsia="Arial" w:hAnsi="Arial"/>
                <w:sz w:val="20"/>
                <w:szCs w:val="20"/>
                <w:b w:val="1"/>
                <w:bCs w:val="1"/>
                <w:color w:val="auto"/>
                <w:w w:val="95"/>
              </w:rPr>
              <w:t>Total impact to statement of operations - commodities and foreign</w:t>
            </w:r>
          </w:p>
        </w:tc>
        <w:tc>
          <w:tcPr>
            <w:tcW w:w="300" w:type="dxa"/>
            <w:vAlign w:val="bottom"/>
            <w:vMerge w:val="restart"/>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207</w:t>
            </w:r>
          </w:p>
        </w:tc>
        <w:tc>
          <w:tcPr>
            <w:tcW w:w="80" w:type="dxa"/>
            <w:vAlign w:val="bottom"/>
            <w:vMerge w:val="restart"/>
          </w:tcPr>
          <w:p>
            <w:pPr>
              <w:spacing w:after="0"/>
              <w:rPr>
                <w:sz w:val="18"/>
                <w:szCs w:val="18"/>
                <w:color w:val="auto"/>
              </w:rPr>
            </w:pPr>
          </w:p>
        </w:tc>
        <w:tc>
          <w:tcPr>
            <w:tcW w:w="300" w:type="dxa"/>
            <w:vAlign w:val="bottom"/>
            <w:vMerge w:val="restart"/>
          </w:tcPr>
          <w:p>
            <w:pPr>
              <w:jc w:val="right"/>
              <w:ind w:right="61"/>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(2,825)</w:t>
            </w:r>
          </w:p>
        </w:tc>
        <w:tc>
          <w:tcPr>
            <w:tcW w:w="80" w:type="dxa"/>
            <w:vAlign w:val="bottom"/>
            <w:vMerge w:val="restart"/>
          </w:tcPr>
          <w:p>
            <w:pPr>
              <w:spacing w:after="0"/>
              <w:rPr>
                <w:sz w:val="18"/>
                <w:szCs w:val="18"/>
                <w:color w:val="auto"/>
              </w:rPr>
            </w:pPr>
          </w:p>
        </w:tc>
        <w:tc>
          <w:tcPr>
            <w:tcW w:w="300" w:type="dxa"/>
            <w:vAlign w:val="bottom"/>
            <w:vMerge w:val="restart"/>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1,244</w:t>
            </w:r>
          </w:p>
        </w:tc>
        <w:tc>
          <w:tcPr>
            <w:tcW w:w="0" w:type="dxa"/>
            <w:vAlign w:val="bottom"/>
          </w:tcPr>
          <w:p>
            <w:pPr>
              <w:spacing w:after="0"/>
              <w:rPr>
                <w:sz w:val="1"/>
                <w:szCs w:val="1"/>
                <w:color w:val="auto"/>
              </w:rPr>
            </w:pPr>
          </w:p>
        </w:tc>
      </w:tr>
      <w:tr>
        <w:trPr>
          <w:trHeight w:val="265"/>
        </w:trPr>
        <w:tc>
          <w:tcPr>
            <w:tcW w:w="6060" w:type="dxa"/>
            <w:vAlign w:val="bottom"/>
          </w:tcPr>
          <w:p>
            <w:pPr>
              <w:spacing w:after="0"/>
              <w:rPr>
                <w:sz w:val="20"/>
                <w:szCs w:val="20"/>
                <w:color w:val="auto"/>
              </w:rPr>
            </w:pPr>
            <w:r>
              <w:rPr>
                <w:rFonts w:ascii="Arial" w:cs="Arial" w:eastAsia="Arial" w:hAnsi="Arial"/>
                <w:sz w:val="20"/>
                <w:szCs w:val="20"/>
                <w:b w:val="1"/>
                <w:bCs w:val="1"/>
                <w:color w:val="auto"/>
                <w:w w:val="90"/>
              </w:rPr>
              <w:t xml:space="preserve">exchange </w:t>
            </w:r>
            <w:r>
              <w:rPr>
                <w:rFonts w:ascii="Arial" w:cs="Arial" w:eastAsia="Arial" w:hAnsi="Arial"/>
                <w:sz w:val="20"/>
                <w:szCs w:val="20"/>
                <w:b w:val="1"/>
                <w:bCs w:val="1"/>
                <w:color w:val="B4B4B4"/>
                <w:w w:val="90"/>
              </w:rPr>
              <w:t>. . . . . . . . . . . . . . . . . . . . . . . . . . . . . . . . . . . . . . . . . . . . . . . . . . . .</w:t>
            </w:r>
          </w:p>
        </w:tc>
        <w:tc>
          <w:tcPr>
            <w:tcW w:w="30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line="209" w:lineRule="exact"/>
              <w:rPr>
                <w:sz w:val="20"/>
                <w:szCs w:val="20"/>
                <w:color w:val="auto"/>
              </w:rPr>
            </w:pPr>
            <w:r>
              <w:rPr>
                <w:rFonts w:ascii="Arial" w:cs="Arial" w:eastAsia="Arial" w:hAnsi="Arial"/>
                <w:sz w:val="20"/>
                <w:szCs w:val="20"/>
                <w:b w:val="1"/>
                <w:bCs w:val="1"/>
                <w:color w:val="auto"/>
              </w:rPr>
              <w:t>Total impact to statement of operations - Consumer Financing</w:t>
            </w:r>
          </w:p>
        </w:tc>
        <w:tc>
          <w:tcPr>
            <w:tcW w:w="300" w:type="dxa"/>
            <w:vAlign w:val="bottom"/>
            <w:vMerge w:val="restart"/>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(14)</w:t>
            </w:r>
          </w:p>
        </w:tc>
        <w:tc>
          <w:tcPr>
            <w:tcW w:w="80" w:type="dxa"/>
            <w:vAlign w:val="bottom"/>
            <w:vMerge w:val="restart"/>
          </w:tcPr>
          <w:p>
            <w:pPr>
              <w:spacing w:after="0"/>
              <w:rPr>
                <w:sz w:val="18"/>
                <w:szCs w:val="18"/>
                <w:color w:val="auto"/>
              </w:rPr>
            </w:pPr>
          </w:p>
        </w:tc>
        <w:tc>
          <w:tcPr>
            <w:tcW w:w="300" w:type="dxa"/>
            <w:vAlign w:val="bottom"/>
            <w:vMerge w:val="restart"/>
          </w:tcPr>
          <w:p>
            <w:pPr>
              <w:jc w:val="right"/>
              <w:ind w:right="61"/>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(16)</w:t>
            </w:r>
          </w:p>
        </w:tc>
        <w:tc>
          <w:tcPr>
            <w:tcW w:w="80" w:type="dxa"/>
            <w:vAlign w:val="bottom"/>
            <w:vMerge w:val="restart"/>
          </w:tcPr>
          <w:p>
            <w:pPr>
              <w:spacing w:after="0"/>
              <w:rPr>
                <w:sz w:val="18"/>
                <w:szCs w:val="18"/>
                <w:color w:val="auto"/>
              </w:rPr>
            </w:pPr>
          </w:p>
        </w:tc>
        <w:tc>
          <w:tcPr>
            <w:tcW w:w="300" w:type="dxa"/>
            <w:vAlign w:val="bottom"/>
            <w:vMerge w:val="restart"/>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5"/>
        </w:trPr>
        <w:tc>
          <w:tcPr>
            <w:tcW w:w="6060" w:type="dxa"/>
            <w:vAlign w:val="bottom"/>
          </w:tcPr>
          <w:p>
            <w:pPr>
              <w:spacing w:after="0"/>
              <w:rPr>
                <w:sz w:val="20"/>
                <w:szCs w:val="20"/>
                <w:color w:val="auto"/>
              </w:rPr>
            </w:pPr>
            <w:r>
              <w:rPr>
                <w:rFonts w:ascii="Arial" w:cs="Arial" w:eastAsia="Arial" w:hAnsi="Arial"/>
                <w:sz w:val="20"/>
                <w:szCs w:val="20"/>
                <w:b w:val="1"/>
                <w:bCs w:val="1"/>
                <w:color w:val="auto"/>
                <w:w w:val="89"/>
              </w:rPr>
              <w:t xml:space="preserve">Program </w:t>
            </w:r>
            <w:r>
              <w:rPr>
                <w:rFonts w:ascii="Arial" w:cs="Arial" w:eastAsia="Arial" w:hAnsi="Arial"/>
                <w:sz w:val="20"/>
                <w:szCs w:val="20"/>
                <w:b w:val="1"/>
                <w:bCs w:val="1"/>
                <w:color w:val="B4B4B4"/>
                <w:w w:val="89"/>
              </w:rPr>
              <w:t>. . . . . . . . . . . . . . . . . . . . . . . . . . . . . . . . . . . . . . . . . . . . . . . . . . . . .</w:t>
            </w:r>
          </w:p>
        </w:tc>
        <w:tc>
          <w:tcPr>
            <w:tcW w:w="30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-1395095</wp:posOffset>
            </wp:positionV>
            <wp:extent cx="6428105" cy="14020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08">
                      <a:extLst>
                        <a:ext uri="{28A0092B-C50C-407E-A947-70E740481C1C}"/>
                      </a:extLst>
                    </a:blip>
                    <a:srcRect/>
                    <a:stretch>
                      <a:fillRect/>
                    </a:stretch>
                  </pic:blipFill>
                  <pic:spPr bwMode="auto">
                    <a:xfrm>
                      <a:off x="0" y="0"/>
                      <a:ext cx="6428105" cy="1402080"/>
                    </a:xfrm>
                    <a:prstGeom prst="rect">
                      <a:avLst/>
                    </a:prstGeom>
                    <a:noFill/>
                  </pic:spPr>
                </pic:pic>
              </a:graphicData>
            </a:graphic>
          </wp:anchor>
        </w:drawing>
      </w:r>
    </w:p>
    <w:p>
      <w:pPr>
        <w:spacing w:after="0" w:line="128"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reversals of acquired loss/(gain) positions were valued based upon the forward prices on the acquisition date. The roll-off amounts were offset by realized gains or losses at the settled prices and are reflected in revenue or cost of operations during the same period.</w:t>
      </w:r>
    </w:p>
    <w:p>
      <w:pPr>
        <w:spacing w:after="0" w:line="78" w:lineRule="exact"/>
        <w:rPr>
          <w:sz w:val="20"/>
          <w:szCs w:val="20"/>
          <w:color w:val="auto"/>
        </w:rPr>
      </w:pPr>
    </w:p>
    <w:p>
      <w:pPr>
        <w:jc w:val="both"/>
        <w:ind w:firstLine="445"/>
        <w:spacing w:after="0" w:line="335" w:lineRule="auto"/>
        <w:rPr>
          <w:sz w:val="20"/>
          <w:szCs w:val="20"/>
          <w:color w:val="auto"/>
        </w:rPr>
      </w:pPr>
      <w:r>
        <w:rPr>
          <w:rFonts w:ascii="Arial" w:cs="Arial" w:eastAsia="Arial" w:hAnsi="Arial"/>
          <w:sz w:val="18"/>
          <w:szCs w:val="18"/>
          <w:color w:val="auto"/>
        </w:rPr>
        <w:t>The gains from open economic hedge positions of $95 million for the year ended December 31, 2024 was primarily the result of an increase in the value of forward positions as a result of increases in natural gas and power prices in the East.</w:t>
      </w:r>
    </w:p>
    <w:p>
      <w:pPr>
        <w:spacing w:after="0" w:line="16"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loss from open economic hedge positions of $1.1 billion for the year ended December 31, 2023 was primarily the result of a decrease in the value of forward positions as a result of decreases in natural gas and power prices in the East and West.</w:t>
      </w:r>
    </w:p>
    <w:p>
      <w:pPr>
        <w:spacing w:after="0" w:line="78" w:lineRule="exact"/>
        <w:rPr>
          <w:sz w:val="20"/>
          <w:szCs w:val="20"/>
          <w:color w:val="auto"/>
        </w:rPr>
      </w:pPr>
    </w:p>
    <w:p>
      <w:pPr>
        <w:jc w:val="both"/>
        <w:ind w:firstLine="445"/>
        <w:spacing w:after="0" w:line="304" w:lineRule="auto"/>
        <w:rPr>
          <w:sz w:val="20"/>
          <w:szCs w:val="20"/>
          <w:color w:val="auto"/>
        </w:rPr>
      </w:pPr>
      <w:r>
        <w:rPr>
          <w:rFonts w:ascii="Arial" w:cs="Arial" w:eastAsia="Arial" w:hAnsi="Arial"/>
          <w:sz w:val="19"/>
          <w:szCs w:val="19"/>
          <w:color w:val="auto"/>
        </w:rPr>
        <w:t>The gains from open economic hedge positions of $2.5 billion for the year ended December 31, 2022 was primarily the result of an increase in the value of forward positions as a result of increases in natural gas and power prices.</w:t>
      </w:r>
    </w:p>
    <w:p>
      <w:pPr>
        <w:spacing w:after="0" w:line="33"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Credit Risk Related Contingent Features</w:t>
      </w:r>
    </w:p>
    <w:p>
      <w:pPr>
        <w:spacing w:after="0" w:line="134" w:lineRule="exact"/>
        <w:rPr>
          <w:sz w:val="20"/>
          <w:szCs w:val="20"/>
          <w:color w:val="auto"/>
        </w:rPr>
      </w:pPr>
    </w:p>
    <w:p>
      <w:pPr>
        <w:jc w:val="both"/>
        <w:ind w:firstLine="445"/>
        <w:spacing w:after="0" w:line="334" w:lineRule="auto"/>
        <w:rPr>
          <w:sz w:val="20"/>
          <w:szCs w:val="20"/>
          <w:color w:val="auto"/>
        </w:rPr>
      </w:pPr>
      <w:r>
        <w:rPr>
          <w:rFonts w:ascii="Arial" w:cs="Arial" w:eastAsia="Arial" w:hAnsi="Arial"/>
          <w:sz w:val="16"/>
          <w:szCs w:val="16"/>
          <w:color w:val="auto"/>
        </w:rPr>
        <w:t>Certain of the Company's hedging and trading agreements contain provisions that entitle the counterparty to demand that the Company post additional collateral if the counterparty determines that there has been deterioration in the Company's credit quality, generally termed “adequate assurance” under the agreements, or require the Company to post additional collateral if there were a downgrade in the Company's credit rating. The collateral potentially required for contracts with adequate assurance clauses that are in net liability positions as of December 31, 2024 was $589 million. The Company is also a party to certain</w:t>
      </w:r>
    </w:p>
    <w:p>
      <w:pPr>
        <w:sectPr>
          <w:pgSz w:w="11880" w:h="15480" w:orient="portrait"/>
          <w:cols w:equalWidth="0" w:num="1">
            <w:col w:w="10160"/>
          </w:cols>
          <w:pgMar w:left="860" w:top="505" w:right="860"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ectPr>
          <w:pgSz w:w="11880" w:h="15480" w:orient="portrait"/>
          <w:cols w:equalWidth="0" w:num="1">
            <w:col w:w="10160"/>
          </w:cols>
          <w:pgMar w:left="860" w:top="505" w:right="860" w:bottom="0" w:gutter="0" w:footer="0" w:header="0"/>
          <w:type w:val="continuous"/>
        </w:sectPr>
      </w:pPr>
    </w:p>
    <w:bookmarkStart w:id="124" w:name="page125"/>
    <w:bookmarkEnd w:id="124"/>
    <w:p>
      <w:pPr>
        <w:jc w:val="both"/>
        <w:spacing w:after="0" w:line="257" w:lineRule="auto"/>
        <w:rPr>
          <w:sz w:val="20"/>
          <w:szCs w:val="20"/>
          <w:color w:val="auto"/>
        </w:rPr>
      </w:pPr>
      <w:r>
        <w:rPr>
          <w:rFonts w:ascii="Arial" w:cs="Arial" w:eastAsia="Arial" w:hAnsi="Arial"/>
          <w:sz w:val="20"/>
          <w:szCs w:val="20"/>
          <w:color w:val="auto"/>
        </w:rPr>
        <w:t>marginable agreements under which it has a net liability position, but the counterparty has not called for the collateral due, which was approximately $54 million as of December 31, 2024. In the event of a downgrade in the Company's credit rating and if called for by the counterparty, $10 million of additional collateral would be required for all contracts with credit rating contingent features as of December 31, 2024.</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 xml:space="preserve">See Note 5, </w:t>
      </w:r>
      <w:r>
        <w:rPr>
          <w:rFonts w:ascii="Arial" w:cs="Arial" w:eastAsia="Arial" w:hAnsi="Arial"/>
          <w:sz w:val="20"/>
          <w:szCs w:val="20"/>
          <w:b w:val="1"/>
          <w:bCs w:val="1"/>
          <w:i w:val="1"/>
          <w:iCs w:val="1"/>
          <w:color w:val="auto"/>
        </w:rPr>
        <w:t>Fair Value of Financial Instruments,</w:t>
      </w:r>
      <w:r>
        <w:rPr>
          <w:rFonts w:ascii="Arial" w:cs="Arial" w:eastAsia="Arial" w:hAnsi="Arial"/>
          <w:sz w:val="20"/>
          <w:szCs w:val="20"/>
          <w:color w:val="auto"/>
        </w:rPr>
        <w:t xml:space="preserve"> for discussion regarding concentration of credit risk.</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7 — </w:t>
      </w:r>
      <w:r>
        <w:rPr>
          <w:rFonts w:ascii="Arial" w:cs="Arial" w:eastAsia="Arial" w:hAnsi="Arial"/>
          <w:sz w:val="20"/>
          <w:szCs w:val="20"/>
          <w:b w:val="1"/>
          <w:bCs w:val="1"/>
          <w:i w:val="1"/>
          <w:iCs w:val="1"/>
          <w:color w:val="auto"/>
        </w:rPr>
        <w:t>Inventory</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Inventory consisted of:</w:t>
      </w:r>
    </w:p>
    <w:p>
      <w:pPr>
        <w:spacing w:after="0" w:line="70"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As of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ind w:left="60"/>
              <w:spacing w:after="0"/>
              <w:rPr>
                <w:sz w:val="20"/>
                <w:szCs w:val="20"/>
                <w:color w:val="auto"/>
              </w:rPr>
            </w:pPr>
            <w:r>
              <w:rPr>
                <w:rFonts w:ascii="Arial" w:cs="Arial" w:eastAsia="Arial" w:hAnsi="Arial"/>
                <w:sz w:val="16"/>
                <w:szCs w:val="16"/>
                <w:b w:val="1"/>
                <w:bCs w:val="1"/>
                <w:color w:val="auto"/>
              </w:rPr>
              <w:t>(In millions)</w:t>
            </w: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75"/>
        </w:trPr>
        <w:tc>
          <w:tcPr>
            <w:tcW w:w="6340" w:type="dxa"/>
            <w:vAlign w:val="bottom"/>
            <w:gridSpan w:val="2"/>
          </w:tcPr>
          <w:p>
            <w:pPr>
              <w:ind w:left="60"/>
              <w:spacing w:after="0"/>
              <w:rPr>
                <w:sz w:val="20"/>
                <w:szCs w:val="20"/>
                <w:color w:val="auto"/>
              </w:rPr>
            </w:pPr>
            <w:r>
              <w:rPr>
                <w:rFonts w:ascii="Arial" w:cs="Arial" w:eastAsia="Arial" w:hAnsi="Arial"/>
                <w:sz w:val="20"/>
                <w:szCs w:val="20"/>
                <w:color w:val="auto"/>
                <w:w w:val="89"/>
              </w:rPr>
              <w:t xml:space="preserve">Coal </w:t>
            </w:r>
            <w:r>
              <w:rPr>
                <w:rFonts w:ascii="Arial" w:cs="Arial" w:eastAsia="Arial" w:hAnsi="Arial"/>
                <w:sz w:val="20"/>
                <w:szCs w:val="20"/>
                <w:color w:val="B4B4B4"/>
                <w:w w:val="89"/>
              </w:rPr>
              <w:t>. . . . . . . . . . . . . . . . . . . . . . . . . . . . . . . . . . . . . . . . . . . . . . . . . . . . . . . . . . .</w:t>
            </w:r>
          </w:p>
        </w:tc>
        <w:tc>
          <w:tcPr>
            <w:tcW w:w="940" w:type="dxa"/>
            <w:vAlign w:val="bottom"/>
            <w:gridSpan w:val="3"/>
          </w:tcPr>
          <w:p>
            <w:pPr>
              <w:ind w:left="40"/>
              <w:spacing w:after="0"/>
              <w:rPr>
                <w:sz w:val="20"/>
                <w:szCs w:val="20"/>
                <w:color w:val="auto"/>
              </w:rPr>
            </w:pPr>
            <w:r>
              <w:rPr>
                <w:rFonts w:ascii="Arial" w:cs="Arial" w:eastAsia="Arial" w:hAnsi="Arial"/>
                <w:sz w:val="20"/>
                <w:szCs w:val="20"/>
                <w:color w:val="B4B4B4"/>
                <w:w w:val="98"/>
              </w:rPr>
              <w:t xml:space="preserve">. . . . . . . </w:t>
            </w:r>
            <w:r>
              <w:rPr>
                <w:rFonts w:ascii="Arial" w:cs="Arial" w:eastAsia="Arial" w:hAnsi="Arial"/>
                <w:sz w:val="20"/>
                <w:szCs w:val="20"/>
                <w:color w:val="000000"/>
                <w:w w:val="98"/>
              </w:rPr>
              <w:t>$</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194</w:t>
            </w:r>
          </w:p>
        </w:tc>
        <w:tc>
          <w:tcPr>
            <w:tcW w:w="80" w:type="dxa"/>
            <w:vAlign w:val="bottom"/>
          </w:tcPr>
          <w:p>
            <w:pPr>
              <w:spacing w:after="0"/>
              <w:rPr>
                <w:sz w:val="23"/>
                <w:szCs w:val="23"/>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178</w:t>
            </w:r>
          </w:p>
        </w:tc>
        <w:tc>
          <w:tcPr>
            <w:tcW w:w="0" w:type="dxa"/>
            <w:vAlign w:val="bottom"/>
          </w:tcPr>
          <w:p>
            <w:pPr>
              <w:spacing w:after="0"/>
              <w:rPr>
                <w:sz w:val="1"/>
                <w:szCs w:val="1"/>
                <w:color w:val="auto"/>
              </w:rPr>
            </w:pPr>
          </w:p>
        </w:tc>
      </w:tr>
      <w:tr>
        <w:trPr>
          <w:trHeight w:val="297"/>
        </w:trPr>
        <w:tc>
          <w:tcPr>
            <w:tcW w:w="7080" w:type="dxa"/>
            <w:vAlign w:val="bottom"/>
            <w:gridSpan w:val="3"/>
          </w:tcPr>
          <w:p>
            <w:pPr>
              <w:ind w:left="60"/>
              <w:spacing w:after="0"/>
              <w:rPr>
                <w:sz w:val="20"/>
                <w:szCs w:val="20"/>
                <w:color w:val="auto"/>
              </w:rPr>
            </w:pPr>
            <w:r>
              <w:rPr>
                <w:rFonts w:ascii="Arial" w:cs="Arial" w:eastAsia="Arial" w:hAnsi="Arial"/>
                <w:sz w:val="20"/>
                <w:szCs w:val="20"/>
                <w:color w:val="auto"/>
                <w:w w:val="89"/>
              </w:rPr>
              <w:t xml:space="preserve">Natural gas </w:t>
            </w:r>
            <w:r>
              <w:rPr>
                <w:rFonts w:ascii="Arial" w:cs="Arial" w:eastAsia="Arial" w:hAnsi="Arial"/>
                <w:sz w:val="20"/>
                <w:szCs w:val="20"/>
                <w:color w:val="B4B4B4"/>
                <w:w w:val="89"/>
              </w:rPr>
              <w:t>. . . . . . . . . . . . . . . . . . . . . . . . . . . . . . . . . . . . . . . . . . . . . . . . . . . . . . . . . . . .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189</w:t>
            </w:r>
          </w:p>
        </w:tc>
        <w:tc>
          <w:tcPr>
            <w:tcW w:w="0" w:type="dxa"/>
            <w:vAlign w:val="bottom"/>
          </w:tcPr>
          <w:p>
            <w:pPr>
              <w:spacing w:after="0"/>
              <w:rPr>
                <w:sz w:val="1"/>
                <w:szCs w:val="1"/>
                <w:color w:val="auto"/>
              </w:rPr>
            </w:pPr>
          </w:p>
        </w:tc>
      </w:tr>
      <w:tr>
        <w:trPr>
          <w:trHeight w:val="297"/>
        </w:trPr>
        <w:tc>
          <w:tcPr>
            <w:tcW w:w="7080" w:type="dxa"/>
            <w:vAlign w:val="bottom"/>
            <w:gridSpan w:val="3"/>
          </w:tcPr>
          <w:p>
            <w:pPr>
              <w:ind w:left="60"/>
              <w:spacing w:after="0"/>
              <w:rPr>
                <w:sz w:val="20"/>
                <w:szCs w:val="20"/>
                <w:color w:val="auto"/>
              </w:rPr>
            </w:pPr>
            <w:r>
              <w:rPr>
                <w:rFonts w:ascii="Arial" w:cs="Arial" w:eastAsia="Arial" w:hAnsi="Arial"/>
                <w:sz w:val="20"/>
                <w:szCs w:val="20"/>
                <w:color w:val="auto"/>
                <w:w w:val="90"/>
              </w:rPr>
              <w:t xml:space="preserve">Fuel oil </w:t>
            </w:r>
            <w:r>
              <w:rPr>
                <w:rFonts w:ascii="Arial" w:cs="Arial" w:eastAsia="Arial" w:hAnsi="Arial"/>
                <w:sz w:val="20"/>
                <w:szCs w:val="20"/>
                <w:color w:val="B4B4B4"/>
                <w:w w:val="90"/>
              </w:rPr>
              <w:t>. . . . . . . . . . . . . . . . . . . . . . . . . . . . . . . . . . . . . . . . . . . . . . . . . . . . . . . . . . . . . . .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97"/>
        </w:trPr>
        <w:tc>
          <w:tcPr>
            <w:tcW w:w="7080" w:type="dxa"/>
            <w:vAlign w:val="bottom"/>
            <w:gridSpan w:val="3"/>
          </w:tcPr>
          <w:p>
            <w:pPr>
              <w:ind w:left="60"/>
              <w:spacing w:after="0"/>
              <w:rPr>
                <w:sz w:val="20"/>
                <w:szCs w:val="20"/>
                <w:color w:val="auto"/>
              </w:rPr>
            </w:pPr>
            <w:r>
              <w:rPr>
                <w:rFonts w:ascii="Arial" w:cs="Arial" w:eastAsia="Arial" w:hAnsi="Arial"/>
                <w:sz w:val="20"/>
                <w:szCs w:val="20"/>
                <w:color w:val="auto"/>
                <w:w w:val="89"/>
              </w:rPr>
              <w:t xml:space="preserve">Finished goods </w:t>
            </w:r>
            <w:r>
              <w:rPr>
                <w:rFonts w:ascii="Arial" w:cs="Arial" w:eastAsia="Arial" w:hAnsi="Arial"/>
                <w:sz w:val="20"/>
                <w:szCs w:val="20"/>
                <w:color w:val="B4B4B4"/>
                <w:w w:val="89"/>
              </w:rPr>
              <w:t>. . . . . . . . . . . . . . . . . . . . . . . . . . . . . . . . . . . . . . . . . . . . . . . . . . . . . . . . .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164</w:t>
            </w:r>
          </w:p>
        </w:tc>
        <w:tc>
          <w:tcPr>
            <w:tcW w:w="0" w:type="dxa"/>
            <w:vAlign w:val="bottom"/>
          </w:tcPr>
          <w:p>
            <w:pPr>
              <w:spacing w:after="0"/>
              <w:rPr>
                <w:sz w:val="1"/>
                <w:szCs w:val="1"/>
                <w:color w:val="auto"/>
              </w:rPr>
            </w:pPr>
          </w:p>
        </w:tc>
      </w:tr>
      <w:tr>
        <w:trPr>
          <w:trHeight w:val="299"/>
        </w:trPr>
        <w:tc>
          <w:tcPr>
            <w:tcW w:w="6340" w:type="dxa"/>
            <w:vAlign w:val="bottom"/>
            <w:gridSpan w:val="2"/>
          </w:tcPr>
          <w:p>
            <w:pPr>
              <w:ind w:left="60"/>
              <w:spacing w:after="0"/>
              <w:rPr>
                <w:sz w:val="20"/>
                <w:szCs w:val="20"/>
                <w:color w:val="auto"/>
              </w:rPr>
            </w:pPr>
            <w:r>
              <w:rPr>
                <w:rFonts w:ascii="Arial" w:cs="Arial" w:eastAsia="Arial" w:hAnsi="Arial"/>
                <w:sz w:val="20"/>
                <w:szCs w:val="20"/>
                <w:color w:val="auto"/>
                <w:w w:val="88"/>
              </w:rPr>
              <w:t xml:space="preserve">Spare parts </w:t>
            </w:r>
            <w:r>
              <w:rPr>
                <w:rFonts w:ascii="Arial" w:cs="Arial" w:eastAsia="Arial" w:hAnsi="Arial"/>
                <w:sz w:val="20"/>
                <w:szCs w:val="20"/>
                <w:color w:val="B4B4B4"/>
                <w:w w:val="88"/>
              </w:rPr>
              <w:t>. . . . . . . . . . . . . . . . . . . . . . . . . . . . . . . . . . . . . . . . . . . . . . . . . . . . . .</w:t>
            </w:r>
          </w:p>
        </w:tc>
        <w:tc>
          <w:tcPr>
            <w:tcW w:w="740" w:type="dxa"/>
            <w:vAlign w:val="bottom"/>
          </w:tcPr>
          <w:p>
            <w:pPr>
              <w:ind w:left="40"/>
              <w:spacing w:after="0"/>
              <w:rPr>
                <w:sz w:val="20"/>
                <w:szCs w:val="20"/>
                <w:color w:val="auto"/>
              </w:rPr>
            </w:pPr>
            <w:r>
              <w:rPr>
                <w:rFonts w:ascii="Arial" w:cs="Arial" w:eastAsia="Arial" w:hAnsi="Arial"/>
                <w:sz w:val="20"/>
                <w:szCs w:val="20"/>
                <w:color w:val="B4B4B4"/>
                <w:w w:val="94"/>
              </w:rPr>
              <w:t>. . . . . . .</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257"/>
        </w:trPr>
        <w:tc>
          <w:tcPr>
            <w:tcW w:w="6340" w:type="dxa"/>
            <w:vAlign w:val="bottom"/>
            <w:gridSpan w:val="2"/>
          </w:tcPr>
          <w:p>
            <w:pPr>
              <w:ind w:left="180"/>
              <w:spacing w:after="0"/>
              <w:rPr>
                <w:sz w:val="20"/>
                <w:szCs w:val="20"/>
                <w:color w:val="auto"/>
              </w:rPr>
            </w:pPr>
            <w:r>
              <w:rPr>
                <w:rFonts w:ascii="Arial" w:cs="Arial" w:eastAsia="Arial" w:hAnsi="Arial"/>
                <w:sz w:val="20"/>
                <w:szCs w:val="20"/>
                <w:color w:val="auto"/>
                <w:w w:val="90"/>
              </w:rPr>
              <w:t xml:space="preserve">Total Inventory </w:t>
            </w:r>
            <w:r>
              <w:rPr>
                <w:rFonts w:ascii="Arial" w:cs="Arial" w:eastAsia="Arial" w:hAnsi="Arial"/>
                <w:sz w:val="20"/>
                <w:szCs w:val="20"/>
                <w:color w:val="B4B4B4"/>
                <w:w w:val="90"/>
              </w:rPr>
              <w:t>. . . . . . . . . . . . . . . . . . . . . . . . . . . . . . . . . . . . . . . . . . . . . . . . .</w:t>
            </w:r>
          </w:p>
        </w:tc>
        <w:tc>
          <w:tcPr>
            <w:tcW w:w="940" w:type="dxa"/>
            <w:vAlign w:val="bottom"/>
            <w:gridSpan w:val="3"/>
          </w:tcPr>
          <w:p>
            <w:pPr>
              <w:ind w:left="40"/>
              <w:spacing w:after="0"/>
              <w:rPr>
                <w:sz w:val="20"/>
                <w:szCs w:val="20"/>
                <w:color w:val="auto"/>
              </w:rPr>
            </w:pPr>
            <w:r>
              <w:rPr>
                <w:rFonts w:ascii="Arial" w:cs="Arial" w:eastAsia="Arial" w:hAnsi="Arial"/>
                <w:sz w:val="20"/>
                <w:szCs w:val="20"/>
                <w:color w:val="B4B4B4"/>
                <w:w w:val="98"/>
              </w:rPr>
              <w:t xml:space="preserve">. . . . . . . </w:t>
            </w:r>
            <w:r>
              <w:rPr>
                <w:rFonts w:ascii="Arial" w:cs="Arial" w:eastAsia="Arial" w:hAnsi="Arial"/>
                <w:sz w:val="20"/>
                <w:szCs w:val="20"/>
                <w:color w:val="000000"/>
                <w:w w:val="98"/>
              </w:rPr>
              <w:t>$</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478</w:t>
            </w:r>
          </w:p>
        </w:tc>
        <w:tc>
          <w:tcPr>
            <w:tcW w:w="80" w:type="dxa"/>
            <w:vAlign w:val="bottom"/>
          </w:tcPr>
          <w:p>
            <w:pPr>
              <w:spacing w:after="0"/>
              <w:rPr>
                <w:sz w:val="22"/>
                <w:szCs w:val="22"/>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607</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20"/>
                <w:szCs w:val="20"/>
                <w:b w:val="1"/>
                <w:bCs w:val="1"/>
                <w:color w:val="auto"/>
              </w:rPr>
              <w:t xml:space="preserve">Note 8 — </w:t>
            </w:r>
            <w:r>
              <w:rPr>
                <w:rFonts w:ascii="Arial" w:cs="Arial" w:eastAsia="Arial" w:hAnsi="Arial"/>
                <w:sz w:val="20"/>
                <w:szCs w:val="20"/>
                <w:b w:val="1"/>
                <w:bCs w:val="1"/>
                <w:i w:val="1"/>
                <w:iCs w:val="1"/>
                <w:color w:val="auto"/>
              </w:rPr>
              <w:t>Property, Plant and Equipment</w:t>
            </w: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8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280" w:type="dxa"/>
            <w:vAlign w:val="bottom"/>
            <w:gridSpan w:val="5"/>
          </w:tcPr>
          <w:p>
            <w:pPr>
              <w:ind w:left="440"/>
              <w:spacing w:after="0"/>
              <w:rPr>
                <w:sz w:val="20"/>
                <w:szCs w:val="20"/>
                <w:color w:val="auto"/>
              </w:rPr>
            </w:pPr>
            <w:r>
              <w:rPr>
                <w:rFonts w:ascii="Arial" w:cs="Arial" w:eastAsia="Arial" w:hAnsi="Arial"/>
                <w:sz w:val="20"/>
                <w:szCs w:val="20"/>
                <w:color w:val="auto"/>
                <w:w w:val="95"/>
              </w:rPr>
              <w:t>The Company's major classes of property, plant, and equipment were as follows: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58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8"/>
                <w:szCs w:val="18"/>
                <w:b w:val="1"/>
                <w:bCs w:val="1"/>
                <w:color w:val="auto"/>
                <w:w w:val="96"/>
              </w:rPr>
              <w:t>As of December 31,</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63"/>
              <w:spacing w:after="0"/>
              <w:rPr>
                <w:sz w:val="20"/>
                <w:szCs w:val="20"/>
                <w:color w:val="auto"/>
              </w:rPr>
            </w:pPr>
            <w:r>
              <w:rPr>
                <w:rFonts w:ascii="Arial" w:cs="Arial" w:eastAsia="Arial" w:hAnsi="Arial"/>
                <w:sz w:val="18"/>
                <w:szCs w:val="18"/>
                <w:b w:val="1"/>
                <w:bCs w:val="1"/>
                <w:color w:val="auto"/>
                <w:w w:val="90"/>
              </w:rPr>
              <w:t>Depreciable</w:t>
            </w:r>
          </w:p>
        </w:tc>
        <w:tc>
          <w:tcPr>
            <w:tcW w:w="0" w:type="dxa"/>
            <w:vAlign w:val="bottom"/>
          </w:tcPr>
          <w:p>
            <w:pPr>
              <w:spacing w:after="0"/>
              <w:rPr>
                <w:sz w:val="1"/>
                <w:szCs w:val="1"/>
                <w:color w:val="auto"/>
              </w:rPr>
            </w:pPr>
          </w:p>
        </w:tc>
      </w:tr>
      <w:tr>
        <w:trPr>
          <w:trHeight w:val="218"/>
        </w:trPr>
        <w:tc>
          <w:tcPr>
            <w:tcW w:w="5820" w:type="dxa"/>
            <w:vAlign w:val="bottom"/>
          </w:tcPr>
          <w:p>
            <w:pPr>
              <w:ind w:left="60"/>
              <w:spacing w:after="0"/>
              <w:rPr>
                <w:sz w:val="20"/>
                <w:szCs w:val="20"/>
                <w:color w:val="auto"/>
              </w:rPr>
            </w:pPr>
            <w:r>
              <w:rPr>
                <w:rFonts w:ascii="Arial" w:cs="Arial" w:eastAsia="Arial" w:hAnsi="Arial"/>
                <w:sz w:val="16"/>
                <w:szCs w:val="16"/>
                <w:b w:val="1"/>
                <w:bCs w:val="1"/>
                <w:color w:val="auto"/>
              </w:rPr>
              <w:t>(In millions)</w:t>
            </w: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83"/>
              <w:spacing w:after="0"/>
              <w:rPr>
                <w:sz w:val="20"/>
                <w:szCs w:val="20"/>
                <w:color w:val="auto"/>
              </w:rPr>
            </w:pPr>
            <w:r>
              <w:rPr>
                <w:rFonts w:ascii="Arial" w:cs="Arial" w:eastAsia="Arial" w:hAnsi="Arial"/>
                <w:sz w:val="18"/>
                <w:szCs w:val="18"/>
                <w:b w:val="1"/>
                <w:bCs w:val="1"/>
                <w:color w:val="auto"/>
                <w:w w:val="84"/>
              </w:rPr>
              <w:t>2024</w:t>
            </w: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2"/>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b w:val="1"/>
                <w:bCs w:val="1"/>
                <w:color w:val="auto"/>
                <w:w w:val="86"/>
              </w:rPr>
              <w:t>Lives</w:t>
            </w:r>
          </w:p>
        </w:tc>
        <w:tc>
          <w:tcPr>
            <w:tcW w:w="0" w:type="dxa"/>
            <w:vAlign w:val="bottom"/>
          </w:tcPr>
          <w:p>
            <w:pPr>
              <w:spacing w:after="0"/>
              <w:rPr>
                <w:sz w:val="1"/>
                <w:szCs w:val="1"/>
                <w:color w:val="auto"/>
              </w:rPr>
            </w:pPr>
          </w:p>
        </w:tc>
      </w:tr>
      <w:tr>
        <w:trPr>
          <w:trHeight w:val="275"/>
        </w:trPr>
        <w:tc>
          <w:tcPr>
            <w:tcW w:w="5820" w:type="dxa"/>
            <w:vAlign w:val="bottom"/>
          </w:tcPr>
          <w:p>
            <w:pPr>
              <w:ind w:left="60"/>
              <w:spacing w:after="0"/>
              <w:rPr>
                <w:sz w:val="20"/>
                <w:szCs w:val="20"/>
                <w:color w:val="auto"/>
              </w:rPr>
            </w:pPr>
            <w:r>
              <w:rPr>
                <w:rFonts w:ascii="Arial" w:cs="Arial" w:eastAsia="Arial" w:hAnsi="Arial"/>
                <w:sz w:val="20"/>
                <w:szCs w:val="20"/>
                <w:color w:val="auto"/>
                <w:w w:val="89"/>
              </w:rPr>
              <w:t xml:space="preserve">Facilities and equipment </w:t>
            </w:r>
            <w:r>
              <w:rPr>
                <w:rFonts w:ascii="Arial" w:cs="Arial" w:eastAsia="Arial" w:hAnsi="Arial"/>
                <w:sz w:val="20"/>
                <w:szCs w:val="20"/>
                <w:color w:val="B4B4B4"/>
                <w:w w:val="89"/>
              </w:rPr>
              <w:t>. . . . . . . . . . . . . . . . . . . . . . . . . . . . . . . . . . . . . .</w:t>
            </w:r>
          </w:p>
        </w:tc>
        <w:tc>
          <w:tcPr>
            <w:tcW w:w="52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20"/>
                <w:szCs w:val="20"/>
                <w:color w:val="auto"/>
              </w:rPr>
              <w:t>1,972</w:t>
            </w:r>
          </w:p>
        </w:tc>
        <w:tc>
          <w:tcPr>
            <w:tcW w:w="80" w:type="dxa"/>
            <w:vAlign w:val="bottom"/>
          </w:tcPr>
          <w:p>
            <w:pPr>
              <w:spacing w:after="0"/>
              <w:rPr>
                <w:sz w:val="23"/>
                <w:szCs w:val="23"/>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20"/>
                <w:szCs w:val="20"/>
                <w:color w:val="auto"/>
              </w:rPr>
              <w:t>1,918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center"/>
              <w:ind w:right="63"/>
              <w:spacing w:after="0"/>
              <w:rPr>
                <w:sz w:val="20"/>
                <w:szCs w:val="20"/>
                <w:color w:val="auto"/>
              </w:rPr>
            </w:pPr>
            <w:r>
              <w:rPr>
                <w:rFonts w:ascii="Arial" w:cs="Arial" w:eastAsia="Arial" w:hAnsi="Arial"/>
                <w:sz w:val="20"/>
                <w:szCs w:val="20"/>
                <w:color w:val="auto"/>
                <w:w w:val="88"/>
              </w:rPr>
              <w:t>1-40 years</w:t>
            </w:r>
          </w:p>
        </w:tc>
        <w:tc>
          <w:tcPr>
            <w:tcW w:w="0" w:type="dxa"/>
            <w:vAlign w:val="bottom"/>
          </w:tcPr>
          <w:p>
            <w:pPr>
              <w:spacing w:after="0"/>
              <w:rPr>
                <w:sz w:val="1"/>
                <w:szCs w:val="1"/>
                <w:color w:val="auto"/>
              </w:rPr>
            </w:pPr>
          </w:p>
        </w:tc>
      </w:tr>
      <w:tr>
        <w:trPr>
          <w:trHeight w:val="297"/>
        </w:trPr>
        <w:tc>
          <w:tcPr>
            <w:tcW w:w="5820" w:type="dxa"/>
            <w:vAlign w:val="bottom"/>
          </w:tcPr>
          <w:p>
            <w:pPr>
              <w:ind w:left="60"/>
              <w:spacing w:after="0"/>
              <w:rPr>
                <w:sz w:val="20"/>
                <w:szCs w:val="20"/>
                <w:color w:val="auto"/>
              </w:rPr>
            </w:pPr>
            <w:r>
              <w:rPr>
                <w:rFonts w:ascii="Arial" w:cs="Arial" w:eastAsia="Arial" w:hAnsi="Arial"/>
                <w:sz w:val="20"/>
                <w:szCs w:val="20"/>
                <w:color w:val="auto"/>
                <w:w w:val="90"/>
              </w:rPr>
              <w:t xml:space="preserve">Land and improvements </w:t>
            </w:r>
            <w:r>
              <w:rPr>
                <w:rFonts w:ascii="Arial" w:cs="Arial" w:eastAsia="Arial" w:hAnsi="Arial"/>
                <w:sz w:val="20"/>
                <w:szCs w:val="20"/>
                <w:color w:val="B4B4B4"/>
                <w:w w:val="90"/>
              </w:rPr>
              <w:t>. . . . . . . . . . . . . . . . . . . . . . . . . . . . . . . . . . . . . .</w:t>
            </w:r>
          </w:p>
        </w:tc>
        <w:tc>
          <w:tcPr>
            <w:tcW w:w="52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20"/>
                <w:szCs w:val="20"/>
                <w:color w:val="auto"/>
              </w:rPr>
              <w:t>255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20"/>
                <w:szCs w:val="20"/>
                <w:color w:val="auto"/>
              </w:rPr>
              <w:t>256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20" w:type="dxa"/>
            <w:vAlign w:val="bottom"/>
          </w:tcPr>
          <w:p>
            <w:pPr>
              <w:ind w:left="60"/>
              <w:spacing w:after="0"/>
              <w:rPr>
                <w:sz w:val="20"/>
                <w:szCs w:val="20"/>
                <w:color w:val="auto"/>
              </w:rPr>
            </w:pPr>
            <w:r>
              <w:rPr>
                <w:rFonts w:ascii="Arial" w:cs="Arial" w:eastAsia="Arial" w:hAnsi="Arial"/>
                <w:sz w:val="20"/>
                <w:szCs w:val="20"/>
                <w:color w:val="auto"/>
                <w:w w:val="90"/>
              </w:rPr>
              <w:t xml:space="preserve">Software </w:t>
            </w:r>
            <w:r>
              <w:rPr>
                <w:rFonts w:ascii="Arial" w:cs="Arial" w:eastAsia="Arial" w:hAnsi="Arial"/>
                <w:sz w:val="20"/>
                <w:szCs w:val="20"/>
                <w:color w:val="B4B4B4"/>
                <w:w w:val="90"/>
              </w:rPr>
              <w:t>. . . . . . . . . . . . . . . . . . . . . . . . . . . . . . . . . . . . . . . . . . . . . . . . . .</w:t>
            </w:r>
          </w:p>
        </w:tc>
        <w:tc>
          <w:tcPr>
            <w:tcW w:w="52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20"/>
                <w:szCs w:val="20"/>
                <w:color w:val="auto"/>
              </w:rPr>
              <w:t>582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20"/>
                <w:szCs w:val="20"/>
                <w:color w:val="auto"/>
              </w:rPr>
              <w:t>471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63"/>
              <w:spacing w:after="0"/>
              <w:rPr>
                <w:sz w:val="20"/>
                <w:szCs w:val="20"/>
                <w:color w:val="auto"/>
              </w:rPr>
            </w:pPr>
            <w:r>
              <w:rPr>
                <w:rFonts w:ascii="Arial" w:cs="Arial" w:eastAsia="Arial" w:hAnsi="Arial"/>
                <w:sz w:val="20"/>
                <w:szCs w:val="20"/>
                <w:color w:val="auto"/>
                <w:w w:val="85"/>
              </w:rPr>
              <w:t>5 years</w:t>
            </w:r>
          </w:p>
        </w:tc>
        <w:tc>
          <w:tcPr>
            <w:tcW w:w="0" w:type="dxa"/>
            <w:vAlign w:val="bottom"/>
          </w:tcPr>
          <w:p>
            <w:pPr>
              <w:spacing w:after="0"/>
              <w:rPr>
                <w:sz w:val="1"/>
                <w:szCs w:val="1"/>
                <w:color w:val="auto"/>
              </w:rPr>
            </w:pPr>
          </w:p>
        </w:tc>
      </w:tr>
      <w:tr>
        <w:trPr>
          <w:trHeight w:val="297"/>
        </w:trPr>
        <w:tc>
          <w:tcPr>
            <w:tcW w:w="5820" w:type="dxa"/>
            <w:vAlign w:val="bottom"/>
          </w:tcPr>
          <w:p>
            <w:pPr>
              <w:ind w:left="60"/>
              <w:spacing w:after="0"/>
              <w:rPr>
                <w:sz w:val="20"/>
                <w:szCs w:val="20"/>
                <w:color w:val="auto"/>
              </w:rPr>
            </w:pPr>
            <w:r>
              <w:rPr>
                <w:rFonts w:ascii="Arial" w:cs="Arial" w:eastAsia="Arial" w:hAnsi="Arial"/>
                <w:sz w:val="20"/>
                <w:szCs w:val="20"/>
                <w:color w:val="auto"/>
                <w:w w:val="91"/>
              </w:rPr>
              <w:t xml:space="preserve">Hardware and office equipment and furnishings </w:t>
            </w:r>
            <w:r>
              <w:rPr>
                <w:rFonts w:ascii="Arial" w:cs="Arial" w:eastAsia="Arial" w:hAnsi="Arial"/>
                <w:sz w:val="20"/>
                <w:szCs w:val="20"/>
                <w:color w:val="B4B4B4"/>
                <w:w w:val="91"/>
              </w:rPr>
              <w:t>. . . . . . . . . . . . . . . . . . .</w:t>
            </w:r>
          </w:p>
        </w:tc>
        <w:tc>
          <w:tcPr>
            <w:tcW w:w="52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20"/>
                <w:szCs w:val="20"/>
                <w:color w:val="auto"/>
              </w:rPr>
              <w:t>278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20"/>
                <w:szCs w:val="20"/>
                <w:color w:val="auto"/>
              </w:rPr>
              <w:t>261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63"/>
              <w:spacing w:after="0"/>
              <w:rPr>
                <w:sz w:val="20"/>
                <w:szCs w:val="20"/>
                <w:color w:val="auto"/>
              </w:rPr>
            </w:pPr>
            <w:r>
              <w:rPr>
                <w:rFonts w:ascii="Arial" w:cs="Arial" w:eastAsia="Arial" w:hAnsi="Arial"/>
                <w:sz w:val="20"/>
                <w:szCs w:val="20"/>
                <w:color w:val="auto"/>
                <w:w w:val="88"/>
              </w:rPr>
              <w:t>2-10 years</w:t>
            </w:r>
          </w:p>
        </w:tc>
        <w:tc>
          <w:tcPr>
            <w:tcW w:w="0" w:type="dxa"/>
            <w:vAlign w:val="bottom"/>
          </w:tcPr>
          <w:p>
            <w:pPr>
              <w:spacing w:after="0"/>
              <w:rPr>
                <w:sz w:val="1"/>
                <w:szCs w:val="1"/>
                <w:color w:val="auto"/>
              </w:rPr>
            </w:pPr>
          </w:p>
        </w:tc>
      </w:tr>
      <w:tr>
        <w:trPr>
          <w:trHeight w:val="299"/>
        </w:trPr>
        <w:tc>
          <w:tcPr>
            <w:tcW w:w="5820" w:type="dxa"/>
            <w:vAlign w:val="bottom"/>
          </w:tcPr>
          <w:p>
            <w:pPr>
              <w:ind w:left="60"/>
              <w:spacing w:after="0"/>
              <w:rPr>
                <w:sz w:val="20"/>
                <w:szCs w:val="20"/>
                <w:color w:val="auto"/>
              </w:rPr>
            </w:pPr>
            <w:r>
              <w:rPr>
                <w:rFonts w:ascii="Arial" w:cs="Arial" w:eastAsia="Arial" w:hAnsi="Arial"/>
                <w:sz w:val="20"/>
                <w:szCs w:val="20"/>
                <w:color w:val="auto"/>
                <w:w w:val="89"/>
              </w:rPr>
              <w:t xml:space="preserve">Construction in progress </w:t>
            </w:r>
            <w:r>
              <w:rPr>
                <w:rFonts w:ascii="Arial" w:cs="Arial" w:eastAsia="Arial" w:hAnsi="Arial"/>
                <w:sz w:val="20"/>
                <w:szCs w:val="20"/>
                <w:color w:val="B4B4B4"/>
                <w:w w:val="89"/>
              </w:rPr>
              <w:t>. . . . . . . . . . . . . . . . . . . . . . . . . . . . . . . . . . . . . .</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442</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color w:val="auto"/>
              </w:rPr>
              <w:t>152</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820" w:type="dxa"/>
            <w:vAlign w:val="bottom"/>
          </w:tcPr>
          <w:p>
            <w:pPr>
              <w:ind w:left="180"/>
              <w:spacing w:after="0"/>
              <w:rPr>
                <w:sz w:val="20"/>
                <w:szCs w:val="20"/>
                <w:color w:val="auto"/>
              </w:rPr>
            </w:pPr>
            <w:r>
              <w:rPr>
                <w:rFonts w:ascii="Arial" w:cs="Arial" w:eastAsia="Arial" w:hAnsi="Arial"/>
                <w:sz w:val="20"/>
                <w:szCs w:val="20"/>
                <w:color w:val="auto"/>
                <w:w w:val="90"/>
              </w:rPr>
              <w:t xml:space="preserve">Total property, plant, and equipment </w:t>
            </w:r>
            <w:r>
              <w:rPr>
                <w:rFonts w:ascii="Arial" w:cs="Arial" w:eastAsia="Arial" w:hAnsi="Arial"/>
                <w:sz w:val="20"/>
                <w:szCs w:val="20"/>
                <w:color w:val="B4B4B4"/>
                <w:w w:val="90"/>
              </w:rPr>
              <w:t>. . . . . . . . . . . . . . . . . . . . . . . . . . .</w:t>
            </w:r>
          </w:p>
        </w:tc>
        <w:tc>
          <w:tcPr>
            <w:tcW w:w="52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20"/>
                <w:szCs w:val="20"/>
                <w:color w:val="auto"/>
              </w:rPr>
              <w:t>3,529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20"/>
                <w:szCs w:val="20"/>
                <w:color w:val="auto"/>
              </w:rPr>
              <w:t>3,058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5820" w:type="dxa"/>
            <w:vAlign w:val="bottom"/>
          </w:tcPr>
          <w:p>
            <w:pPr>
              <w:ind w:left="60"/>
              <w:spacing w:after="0"/>
              <w:rPr>
                <w:sz w:val="20"/>
                <w:szCs w:val="20"/>
                <w:color w:val="auto"/>
              </w:rPr>
            </w:pPr>
            <w:r>
              <w:rPr>
                <w:rFonts w:ascii="Arial" w:cs="Arial" w:eastAsia="Arial" w:hAnsi="Arial"/>
                <w:sz w:val="20"/>
                <w:szCs w:val="20"/>
                <w:color w:val="auto"/>
                <w:w w:val="91"/>
              </w:rPr>
              <w:t xml:space="preserve">Accumulated depreciation </w:t>
            </w:r>
            <w:r>
              <w:rPr>
                <w:rFonts w:ascii="Arial" w:cs="Arial" w:eastAsia="Arial" w:hAnsi="Arial"/>
                <w:sz w:val="20"/>
                <w:szCs w:val="20"/>
                <w:color w:val="B4B4B4"/>
                <w:w w:val="91"/>
              </w:rPr>
              <w:t>. . . . . . . . . . . . . . . . . . . . . . . . . . . . . . . . . . . .</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(1,508)</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(1,295)</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20" w:type="dxa"/>
            <w:vAlign w:val="bottom"/>
          </w:tcPr>
          <w:p>
            <w:pPr>
              <w:ind w:left="180"/>
              <w:spacing w:after="0"/>
              <w:rPr>
                <w:sz w:val="20"/>
                <w:szCs w:val="20"/>
                <w:color w:val="auto"/>
              </w:rPr>
            </w:pPr>
            <w:r>
              <w:rPr>
                <w:rFonts w:ascii="Arial" w:cs="Arial" w:eastAsia="Arial" w:hAnsi="Arial"/>
                <w:sz w:val="20"/>
                <w:szCs w:val="20"/>
                <w:color w:val="auto"/>
                <w:w w:val="91"/>
              </w:rPr>
              <w:t xml:space="preserve">Net property, plant, and equipment  </w:t>
            </w:r>
            <w:r>
              <w:rPr>
                <w:rFonts w:ascii="Arial" w:cs="Arial" w:eastAsia="Arial" w:hAnsi="Arial"/>
                <w:sz w:val="20"/>
                <w:szCs w:val="20"/>
                <w:color w:val="B4B4B4"/>
                <w:w w:val="91"/>
              </w:rPr>
              <w:t>. . . . . . . . . . . . . . . . . . . . . . . . . . .</w:t>
            </w:r>
          </w:p>
        </w:tc>
        <w:tc>
          <w:tcPr>
            <w:tcW w:w="52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2,021</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color w:val="auto"/>
              </w:rPr>
              <w:t>1,763</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-3648710</wp:posOffset>
            </wp:positionV>
            <wp:extent cx="6456680" cy="11696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9">
                      <a:extLst>
                        <a:ext uri="{28A0092B-C50C-407E-A947-70E740481C1C}"/>
                      </a:extLst>
                    </a:blip>
                    <a:srcRect/>
                    <a:stretch>
                      <a:fillRect/>
                    </a:stretch>
                  </pic:blipFill>
                  <pic:spPr bwMode="auto">
                    <a:xfrm>
                      <a:off x="0" y="0"/>
                      <a:ext cx="6456680" cy="116967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-1539875</wp:posOffset>
            </wp:positionV>
            <wp:extent cx="6447155" cy="15468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0">
                      <a:extLst>
                        <a:ext uri="{28A0092B-C50C-407E-A947-70E740481C1C}"/>
                      </a:extLst>
                    </a:blip>
                    <a:srcRect/>
                    <a:stretch>
                      <a:fillRect/>
                    </a:stretch>
                  </pic:blipFill>
                  <pic:spPr bwMode="auto">
                    <a:xfrm>
                      <a:off x="0" y="0"/>
                      <a:ext cx="6447155" cy="1546860"/>
                    </a:xfrm>
                    <a:prstGeom prst="rect">
                      <a:avLst/>
                    </a:prstGeom>
                    <a:noFill/>
                  </pic:spPr>
                </pic:pic>
              </a:graphicData>
            </a:graphic>
          </wp:anchor>
        </w:drawing>
      </w:r>
    </w:p>
    <w:p>
      <w:pPr>
        <w:spacing w:after="0" w:line="166" w:lineRule="exact"/>
        <w:rPr>
          <w:sz w:val="20"/>
          <w:szCs w:val="20"/>
          <w:color w:val="auto"/>
        </w:rPr>
      </w:pPr>
    </w:p>
    <w:p>
      <w:pPr>
        <w:ind w:firstLine="445"/>
        <w:spacing w:after="0" w:line="277" w:lineRule="auto"/>
        <w:rPr>
          <w:sz w:val="20"/>
          <w:szCs w:val="20"/>
          <w:color w:val="auto"/>
        </w:rPr>
      </w:pPr>
      <w:r>
        <w:rPr>
          <w:rFonts w:ascii="Arial" w:cs="Arial" w:eastAsia="Arial" w:hAnsi="Arial"/>
          <w:sz w:val="20"/>
          <w:szCs w:val="20"/>
          <w:color w:val="auto"/>
        </w:rPr>
        <w:t>Depreciation expense of property, plant and equipment recorded during the years ended December 31, 2024, 2023 and 2022 was $271 million, $257 million and $291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9 — </w:t>
      </w:r>
      <w:r>
        <w:rPr>
          <w:rFonts w:ascii="Arial" w:cs="Arial" w:eastAsia="Arial" w:hAnsi="Arial"/>
          <w:sz w:val="20"/>
          <w:szCs w:val="20"/>
          <w:b w:val="1"/>
          <w:bCs w:val="1"/>
          <w:i w:val="1"/>
          <w:iCs w:val="1"/>
          <w:color w:val="auto"/>
        </w:rPr>
        <w:t>Leases</w:t>
      </w:r>
    </w:p>
    <w:p>
      <w:pPr>
        <w:spacing w:after="0" w:line="130" w:lineRule="exact"/>
        <w:rPr>
          <w:sz w:val="20"/>
          <w:szCs w:val="20"/>
          <w:color w:val="auto"/>
        </w:rPr>
      </w:pPr>
    </w:p>
    <w:p>
      <w:pPr>
        <w:jc w:val="both"/>
        <w:ind w:firstLine="490"/>
        <w:spacing w:after="0" w:line="321" w:lineRule="auto"/>
        <w:rPr>
          <w:sz w:val="20"/>
          <w:szCs w:val="20"/>
          <w:color w:val="auto"/>
        </w:rPr>
      </w:pPr>
      <w:r>
        <w:rPr>
          <w:rFonts w:ascii="Arial" w:cs="Arial" w:eastAsia="Arial" w:hAnsi="Arial"/>
          <w:sz w:val="16"/>
          <w:szCs w:val="16"/>
          <w:color w:val="auto"/>
        </w:rPr>
        <w:t>The Company leases generating facilities, land, office and equipment, railcars, fleet vehicles and storefront space at retail stores. Operating leases with an initial term greater than twelve months are recognized as right-of-use assets and lease liabilities in the consolidated balance sheets. The Company made an accounting policy election, as permitted by ASC 842, for all asset classes not to recognize right-of-use assets and lease liabilities in the consolidated balance sheets for its short-term leases, which are leases that have a lease term of twelve months or less. For the initial measurement of lease liabilities, the discount rate that the Company uses is either the rate implicit in the lease, if known, or its incremental borrowing rate, which is the rate of interest that the Company would have to pay to borrow, on a collateralized basis, over a similar term an amount equal to the payments for the lease. The Company recognizes lease expense for all operating leases on a straight-line basis over the lease term. In the future, should another systematic basis become more representative of the pattern in which the lessee expects to consume the remaining economic benefit of the right-of-use asset, the Company will use that basis for lease expense.</w:t>
      </w:r>
    </w:p>
    <w:p>
      <w:pPr>
        <w:spacing w:after="0" w:line="280"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9"/>
          <w:szCs w:val="19"/>
          <w:color w:val="auto"/>
        </w:rPr>
        <w:t>The Company considers a contract to be or to contain a lease when both of the following conditions apply: 1) an asset is either explicitly or implicitly identified in the contract and 2) the contract conveys to the Company the right to control the use of the identified asset for a period of time. The Company has the right to control the use of the identified asset when the Company has both the right to obtain substantially all the economic benefits from the use of the identified asset and the right to direct how and for what purpose the identified asset is used throughout the period of use.</w:t>
      </w:r>
    </w:p>
    <w:p>
      <w:pPr>
        <w:spacing w:after="0" w:line="73" w:lineRule="exact"/>
        <w:rPr>
          <w:sz w:val="20"/>
          <w:szCs w:val="20"/>
          <w:color w:val="auto"/>
        </w:rPr>
      </w:pPr>
    </w:p>
    <w:p>
      <w:pPr>
        <w:jc w:val="both"/>
        <w:ind w:firstLine="490"/>
        <w:spacing w:after="0" w:line="407" w:lineRule="auto"/>
        <w:rPr>
          <w:sz w:val="20"/>
          <w:szCs w:val="20"/>
          <w:color w:val="auto"/>
        </w:rPr>
      </w:pPr>
      <w:r>
        <w:rPr>
          <w:rFonts w:ascii="Arial" w:cs="Arial" w:eastAsia="Arial" w:hAnsi="Arial"/>
          <w:sz w:val="16"/>
          <w:szCs w:val="16"/>
          <w:color w:val="auto"/>
        </w:rPr>
        <w:t>Lease payments are typically fixed and payable on a monthly, quarterly, semi-annual or annual basis. Lease payments under certain agreements may escalate over the lease term either by a fixed percentage or a fixed dollar amount. Certain leases</w:t>
      </w:r>
    </w:p>
    <w:p>
      <w:pPr>
        <w:sectPr>
          <w:pgSz w:w="11880" w:h="15480" w:orient="portrait"/>
          <w:cols w:equalWidth="0" w:num="1">
            <w:col w:w="10160"/>
          </w:cols>
          <w:pgMar w:left="860" w:top="512" w:right="860" w:bottom="0" w:gutter="0" w:footer="0" w:header="0"/>
        </w:sect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ectPr>
          <w:pgSz w:w="11880" w:h="15480" w:orient="portrait"/>
          <w:cols w:equalWidth="0" w:num="1">
            <w:col w:w="10160"/>
          </w:cols>
          <w:pgMar w:left="860" w:top="512" w:right="860" w:bottom="0" w:gutter="0" w:footer="0" w:header="0"/>
          <w:type w:val="continuous"/>
        </w:sectPr>
      </w:pPr>
    </w:p>
    <w:bookmarkStart w:id="125" w:name="page126"/>
    <w:bookmarkEnd w:id="125"/>
    <w:p>
      <w:pPr>
        <w:jc w:val="both"/>
        <w:spacing w:after="0" w:line="282" w:lineRule="auto"/>
        <w:rPr>
          <w:sz w:val="20"/>
          <w:szCs w:val="20"/>
          <w:color w:val="auto"/>
        </w:rPr>
      </w:pPr>
      <w:r>
        <w:rPr>
          <w:rFonts w:ascii="Arial" w:cs="Arial" w:eastAsia="Arial" w:hAnsi="Arial"/>
          <w:sz w:val="19"/>
          <w:szCs w:val="19"/>
          <w:color w:val="auto"/>
        </w:rPr>
        <w:t>may provide for variable lease payments in the form of payments based on unit availability, usage, a percentage of sales from the location under lease, or index-based (e.g., the U.S. Consumer Price Index) adjustments to lease payments. The Company has no leases which contain residual value guarantees provided by the Company as a lessee.</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20"/>
          <w:szCs w:val="20"/>
          <w:color w:val="auto"/>
        </w:rPr>
        <w:t>Lease Cost:</w:t>
      </w:r>
    </w:p>
    <w:p>
      <w:pPr>
        <w:spacing w:after="0" w:line="10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10"/>
          </w:tcPr>
          <w:p>
            <w:pPr>
              <w:jc w:val="center"/>
              <w:ind w:right="543"/>
              <w:spacing w:after="0"/>
              <w:rPr>
                <w:sz w:val="20"/>
                <w:szCs w:val="20"/>
                <w:color w:val="auto"/>
              </w:rPr>
            </w:pPr>
            <w:r>
              <w:rPr>
                <w:rFonts w:ascii="Arial" w:cs="Arial" w:eastAsia="Arial" w:hAnsi="Arial"/>
                <w:sz w:val="18"/>
                <w:szCs w:val="18"/>
                <w:b w:val="1"/>
                <w:bCs w:val="1"/>
                <w:color w:val="auto"/>
                <w:w w:val="90"/>
              </w:rPr>
              <w:t>For the Year Ended December 31,</w:t>
            </w:r>
          </w:p>
        </w:tc>
        <w:tc>
          <w:tcPr>
            <w:tcW w:w="0" w:type="dxa"/>
            <w:vAlign w:val="bottom"/>
          </w:tcPr>
          <w:p>
            <w:pPr>
              <w:spacing w:after="0"/>
              <w:rPr>
                <w:sz w:val="1"/>
                <w:szCs w:val="1"/>
                <w:color w:val="auto"/>
              </w:rPr>
            </w:pPr>
          </w:p>
        </w:tc>
      </w:tr>
      <w:tr>
        <w:trPr>
          <w:trHeight w:val="262"/>
        </w:trPr>
        <w:tc>
          <w:tcPr>
            <w:tcW w:w="462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6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23"/>
              <w:spacing w:after="0"/>
              <w:rPr>
                <w:sz w:val="20"/>
                <w:szCs w:val="20"/>
                <w:color w:val="auto"/>
              </w:rPr>
            </w:pPr>
            <w:r>
              <w:rPr>
                <w:rFonts w:ascii="Arial" w:cs="Arial" w:eastAsia="Arial" w:hAnsi="Arial"/>
                <w:sz w:val="18"/>
                <w:szCs w:val="18"/>
                <w:b w:val="1"/>
                <w:bCs w:val="1"/>
                <w:color w:val="auto"/>
                <w:w w:val="99"/>
              </w:rPr>
              <w:t>2024</w:t>
            </w: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b w:val="1"/>
                <w:bCs w:val="1"/>
                <w:color w:val="auto"/>
                <w:w w:val="84"/>
              </w:rPr>
              <w:t>2023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23"/>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5"/>
        </w:trPr>
        <w:tc>
          <w:tcPr>
            <w:tcW w:w="4620" w:type="dxa"/>
            <w:vAlign w:val="bottom"/>
          </w:tcPr>
          <w:p>
            <w:pPr>
              <w:spacing w:after="0"/>
              <w:rPr>
                <w:sz w:val="20"/>
                <w:szCs w:val="20"/>
                <w:color w:val="auto"/>
              </w:rPr>
            </w:pPr>
            <w:r>
              <w:rPr>
                <w:rFonts w:ascii="Arial" w:cs="Arial" w:eastAsia="Arial" w:hAnsi="Arial"/>
                <w:sz w:val="20"/>
                <w:szCs w:val="20"/>
                <w:color w:val="auto"/>
                <w:w w:val="89"/>
              </w:rPr>
              <w:t xml:space="preserve">Finance lease cost </w:t>
            </w:r>
            <w:r>
              <w:rPr>
                <w:rFonts w:ascii="Arial" w:cs="Arial" w:eastAsia="Arial" w:hAnsi="Arial"/>
                <w:sz w:val="20"/>
                <w:szCs w:val="20"/>
                <w:color w:val="B4B4B4"/>
                <w:w w:val="89"/>
              </w:rPr>
              <w:t>. . . . . . . . . . . . . . . . . . . . . . . . . . . . . . .</w:t>
            </w:r>
          </w:p>
        </w:tc>
        <w:tc>
          <w:tcPr>
            <w:tcW w:w="640" w:type="dxa"/>
            <w:vAlign w:val="bottom"/>
          </w:tcPr>
          <w:p>
            <w:pPr>
              <w:jc w:val="right"/>
              <w:ind w:right="38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9</w:t>
            </w:r>
          </w:p>
        </w:tc>
        <w:tc>
          <w:tcPr>
            <w:tcW w:w="22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8</w:t>
            </w:r>
          </w:p>
        </w:tc>
        <w:tc>
          <w:tcPr>
            <w:tcW w:w="240" w:type="dxa"/>
            <w:vAlign w:val="bottom"/>
            <w:gridSpan w:val="4"/>
          </w:tcPr>
          <w:p>
            <w:pPr>
              <w:jc w:val="right"/>
              <w:ind w:right="20"/>
              <w:spacing w:after="0"/>
              <w:rPr>
                <w:sz w:val="20"/>
                <w:szCs w:val="20"/>
                <w:color w:val="auto"/>
              </w:rPr>
            </w:pP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97"/>
        </w:trPr>
        <w:tc>
          <w:tcPr>
            <w:tcW w:w="4620" w:type="dxa"/>
            <w:vAlign w:val="bottom"/>
          </w:tcPr>
          <w:p>
            <w:pPr>
              <w:jc w:val="right"/>
              <w:spacing w:after="0"/>
              <w:rPr>
                <w:sz w:val="20"/>
                <w:szCs w:val="20"/>
                <w:color w:val="auto"/>
              </w:rPr>
            </w:pPr>
            <w:r>
              <w:rPr>
                <w:rFonts w:ascii="Arial" w:cs="Arial" w:eastAsia="Arial" w:hAnsi="Arial"/>
                <w:sz w:val="20"/>
                <w:szCs w:val="20"/>
                <w:color w:val="auto"/>
                <w:w w:val="96"/>
              </w:rPr>
              <w:t xml:space="preserve">Amortization of right-of-use assets </w:t>
            </w:r>
            <w:r>
              <w:rPr>
                <w:rFonts w:ascii="Arial" w:cs="Arial" w:eastAsia="Arial" w:hAnsi="Arial"/>
                <w:sz w:val="20"/>
                <w:szCs w:val="20"/>
                <w:color w:val="B4B4B4"/>
                <w:w w:val="96"/>
              </w:rPr>
              <w:t>. . . . . . . . . . . . . . .</w:t>
            </w: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97"/>
        </w:trPr>
        <w:tc>
          <w:tcPr>
            <w:tcW w:w="4620" w:type="dxa"/>
            <w:vAlign w:val="bottom"/>
          </w:tcPr>
          <w:p>
            <w:pPr>
              <w:jc w:val="right"/>
              <w:spacing w:after="0"/>
              <w:rPr>
                <w:sz w:val="20"/>
                <w:szCs w:val="20"/>
                <w:color w:val="auto"/>
              </w:rPr>
            </w:pPr>
            <w:r>
              <w:rPr>
                <w:rFonts w:ascii="Arial" w:cs="Arial" w:eastAsia="Arial" w:hAnsi="Arial"/>
                <w:sz w:val="20"/>
                <w:szCs w:val="20"/>
                <w:color w:val="auto"/>
                <w:w w:val="95"/>
              </w:rPr>
              <w:t xml:space="preserve">Interest on lease liabilities </w:t>
            </w:r>
            <w:r>
              <w:rPr>
                <w:rFonts w:ascii="Arial" w:cs="Arial" w:eastAsia="Arial" w:hAnsi="Arial"/>
                <w:sz w:val="20"/>
                <w:szCs w:val="20"/>
                <w:color w:val="B4B4B4"/>
                <w:w w:val="95"/>
              </w:rPr>
              <w:t>. . . . . . . . . . . . . . . . . . . . . .</w:t>
            </w: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4620" w:type="dxa"/>
            <w:vAlign w:val="bottom"/>
          </w:tcPr>
          <w:p>
            <w:pPr>
              <w:spacing w:after="0"/>
              <w:rPr>
                <w:sz w:val="20"/>
                <w:szCs w:val="20"/>
                <w:color w:val="auto"/>
              </w:rPr>
            </w:pPr>
            <w:r>
              <w:rPr>
                <w:rFonts w:ascii="Arial" w:cs="Arial" w:eastAsia="Arial" w:hAnsi="Arial"/>
                <w:sz w:val="20"/>
                <w:szCs w:val="20"/>
                <w:color w:val="auto"/>
                <w:w w:val="88"/>
              </w:rPr>
              <w:t xml:space="preserve">Operating lease cost </w:t>
            </w:r>
            <w:r>
              <w:rPr>
                <w:rFonts w:ascii="Arial" w:cs="Arial" w:eastAsia="Arial" w:hAnsi="Arial"/>
                <w:sz w:val="20"/>
                <w:szCs w:val="20"/>
                <w:color w:val="B4B4B4"/>
                <w:w w:val="88"/>
              </w:rPr>
              <w:t>. . . . . . . . . . . . . . . . . . . . . . . . . . . . . .</w:t>
            </w: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93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297"/>
        </w:trPr>
        <w:tc>
          <w:tcPr>
            <w:tcW w:w="4620" w:type="dxa"/>
            <w:vAlign w:val="bottom"/>
          </w:tcPr>
          <w:p>
            <w:pPr>
              <w:spacing w:after="0"/>
              <w:rPr>
                <w:sz w:val="20"/>
                <w:szCs w:val="20"/>
                <w:color w:val="auto"/>
              </w:rPr>
            </w:pPr>
            <w:r>
              <w:rPr>
                <w:rFonts w:ascii="Arial" w:cs="Arial" w:eastAsia="Arial" w:hAnsi="Arial"/>
                <w:sz w:val="20"/>
                <w:szCs w:val="20"/>
                <w:color w:val="auto"/>
                <w:w w:val="89"/>
              </w:rPr>
              <w:t xml:space="preserve">Short-term lease cost </w:t>
            </w:r>
            <w:r>
              <w:rPr>
                <w:rFonts w:ascii="Arial" w:cs="Arial" w:eastAsia="Arial" w:hAnsi="Arial"/>
                <w:sz w:val="20"/>
                <w:szCs w:val="20"/>
                <w:color w:val="B4B4B4"/>
                <w:w w:val="89"/>
              </w:rPr>
              <w:t>. . . . . . . . . . . . . . . . . . . . . . . . . . . . .</w:t>
            </w: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42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97"/>
        </w:trPr>
        <w:tc>
          <w:tcPr>
            <w:tcW w:w="4620" w:type="dxa"/>
            <w:vAlign w:val="bottom"/>
          </w:tcPr>
          <w:p>
            <w:pPr>
              <w:spacing w:after="0"/>
              <w:rPr>
                <w:sz w:val="20"/>
                <w:szCs w:val="20"/>
                <w:color w:val="auto"/>
              </w:rPr>
            </w:pPr>
            <w:r>
              <w:rPr>
                <w:rFonts w:ascii="Arial" w:cs="Arial" w:eastAsia="Arial" w:hAnsi="Arial"/>
                <w:sz w:val="20"/>
                <w:szCs w:val="20"/>
                <w:color w:val="auto"/>
                <w:w w:val="89"/>
              </w:rPr>
              <w:t xml:space="preserve">Variable lease cost </w:t>
            </w:r>
            <w:r>
              <w:rPr>
                <w:rFonts w:ascii="Arial" w:cs="Arial" w:eastAsia="Arial" w:hAnsi="Arial"/>
                <w:sz w:val="20"/>
                <w:szCs w:val="20"/>
                <w:color w:val="B4B4B4"/>
                <w:w w:val="89"/>
              </w:rPr>
              <w:t>. . . . . . . . . . . . . . . . . . . . . . . . . . . . . . .</w:t>
            </w: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91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299"/>
        </w:trPr>
        <w:tc>
          <w:tcPr>
            <w:tcW w:w="4620" w:type="dxa"/>
            <w:vAlign w:val="bottom"/>
          </w:tcPr>
          <w:p>
            <w:pPr>
              <w:spacing w:after="0"/>
              <w:rPr>
                <w:sz w:val="20"/>
                <w:szCs w:val="20"/>
                <w:color w:val="auto"/>
              </w:rPr>
            </w:pPr>
            <w:r>
              <w:rPr>
                <w:rFonts w:ascii="Arial" w:cs="Arial" w:eastAsia="Arial" w:hAnsi="Arial"/>
                <w:sz w:val="20"/>
                <w:szCs w:val="20"/>
                <w:color w:val="auto"/>
                <w:w w:val="90"/>
              </w:rPr>
              <w:t xml:space="preserve">Sublease income </w:t>
            </w:r>
            <w:r>
              <w:rPr>
                <w:rFonts w:ascii="Arial" w:cs="Arial" w:eastAsia="Arial" w:hAnsi="Arial"/>
                <w:sz w:val="20"/>
                <w:szCs w:val="20"/>
                <w:color w:val="B4B4B4"/>
                <w:w w:val="90"/>
              </w:rPr>
              <w:t>. . . . . . . . . . . . . . . . . . . . . . . . . . . . . . . .</w:t>
            </w:r>
          </w:p>
        </w:tc>
        <w:tc>
          <w:tcPr>
            <w:tcW w:w="6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57"/>
        </w:trPr>
        <w:tc>
          <w:tcPr>
            <w:tcW w:w="462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Total lease cost </w:t>
            </w:r>
            <w:r>
              <w:rPr>
                <w:rFonts w:ascii="Arial" w:cs="Arial" w:eastAsia="Arial" w:hAnsi="Arial"/>
                <w:sz w:val="20"/>
                <w:szCs w:val="20"/>
                <w:b w:val="1"/>
                <w:bCs w:val="1"/>
                <w:color w:val="B4B4B4"/>
                <w:w w:val="89"/>
              </w:rPr>
              <w:t>. . . . . . . . . . . . . . . . . . . . . . . . . . . . . . . .</w:t>
            </w:r>
          </w:p>
        </w:tc>
        <w:tc>
          <w:tcPr>
            <w:tcW w:w="640" w:type="dxa"/>
            <w:vAlign w:val="bottom"/>
          </w:tcPr>
          <w:p>
            <w:pPr>
              <w:jc w:val="right"/>
              <w:ind w:right="38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221</w:t>
            </w:r>
          </w:p>
        </w:tc>
        <w:tc>
          <w:tcPr>
            <w:tcW w:w="22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232</w:t>
            </w:r>
          </w:p>
        </w:tc>
        <w:tc>
          <w:tcPr>
            <w:tcW w:w="240" w:type="dxa"/>
            <w:vAlign w:val="bottom"/>
            <w:gridSpan w:val="4"/>
          </w:tcPr>
          <w:p>
            <w:pPr>
              <w:jc w:val="right"/>
              <w:ind w:right="20"/>
              <w:spacing w:after="0"/>
              <w:rPr>
                <w:sz w:val="20"/>
                <w:szCs w:val="20"/>
                <w:color w:val="auto"/>
              </w:rPr>
            </w:pP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180</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440"/>
              <w:spacing w:after="0"/>
              <w:rPr>
                <w:sz w:val="20"/>
                <w:szCs w:val="20"/>
                <w:color w:val="auto"/>
              </w:rPr>
            </w:pPr>
            <w:r>
              <w:rPr>
                <w:rFonts w:ascii="Arial" w:cs="Arial" w:eastAsia="Arial" w:hAnsi="Arial"/>
                <w:sz w:val="20"/>
                <w:szCs w:val="20"/>
                <w:color w:val="auto"/>
              </w:rPr>
              <w:t>Other information:</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46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6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10"/>
          </w:tcPr>
          <w:p>
            <w:pPr>
              <w:jc w:val="center"/>
              <w:ind w:right="543"/>
              <w:spacing w:after="0"/>
              <w:rPr>
                <w:sz w:val="20"/>
                <w:szCs w:val="20"/>
                <w:color w:val="auto"/>
              </w:rPr>
            </w:pPr>
            <w:r>
              <w:rPr>
                <w:rFonts w:ascii="Arial" w:cs="Arial" w:eastAsia="Arial" w:hAnsi="Arial"/>
                <w:sz w:val="18"/>
                <w:szCs w:val="18"/>
                <w:b w:val="1"/>
                <w:bCs w:val="1"/>
                <w:color w:val="auto"/>
                <w:w w:val="90"/>
              </w:rPr>
              <w:t>For the Year Ended December 31,</w:t>
            </w:r>
          </w:p>
        </w:tc>
        <w:tc>
          <w:tcPr>
            <w:tcW w:w="0" w:type="dxa"/>
            <w:vAlign w:val="bottom"/>
          </w:tcPr>
          <w:p>
            <w:pPr>
              <w:spacing w:after="0"/>
              <w:rPr>
                <w:sz w:val="1"/>
                <w:szCs w:val="1"/>
                <w:color w:val="auto"/>
              </w:rPr>
            </w:pPr>
          </w:p>
        </w:tc>
      </w:tr>
      <w:tr>
        <w:trPr>
          <w:trHeight w:val="262"/>
        </w:trPr>
        <w:tc>
          <w:tcPr>
            <w:tcW w:w="462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6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23"/>
              <w:spacing w:after="0"/>
              <w:rPr>
                <w:sz w:val="20"/>
                <w:szCs w:val="20"/>
                <w:color w:val="auto"/>
              </w:rPr>
            </w:pPr>
            <w:r>
              <w:rPr>
                <w:rFonts w:ascii="Arial" w:cs="Arial" w:eastAsia="Arial" w:hAnsi="Arial"/>
                <w:sz w:val="18"/>
                <w:szCs w:val="18"/>
                <w:b w:val="1"/>
                <w:bCs w:val="1"/>
                <w:color w:val="auto"/>
                <w:w w:val="99"/>
              </w:rPr>
              <w:t>2024</w:t>
            </w: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b w:val="1"/>
                <w:bCs w:val="1"/>
                <w:color w:val="auto"/>
                <w:w w:val="84"/>
              </w:rPr>
              <w:t>2023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23"/>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80"/>
        </w:trPr>
        <w:tc>
          <w:tcPr>
            <w:tcW w:w="4620" w:type="dxa"/>
            <w:vAlign w:val="bottom"/>
          </w:tcPr>
          <w:p>
            <w:pPr>
              <w:spacing w:after="0" w:line="180" w:lineRule="exact"/>
              <w:rPr>
                <w:sz w:val="20"/>
                <w:szCs w:val="20"/>
                <w:color w:val="auto"/>
              </w:rPr>
            </w:pPr>
            <w:r>
              <w:rPr>
                <w:rFonts w:ascii="Arial" w:cs="Arial" w:eastAsia="Arial" w:hAnsi="Arial"/>
                <w:sz w:val="20"/>
                <w:szCs w:val="20"/>
                <w:color w:val="auto"/>
                <w:w w:val="94"/>
              </w:rPr>
              <w:t>Cash paid for amounts included in the measurement of</w:t>
            </w: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4620" w:type="dxa"/>
            <w:vAlign w:val="bottom"/>
          </w:tcPr>
          <w:p>
            <w:pPr>
              <w:spacing w:after="0"/>
              <w:rPr>
                <w:sz w:val="20"/>
                <w:szCs w:val="20"/>
                <w:color w:val="auto"/>
              </w:rPr>
            </w:pPr>
            <w:r>
              <w:rPr>
                <w:rFonts w:ascii="Arial" w:cs="Arial" w:eastAsia="Arial" w:hAnsi="Arial"/>
                <w:sz w:val="20"/>
                <w:szCs w:val="20"/>
                <w:color w:val="auto"/>
              </w:rPr>
              <w:t>lease liabilities:</w:t>
            </w:r>
          </w:p>
        </w:tc>
        <w:tc>
          <w:tcPr>
            <w:tcW w:w="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4620" w:type="dxa"/>
            <w:vAlign w:val="bottom"/>
          </w:tcPr>
          <w:p>
            <w:pPr>
              <w:jc w:val="right"/>
              <w:spacing w:after="0"/>
              <w:rPr>
                <w:sz w:val="20"/>
                <w:szCs w:val="20"/>
                <w:color w:val="auto"/>
              </w:rPr>
            </w:pPr>
            <w:r>
              <w:rPr>
                <w:rFonts w:ascii="Arial" w:cs="Arial" w:eastAsia="Arial" w:hAnsi="Arial"/>
                <w:sz w:val="20"/>
                <w:szCs w:val="20"/>
                <w:color w:val="auto"/>
                <w:w w:val="95"/>
              </w:rPr>
              <w:t xml:space="preserve">Operating cash flows from operating leases </w:t>
            </w:r>
            <w:r>
              <w:rPr>
                <w:rFonts w:ascii="Arial" w:cs="Arial" w:eastAsia="Arial" w:hAnsi="Arial"/>
                <w:sz w:val="20"/>
                <w:szCs w:val="20"/>
                <w:color w:val="B4B4B4"/>
                <w:w w:val="95"/>
              </w:rPr>
              <w:t>. . . . . . . .</w:t>
            </w:r>
          </w:p>
        </w:tc>
        <w:tc>
          <w:tcPr>
            <w:tcW w:w="640" w:type="dxa"/>
            <w:vAlign w:val="bottom"/>
          </w:tcPr>
          <w:p>
            <w:pPr>
              <w:jc w:val="right"/>
              <w:ind w:right="38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190</w:t>
            </w:r>
          </w:p>
        </w:tc>
        <w:tc>
          <w:tcPr>
            <w:tcW w:w="22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195</w:t>
            </w:r>
          </w:p>
        </w:tc>
        <w:tc>
          <w:tcPr>
            <w:tcW w:w="240" w:type="dxa"/>
            <w:vAlign w:val="bottom"/>
            <w:gridSpan w:val="4"/>
          </w:tcPr>
          <w:p>
            <w:pPr>
              <w:jc w:val="right"/>
              <w:ind w:right="20"/>
              <w:spacing w:after="0"/>
              <w:rPr>
                <w:sz w:val="20"/>
                <w:szCs w:val="20"/>
                <w:color w:val="auto"/>
              </w:rPr>
            </w:pP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183</w:t>
            </w:r>
          </w:p>
        </w:tc>
        <w:tc>
          <w:tcPr>
            <w:tcW w:w="0" w:type="dxa"/>
            <w:vAlign w:val="bottom"/>
          </w:tcPr>
          <w:p>
            <w:pPr>
              <w:spacing w:after="0"/>
              <w:rPr>
                <w:sz w:val="1"/>
                <w:szCs w:val="1"/>
                <w:color w:val="auto"/>
              </w:rPr>
            </w:pPr>
          </w:p>
        </w:tc>
      </w:tr>
      <w:tr>
        <w:trPr>
          <w:trHeight w:val="282"/>
        </w:trPr>
        <w:tc>
          <w:tcPr>
            <w:tcW w:w="4620" w:type="dxa"/>
            <w:vAlign w:val="bottom"/>
          </w:tcPr>
          <w:p>
            <w:pPr>
              <w:jc w:val="right"/>
              <w:spacing w:after="0"/>
              <w:rPr>
                <w:sz w:val="20"/>
                <w:szCs w:val="20"/>
                <w:color w:val="auto"/>
              </w:rPr>
            </w:pPr>
            <w:r>
              <w:rPr>
                <w:rFonts w:ascii="Arial" w:cs="Arial" w:eastAsia="Arial" w:hAnsi="Arial"/>
                <w:sz w:val="20"/>
                <w:szCs w:val="20"/>
                <w:color w:val="auto"/>
                <w:w w:val="95"/>
              </w:rPr>
              <w:t xml:space="preserve">Financing cash flows from finance leases </w:t>
            </w:r>
            <w:r>
              <w:rPr>
                <w:rFonts w:ascii="Arial" w:cs="Arial" w:eastAsia="Arial" w:hAnsi="Arial"/>
                <w:sz w:val="20"/>
                <w:szCs w:val="20"/>
                <w:color w:val="B4B4B4"/>
                <w:w w:val="95"/>
              </w:rPr>
              <w:t>. . . . . . . . . .</w:t>
            </w: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02"/>
        </w:trPr>
        <w:tc>
          <w:tcPr>
            <w:tcW w:w="4620" w:type="dxa"/>
            <w:vAlign w:val="bottom"/>
          </w:tcPr>
          <w:p>
            <w:pPr>
              <w:spacing w:after="0" w:line="203" w:lineRule="exact"/>
              <w:rPr>
                <w:sz w:val="20"/>
                <w:szCs w:val="20"/>
                <w:color w:val="auto"/>
              </w:rPr>
            </w:pPr>
            <w:r>
              <w:rPr>
                <w:rFonts w:ascii="Arial" w:cs="Arial" w:eastAsia="Arial" w:hAnsi="Arial"/>
                <w:sz w:val="20"/>
                <w:szCs w:val="20"/>
                <w:color w:val="auto"/>
                <w:w w:val="90"/>
              </w:rPr>
              <w:t>Right-of-use assets obtained in exchange for new finance</w:t>
            </w:r>
          </w:p>
        </w:tc>
        <w:tc>
          <w:tcPr>
            <w:tcW w:w="6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13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vMerge w:val="restart"/>
          </w:tcPr>
          <w:p>
            <w:pPr>
              <w:jc w:val="right"/>
              <w:spacing w:after="0"/>
              <w:rPr>
                <w:sz w:val="20"/>
                <w:szCs w:val="20"/>
                <w:color w:val="auto"/>
              </w:rPr>
            </w:pPr>
            <w:r>
              <w:rPr>
                <w:rFonts w:ascii="Arial" w:cs="Arial" w:eastAsia="Arial" w:hAnsi="Arial"/>
                <w:sz w:val="20"/>
                <w:szCs w:val="20"/>
                <w:color w:val="auto"/>
              </w:rPr>
              <w:t>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58"/>
        </w:trPr>
        <w:tc>
          <w:tcPr>
            <w:tcW w:w="4620" w:type="dxa"/>
            <w:vAlign w:val="bottom"/>
          </w:tcPr>
          <w:p>
            <w:pPr>
              <w:spacing w:after="0"/>
              <w:rPr>
                <w:sz w:val="20"/>
                <w:szCs w:val="20"/>
                <w:color w:val="auto"/>
              </w:rPr>
            </w:pPr>
            <w:r>
              <w:rPr>
                <w:rFonts w:ascii="Arial" w:cs="Arial" w:eastAsia="Arial" w:hAnsi="Arial"/>
                <w:sz w:val="20"/>
                <w:szCs w:val="20"/>
                <w:color w:val="auto"/>
                <w:w w:val="90"/>
              </w:rPr>
              <w:t xml:space="preserve">lease liabilities </w:t>
            </w:r>
            <w:r>
              <w:rPr>
                <w:rFonts w:ascii="Arial" w:cs="Arial" w:eastAsia="Arial" w:hAnsi="Arial"/>
                <w:sz w:val="20"/>
                <w:szCs w:val="20"/>
                <w:color w:val="B4B4B4"/>
                <w:w w:val="90"/>
              </w:rPr>
              <w:t>. . . . . . . . . . . . . . . . . . . . . . . . . . . . . . . . . .</w:t>
            </w:r>
          </w:p>
        </w:tc>
        <w:tc>
          <w:tcPr>
            <w:tcW w:w="64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line="202" w:lineRule="exact"/>
              <w:rPr>
                <w:sz w:val="20"/>
                <w:szCs w:val="20"/>
                <w:color w:val="auto"/>
              </w:rPr>
            </w:pPr>
            <w:r>
              <w:rPr>
                <w:rFonts w:ascii="Arial" w:cs="Arial" w:eastAsia="Arial" w:hAnsi="Arial"/>
                <w:sz w:val="20"/>
                <w:szCs w:val="20"/>
                <w:color w:val="auto"/>
              </w:rPr>
              <w:t>Right-of-use assets obtained in exchange for new</w:t>
            </w:r>
          </w:p>
        </w:tc>
        <w:tc>
          <w:tcPr>
            <w:tcW w:w="6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69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vMerge w:val="restart"/>
          </w:tcPr>
          <w:p>
            <w:pPr>
              <w:jc w:val="right"/>
              <w:spacing w:after="0"/>
              <w:rPr>
                <w:sz w:val="20"/>
                <w:szCs w:val="20"/>
                <w:color w:val="auto"/>
              </w:rPr>
            </w:pPr>
            <w:r>
              <w:rPr>
                <w:rFonts w:ascii="Arial" w:cs="Arial" w:eastAsia="Arial" w:hAnsi="Arial"/>
                <w:sz w:val="20"/>
                <w:szCs w:val="20"/>
                <w:color w:val="auto"/>
              </w:rPr>
              <w:t>52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vMerge w:val="restart"/>
          </w:tcPr>
          <w:p>
            <w:pPr>
              <w:jc w:val="right"/>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58"/>
        </w:trPr>
        <w:tc>
          <w:tcPr>
            <w:tcW w:w="4620" w:type="dxa"/>
            <w:vAlign w:val="bottom"/>
          </w:tcPr>
          <w:p>
            <w:pPr>
              <w:spacing w:after="0"/>
              <w:rPr>
                <w:sz w:val="20"/>
                <w:szCs w:val="20"/>
                <w:color w:val="auto"/>
              </w:rPr>
            </w:pPr>
            <w:r>
              <w:rPr>
                <w:rFonts w:ascii="Arial" w:cs="Arial" w:eastAsia="Arial" w:hAnsi="Arial"/>
                <w:sz w:val="20"/>
                <w:szCs w:val="20"/>
                <w:color w:val="auto"/>
                <w:w w:val="90"/>
              </w:rPr>
              <w:t xml:space="preserve">operating lease liabilities </w:t>
            </w:r>
            <w:r>
              <w:rPr>
                <w:rFonts w:ascii="Arial" w:cs="Arial" w:eastAsia="Arial" w:hAnsi="Arial"/>
                <w:sz w:val="20"/>
                <w:szCs w:val="20"/>
                <w:color w:val="B4B4B4"/>
                <w:w w:val="90"/>
              </w:rPr>
              <w:t>. . . . . . . . . . . . . . . . . . . . . . . . . .</w:t>
            </w:r>
          </w:p>
        </w:tc>
        <w:tc>
          <w:tcPr>
            <w:tcW w:w="64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46"/>
        </w:trPr>
        <w:tc>
          <w:tcPr>
            <w:tcW w:w="4620" w:type="dxa"/>
            <w:vAlign w:val="bottom"/>
          </w:tcPr>
          <w:p>
            <w:pPr>
              <w:ind w:left="440"/>
              <w:spacing w:after="0"/>
              <w:rPr>
                <w:sz w:val="20"/>
                <w:szCs w:val="20"/>
                <w:color w:val="auto"/>
              </w:rPr>
            </w:pPr>
            <w:r>
              <w:rPr>
                <w:rFonts w:ascii="Arial" w:cs="Arial" w:eastAsia="Arial" w:hAnsi="Arial"/>
                <w:sz w:val="20"/>
                <w:szCs w:val="20"/>
                <w:color w:val="auto"/>
              </w:rPr>
              <w:t>Lease Term and Discount Rate for leases:</w:t>
            </w: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ind w:right="43"/>
              <w:spacing w:after="0"/>
              <w:rPr>
                <w:sz w:val="20"/>
                <w:szCs w:val="20"/>
                <w:color w:val="auto"/>
              </w:rPr>
            </w:pPr>
            <w:r>
              <w:rPr>
                <w:rFonts w:ascii="Arial" w:cs="Arial" w:eastAsia="Arial" w:hAnsi="Arial"/>
                <w:sz w:val="18"/>
                <w:szCs w:val="18"/>
                <w:b w:val="1"/>
                <w:bCs w:val="1"/>
                <w:color w:val="auto"/>
                <w:w w:val="88"/>
              </w:rPr>
              <w:t>December 31, 2024</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83"/>
              <w:spacing w:after="0"/>
              <w:rPr>
                <w:sz w:val="20"/>
                <w:szCs w:val="20"/>
                <w:color w:val="auto"/>
              </w:rPr>
            </w:pPr>
            <w:r>
              <w:rPr>
                <w:rFonts w:ascii="Arial" w:cs="Arial" w:eastAsia="Arial" w:hAnsi="Arial"/>
                <w:sz w:val="18"/>
                <w:szCs w:val="18"/>
                <w:b w:val="1"/>
                <w:bCs w:val="1"/>
                <w:color w:val="auto"/>
                <w:w w:val="87"/>
              </w:rPr>
              <w:t>December 31, 2023</w:t>
            </w:r>
          </w:p>
        </w:tc>
        <w:tc>
          <w:tcPr>
            <w:tcW w:w="0" w:type="dxa"/>
            <w:vAlign w:val="bottom"/>
          </w:tcPr>
          <w:p>
            <w:pPr>
              <w:spacing w:after="0"/>
              <w:rPr>
                <w:sz w:val="1"/>
                <w:szCs w:val="1"/>
                <w:color w:val="auto"/>
              </w:rPr>
            </w:pPr>
          </w:p>
        </w:tc>
      </w:tr>
      <w:tr>
        <w:trPr>
          <w:trHeight w:val="275"/>
        </w:trPr>
        <w:tc>
          <w:tcPr>
            <w:tcW w:w="4620" w:type="dxa"/>
            <w:vAlign w:val="bottom"/>
          </w:tcPr>
          <w:p>
            <w:pPr>
              <w:spacing w:after="0"/>
              <w:rPr>
                <w:sz w:val="20"/>
                <w:szCs w:val="20"/>
                <w:color w:val="auto"/>
              </w:rPr>
            </w:pPr>
            <w:r>
              <w:rPr>
                <w:rFonts w:ascii="Arial" w:cs="Arial" w:eastAsia="Arial" w:hAnsi="Arial"/>
                <w:sz w:val="20"/>
                <w:szCs w:val="20"/>
                <w:b w:val="1"/>
                <w:bCs w:val="1"/>
                <w:color w:val="auto"/>
              </w:rPr>
              <w:t>Finance leases:</w:t>
            </w:r>
          </w:p>
        </w:tc>
        <w:tc>
          <w:tcPr>
            <w:tcW w:w="6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5260" w:type="dxa"/>
            <w:vAlign w:val="bottom"/>
            <w:gridSpan w:val="2"/>
          </w:tcPr>
          <w:p>
            <w:pPr>
              <w:spacing w:after="0"/>
              <w:rPr>
                <w:sz w:val="20"/>
                <w:szCs w:val="20"/>
                <w:color w:val="auto"/>
              </w:rPr>
            </w:pPr>
            <w:r>
              <w:rPr>
                <w:rFonts w:ascii="Arial" w:cs="Arial" w:eastAsia="Arial" w:hAnsi="Arial"/>
                <w:sz w:val="20"/>
                <w:szCs w:val="20"/>
                <w:color w:val="auto"/>
                <w:w w:val="89"/>
              </w:rPr>
              <w:t xml:space="preserve">Weighted average remaining lease term (in years) </w:t>
            </w:r>
            <w:r>
              <w:rPr>
                <w:rFonts w:ascii="Arial" w:cs="Arial" w:eastAsia="Arial" w:hAnsi="Arial"/>
                <w:sz w:val="20"/>
                <w:szCs w:val="20"/>
                <w:color w:val="B4B4B4"/>
                <w:w w:val="89"/>
              </w:rPr>
              <w:t>. . . . . . . . . . . . .</w:t>
            </w:r>
          </w:p>
        </w:tc>
        <w:tc>
          <w:tcPr>
            <w:tcW w:w="1200" w:type="dxa"/>
            <w:vAlign w:val="bottom"/>
            <w:gridSpan w:val="2"/>
          </w:tcPr>
          <w:p>
            <w:pPr>
              <w:jc w:val="right"/>
              <w:spacing w:after="0"/>
              <w:rPr>
                <w:sz w:val="20"/>
                <w:szCs w:val="20"/>
                <w:color w:val="auto"/>
              </w:rPr>
            </w:pPr>
            <w:r>
              <w:rPr>
                <w:rFonts w:ascii="Arial" w:cs="Arial" w:eastAsia="Arial" w:hAnsi="Arial"/>
                <w:sz w:val="20"/>
                <w:szCs w:val="20"/>
                <w:color w:val="B4B4B4"/>
                <w:w w:val="89"/>
              </w:rPr>
              <w:t>. . . . . . . . . . . .</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ind w:right="183"/>
              <w:spacing w:after="0"/>
              <w:rPr>
                <w:sz w:val="20"/>
                <w:szCs w:val="20"/>
                <w:color w:val="auto"/>
              </w:rPr>
            </w:pPr>
            <w:r>
              <w:rPr>
                <w:rFonts w:ascii="Arial" w:cs="Arial" w:eastAsia="Arial" w:hAnsi="Arial"/>
                <w:sz w:val="20"/>
                <w:szCs w:val="20"/>
                <w:color w:val="auto"/>
              </w:rPr>
              <w:t>2.7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jc w:val="right"/>
              <w:ind w:right="203"/>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Arial" w:cs="Arial" w:eastAsia="Arial" w:hAnsi="Arial"/>
                <w:sz w:val="20"/>
                <w:szCs w:val="20"/>
                <w:color w:val="auto"/>
                <w:w w:val="89"/>
              </w:rPr>
              <w:t xml:space="preserve">Weighted average discount rate </w:t>
            </w:r>
            <w:r>
              <w:rPr>
                <w:rFonts w:ascii="Arial" w:cs="Arial" w:eastAsia="Arial" w:hAnsi="Arial"/>
                <w:sz w:val="20"/>
                <w:szCs w:val="20"/>
                <w:color w:val="B4B4B4"/>
                <w:w w:val="89"/>
              </w:rPr>
              <w:t>. . . . . . . . . . . . . . . . . . . . . . . . . . .</w:t>
            </w:r>
          </w:p>
        </w:tc>
        <w:tc>
          <w:tcPr>
            <w:tcW w:w="1200" w:type="dxa"/>
            <w:vAlign w:val="bottom"/>
            <w:gridSpan w:val="2"/>
          </w:tcPr>
          <w:p>
            <w:pPr>
              <w:jc w:val="right"/>
              <w:spacing w:after="0"/>
              <w:rPr>
                <w:sz w:val="20"/>
                <w:szCs w:val="20"/>
                <w:color w:val="auto"/>
              </w:rPr>
            </w:pPr>
            <w:r>
              <w:rPr>
                <w:rFonts w:ascii="Arial" w:cs="Arial" w:eastAsia="Arial" w:hAnsi="Arial"/>
                <w:sz w:val="20"/>
                <w:szCs w:val="20"/>
                <w:color w:val="B4B4B4"/>
                <w:w w:val="89"/>
              </w:rPr>
              <w:t>. . . . . . . . . . . .</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6.26 %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4.87 %</w:t>
            </w:r>
          </w:p>
        </w:tc>
        <w:tc>
          <w:tcPr>
            <w:tcW w:w="0" w:type="dxa"/>
            <w:vAlign w:val="bottom"/>
          </w:tcPr>
          <w:p>
            <w:pPr>
              <w:spacing w:after="0"/>
              <w:rPr>
                <w:sz w:val="1"/>
                <w:szCs w:val="1"/>
                <w:color w:val="auto"/>
              </w:rPr>
            </w:pPr>
          </w:p>
        </w:tc>
      </w:tr>
      <w:tr>
        <w:trPr>
          <w:trHeight w:val="579"/>
        </w:trPr>
        <w:tc>
          <w:tcPr>
            <w:tcW w:w="4620" w:type="dxa"/>
            <w:vAlign w:val="bottom"/>
          </w:tcPr>
          <w:p>
            <w:pPr>
              <w:spacing w:after="0"/>
              <w:rPr>
                <w:sz w:val="20"/>
                <w:szCs w:val="20"/>
                <w:color w:val="auto"/>
              </w:rPr>
            </w:pPr>
            <w:r>
              <w:rPr>
                <w:rFonts w:ascii="Arial" w:cs="Arial" w:eastAsia="Arial" w:hAnsi="Arial"/>
                <w:sz w:val="20"/>
                <w:szCs w:val="20"/>
                <w:b w:val="1"/>
                <w:bCs w:val="1"/>
                <w:color w:val="auto"/>
              </w:rPr>
              <w:t>Operating leases:</w:t>
            </w: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60" w:type="dxa"/>
            <w:vAlign w:val="bottom"/>
            <w:gridSpan w:val="2"/>
          </w:tcPr>
          <w:p>
            <w:pPr>
              <w:spacing w:after="0"/>
              <w:rPr>
                <w:sz w:val="20"/>
                <w:szCs w:val="20"/>
                <w:color w:val="auto"/>
              </w:rPr>
            </w:pPr>
            <w:r>
              <w:rPr>
                <w:rFonts w:ascii="Arial" w:cs="Arial" w:eastAsia="Arial" w:hAnsi="Arial"/>
                <w:sz w:val="20"/>
                <w:szCs w:val="20"/>
                <w:color w:val="auto"/>
                <w:w w:val="89"/>
              </w:rPr>
              <w:t xml:space="preserve">Weighted average remaining lease term (in years) </w:t>
            </w:r>
            <w:r>
              <w:rPr>
                <w:rFonts w:ascii="Arial" w:cs="Arial" w:eastAsia="Arial" w:hAnsi="Arial"/>
                <w:sz w:val="20"/>
                <w:szCs w:val="20"/>
                <w:color w:val="B4B4B4"/>
                <w:w w:val="89"/>
              </w:rPr>
              <w:t>. . . . . . . . . . . . .</w:t>
            </w:r>
          </w:p>
        </w:tc>
        <w:tc>
          <w:tcPr>
            <w:tcW w:w="1200" w:type="dxa"/>
            <w:vAlign w:val="bottom"/>
            <w:gridSpan w:val="2"/>
          </w:tcPr>
          <w:p>
            <w:pPr>
              <w:jc w:val="right"/>
              <w:spacing w:after="0"/>
              <w:rPr>
                <w:sz w:val="20"/>
                <w:szCs w:val="20"/>
                <w:color w:val="auto"/>
              </w:rPr>
            </w:pPr>
            <w:r>
              <w:rPr>
                <w:rFonts w:ascii="Arial" w:cs="Arial" w:eastAsia="Arial" w:hAnsi="Arial"/>
                <w:sz w:val="20"/>
                <w:szCs w:val="20"/>
                <w:color w:val="B4B4B4"/>
                <w:w w:val="89"/>
              </w:rPr>
              <w:t>. . . . . . . . . . . .</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ind w:right="183"/>
              <w:spacing w:after="0"/>
              <w:rPr>
                <w:sz w:val="20"/>
                <w:szCs w:val="20"/>
                <w:color w:val="auto"/>
              </w:rPr>
            </w:pPr>
            <w:r>
              <w:rPr>
                <w:rFonts w:ascii="Arial" w:cs="Arial" w:eastAsia="Arial" w:hAnsi="Arial"/>
                <w:sz w:val="20"/>
                <w:szCs w:val="20"/>
                <w:color w:val="auto"/>
              </w:rPr>
              <w:t>5.4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jc w:val="right"/>
              <w:ind w:right="203"/>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97"/>
        </w:trPr>
        <w:tc>
          <w:tcPr>
            <w:tcW w:w="5260" w:type="dxa"/>
            <w:vAlign w:val="bottom"/>
            <w:gridSpan w:val="2"/>
          </w:tcPr>
          <w:p>
            <w:pPr>
              <w:spacing w:after="0"/>
              <w:rPr>
                <w:sz w:val="20"/>
                <w:szCs w:val="20"/>
                <w:color w:val="auto"/>
              </w:rPr>
            </w:pPr>
            <w:r>
              <w:rPr>
                <w:rFonts w:ascii="Arial" w:cs="Arial" w:eastAsia="Arial" w:hAnsi="Arial"/>
                <w:sz w:val="20"/>
                <w:szCs w:val="20"/>
                <w:color w:val="auto"/>
                <w:w w:val="89"/>
              </w:rPr>
              <w:t xml:space="preserve">Weighted average discount rate </w:t>
            </w:r>
            <w:r>
              <w:rPr>
                <w:rFonts w:ascii="Arial" w:cs="Arial" w:eastAsia="Arial" w:hAnsi="Arial"/>
                <w:sz w:val="20"/>
                <w:szCs w:val="20"/>
                <w:color w:val="B4B4B4"/>
                <w:w w:val="89"/>
              </w:rPr>
              <w:t>. . . . . . . . . . . . . . . . . . . . . . . . . . .</w:t>
            </w:r>
          </w:p>
        </w:tc>
        <w:tc>
          <w:tcPr>
            <w:tcW w:w="1200" w:type="dxa"/>
            <w:vAlign w:val="bottom"/>
            <w:gridSpan w:val="2"/>
          </w:tcPr>
          <w:p>
            <w:pPr>
              <w:jc w:val="right"/>
              <w:spacing w:after="0"/>
              <w:rPr>
                <w:sz w:val="20"/>
                <w:szCs w:val="20"/>
                <w:color w:val="auto"/>
              </w:rPr>
            </w:pPr>
            <w:r>
              <w:rPr>
                <w:rFonts w:ascii="Arial" w:cs="Arial" w:eastAsia="Arial" w:hAnsi="Arial"/>
                <w:sz w:val="20"/>
                <w:szCs w:val="20"/>
                <w:color w:val="B4B4B4"/>
                <w:w w:val="89"/>
              </w:rPr>
              <w:t>. . . . . . . . . . . .</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6.23 %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6.00 %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-5325745</wp:posOffset>
            </wp:positionV>
            <wp:extent cx="6475095" cy="1546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1">
                      <a:extLst>
                        <a:ext uri="{28A0092B-C50C-407E-A947-70E740481C1C}"/>
                      </a:extLst>
                    </a:blip>
                    <a:srcRect/>
                    <a:stretch>
                      <a:fillRect/>
                    </a:stretch>
                  </pic:blipFill>
                  <pic:spPr bwMode="auto">
                    <a:xfrm>
                      <a:off x="0" y="0"/>
                      <a:ext cx="6475095" cy="154686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-3094355</wp:posOffset>
            </wp:positionV>
            <wp:extent cx="6475095" cy="12604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2">
                      <a:extLst>
                        <a:ext uri="{28A0092B-C50C-407E-A947-70E740481C1C}"/>
                      </a:extLst>
                    </a:blip>
                    <a:srcRect/>
                    <a:stretch>
                      <a:fillRect/>
                    </a:stretch>
                  </pic:blipFill>
                  <pic:spPr bwMode="auto">
                    <a:xfrm>
                      <a:off x="0" y="0"/>
                      <a:ext cx="6475095" cy="12604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-1315085</wp:posOffset>
            </wp:positionV>
            <wp:extent cx="6475095" cy="13360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3">
                      <a:extLst>
                        <a:ext uri="{28A0092B-C50C-407E-A947-70E740481C1C}"/>
                      </a:extLst>
                    </a:blip>
                    <a:srcRect/>
                    <a:stretch>
                      <a:fillRect/>
                    </a:stretch>
                  </pic:blipFill>
                  <pic:spPr bwMode="auto">
                    <a:xfrm>
                      <a:off x="0" y="0"/>
                      <a:ext cx="6475095" cy="1336040"/>
                    </a:xfrm>
                    <a:prstGeom prst="rect">
                      <a:avLst/>
                    </a:prstGeom>
                    <a:noFill/>
                  </pic:spPr>
                </pic:pic>
              </a:graphicData>
            </a:graphic>
          </wp:anchor>
        </w:drawing>
      </w:r>
    </w:p>
    <w:p>
      <w:pPr>
        <w:spacing w:after="0" w:line="268" w:lineRule="exact"/>
        <w:rPr>
          <w:sz w:val="20"/>
          <w:szCs w:val="20"/>
          <w:color w:val="auto"/>
        </w:rPr>
      </w:pPr>
    </w:p>
    <w:p>
      <w:pPr>
        <w:ind w:right="80" w:firstLine="490"/>
        <w:spacing w:after="0" w:line="277" w:lineRule="auto"/>
        <w:rPr>
          <w:sz w:val="20"/>
          <w:szCs w:val="20"/>
          <w:color w:val="auto"/>
        </w:rPr>
      </w:pPr>
      <w:r>
        <w:rPr>
          <w:rFonts w:ascii="Arial" w:cs="Arial" w:eastAsia="Arial" w:hAnsi="Arial"/>
          <w:sz w:val="20"/>
          <w:szCs w:val="20"/>
          <w:color w:val="auto"/>
        </w:rPr>
        <w:t>As of December 31, 2024, annual payments based on the maturities of the Company's operating leases are expected to be as follows:</w:t>
      </w:r>
    </w:p>
    <w:p>
      <w:pPr>
        <w:spacing w:after="0" w:line="6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23"/>
              <w:spacing w:after="0"/>
              <w:rPr>
                <w:sz w:val="20"/>
                <w:szCs w:val="20"/>
                <w:color w:val="auto"/>
              </w:rPr>
            </w:pPr>
            <w:r>
              <w:rPr>
                <w:rFonts w:ascii="Arial" w:cs="Arial" w:eastAsia="Arial" w:hAnsi="Arial"/>
                <w:sz w:val="16"/>
                <w:szCs w:val="16"/>
                <w:b w:val="1"/>
                <w:bCs w:val="1"/>
                <w:color w:val="auto"/>
              </w:rPr>
              <w:t>In millions</w:t>
            </w:r>
          </w:p>
        </w:tc>
      </w:tr>
      <w:tr>
        <w:trPr>
          <w:trHeight w:val="275"/>
        </w:trPr>
        <w:tc>
          <w:tcPr>
            <w:tcW w:w="8340" w:type="dxa"/>
            <w:vAlign w:val="bottom"/>
          </w:tcPr>
          <w:p>
            <w:pPr>
              <w:spacing w:after="0"/>
              <w:rPr>
                <w:sz w:val="20"/>
                <w:szCs w:val="20"/>
                <w:color w:val="auto"/>
              </w:rPr>
            </w:pPr>
            <w:r>
              <w:rPr>
                <w:rFonts w:ascii="Arial" w:cs="Arial" w:eastAsia="Arial" w:hAnsi="Arial"/>
                <w:sz w:val="20"/>
                <w:szCs w:val="20"/>
                <w:color w:val="auto"/>
                <w:w w:val="90"/>
              </w:rPr>
              <w:t xml:space="preserve">2025 </w:t>
            </w:r>
            <w:r>
              <w:rPr>
                <w:rFonts w:ascii="Arial" w:cs="Arial" w:eastAsia="Arial" w:hAnsi="Arial"/>
                <w:sz w:val="20"/>
                <w:szCs w:val="20"/>
                <w:color w:val="B4B4B4"/>
                <w:w w:val="90"/>
              </w:rPr>
              <w:t>. . . . . . . . . . . . . . . . . . . . . . . . . . . . . . . . . . . . . . . . . . . . . . . . . . . . . . . . . . . . . . . . . . . . . . . . . . . . . . .</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97"/>
        </w:trPr>
        <w:tc>
          <w:tcPr>
            <w:tcW w:w="8340" w:type="dxa"/>
            <w:vAlign w:val="bottom"/>
          </w:tcPr>
          <w:p>
            <w:pPr>
              <w:spacing w:after="0"/>
              <w:rPr>
                <w:sz w:val="20"/>
                <w:szCs w:val="20"/>
                <w:color w:val="auto"/>
              </w:rPr>
            </w:pPr>
            <w:r>
              <w:rPr>
                <w:rFonts w:ascii="Arial" w:cs="Arial" w:eastAsia="Arial" w:hAnsi="Arial"/>
                <w:sz w:val="20"/>
                <w:szCs w:val="20"/>
                <w:color w:val="auto"/>
                <w:w w:val="90"/>
              </w:rPr>
              <w:t xml:space="preserve">2026 </w:t>
            </w:r>
            <w:r>
              <w:rPr>
                <w:rFonts w:ascii="Arial" w:cs="Arial" w:eastAsia="Arial" w:hAnsi="Arial"/>
                <w:sz w:val="20"/>
                <w:szCs w:val="20"/>
                <w:color w:val="B4B4B4"/>
                <w:w w:val="90"/>
              </w:rPr>
              <w:t>. . . . . . . . . . . . . . . . . . . . . . . . . . . . . . . . . . . . . . . . . . . . . . . . . . . . . . . . . . . . . . . . . . . . . . . . . . . . . . .</w:t>
            </w:r>
          </w:p>
        </w:tc>
        <w:tc>
          <w:tcPr>
            <w:tcW w:w="3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97"/>
        </w:trPr>
        <w:tc>
          <w:tcPr>
            <w:tcW w:w="8340" w:type="dxa"/>
            <w:vAlign w:val="bottom"/>
          </w:tcPr>
          <w:p>
            <w:pPr>
              <w:spacing w:after="0"/>
              <w:rPr>
                <w:sz w:val="20"/>
                <w:szCs w:val="20"/>
                <w:color w:val="auto"/>
              </w:rPr>
            </w:pPr>
            <w:r>
              <w:rPr>
                <w:rFonts w:ascii="Arial" w:cs="Arial" w:eastAsia="Arial" w:hAnsi="Arial"/>
                <w:sz w:val="20"/>
                <w:szCs w:val="20"/>
                <w:color w:val="auto"/>
                <w:w w:val="90"/>
              </w:rPr>
              <w:t xml:space="preserve">2027 </w:t>
            </w:r>
            <w:r>
              <w:rPr>
                <w:rFonts w:ascii="Arial" w:cs="Arial" w:eastAsia="Arial" w:hAnsi="Arial"/>
                <w:sz w:val="20"/>
                <w:szCs w:val="20"/>
                <w:color w:val="B4B4B4"/>
                <w:w w:val="90"/>
              </w:rPr>
              <w:t>. . . . . . . . . . . . . . . . . . . . . . . . . . . . . . . . . . . . . . . . . . . . . . . . . . . . . . . . . . . . . . . . . . . . . . . . . . . . . . .</w:t>
            </w:r>
          </w:p>
        </w:tc>
        <w:tc>
          <w:tcPr>
            <w:tcW w:w="3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97"/>
        </w:trPr>
        <w:tc>
          <w:tcPr>
            <w:tcW w:w="8340" w:type="dxa"/>
            <w:vAlign w:val="bottom"/>
          </w:tcPr>
          <w:p>
            <w:pPr>
              <w:spacing w:after="0"/>
              <w:rPr>
                <w:sz w:val="20"/>
                <w:szCs w:val="20"/>
                <w:color w:val="auto"/>
              </w:rPr>
            </w:pPr>
            <w:r>
              <w:rPr>
                <w:rFonts w:ascii="Arial" w:cs="Arial" w:eastAsia="Arial" w:hAnsi="Arial"/>
                <w:sz w:val="20"/>
                <w:szCs w:val="20"/>
                <w:color w:val="auto"/>
                <w:w w:val="90"/>
              </w:rPr>
              <w:t xml:space="preserve">2028 </w:t>
            </w:r>
            <w:r>
              <w:rPr>
                <w:rFonts w:ascii="Arial" w:cs="Arial" w:eastAsia="Arial" w:hAnsi="Arial"/>
                <w:sz w:val="20"/>
                <w:szCs w:val="20"/>
                <w:color w:val="B4B4B4"/>
                <w:w w:val="90"/>
              </w:rPr>
              <w:t>. . . . . . . . . . . . . . . . . . . . . . . . . . . . . . . . . . . . . . . . . . . . . . . . . . . . . . . . . . . . . . . . . . . . . . . . . . . . . . .</w:t>
            </w:r>
          </w:p>
        </w:tc>
        <w:tc>
          <w:tcPr>
            <w:tcW w:w="3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97"/>
        </w:trPr>
        <w:tc>
          <w:tcPr>
            <w:tcW w:w="8340" w:type="dxa"/>
            <w:vAlign w:val="bottom"/>
          </w:tcPr>
          <w:p>
            <w:pPr>
              <w:spacing w:after="0"/>
              <w:rPr>
                <w:sz w:val="20"/>
                <w:szCs w:val="20"/>
                <w:color w:val="auto"/>
              </w:rPr>
            </w:pPr>
            <w:r>
              <w:rPr>
                <w:rFonts w:ascii="Arial" w:cs="Arial" w:eastAsia="Arial" w:hAnsi="Arial"/>
                <w:sz w:val="20"/>
                <w:szCs w:val="20"/>
                <w:color w:val="auto"/>
                <w:w w:val="90"/>
              </w:rPr>
              <w:t xml:space="preserve">2029 </w:t>
            </w:r>
            <w:r>
              <w:rPr>
                <w:rFonts w:ascii="Arial" w:cs="Arial" w:eastAsia="Arial" w:hAnsi="Arial"/>
                <w:sz w:val="20"/>
                <w:szCs w:val="20"/>
                <w:color w:val="B4B4B4"/>
                <w:w w:val="90"/>
              </w:rPr>
              <w:t>. . . . . . . . . . . . . . . . . . . . . . . . . . . . . . . . . . . . . . . . . . . . . . . . . . . . . . . . . . . . . . . . . . . . . . . . . . . . . . .</w:t>
            </w:r>
          </w:p>
        </w:tc>
        <w:tc>
          <w:tcPr>
            <w:tcW w:w="3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99"/>
        </w:trPr>
        <w:tc>
          <w:tcPr>
            <w:tcW w:w="8340" w:type="dxa"/>
            <w:vAlign w:val="bottom"/>
          </w:tcPr>
          <w:p>
            <w:pPr>
              <w:spacing w:after="0"/>
              <w:rPr>
                <w:sz w:val="20"/>
                <w:szCs w:val="20"/>
                <w:color w:val="auto"/>
              </w:rPr>
            </w:pPr>
            <w:r>
              <w:rPr>
                <w:rFonts w:ascii="Arial" w:cs="Arial" w:eastAsia="Arial" w:hAnsi="Arial"/>
                <w:sz w:val="20"/>
                <w:szCs w:val="20"/>
                <w:color w:val="auto"/>
                <w:w w:val="89"/>
              </w:rPr>
              <w:t xml:space="preserve">Thereafter </w:t>
            </w:r>
            <w:r>
              <w:rPr>
                <w:rFonts w:ascii="Arial" w:cs="Arial" w:eastAsia="Arial" w:hAnsi="Arial"/>
                <w:sz w:val="20"/>
                <w:szCs w:val="20"/>
                <w:color w:val="B4B4B4"/>
                <w:w w:val="89"/>
              </w:rPr>
              <w:t>. . . . . . . . . . . . . . . . . . . . . . . . . . . . . . . . . . . . . . . . . . . . . . . . . . . . . . . . . . . . . . . . . . . . . . . . . . .</w:t>
            </w: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w:t>
            </w:r>
          </w:p>
        </w:tc>
      </w:tr>
      <w:tr>
        <w:trPr>
          <w:trHeight w:val="275"/>
        </w:trPr>
        <w:tc>
          <w:tcPr>
            <w:tcW w:w="8340" w:type="dxa"/>
            <w:vAlign w:val="bottom"/>
          </w:tcPr>
          <w:p>
            <w:pPr>
              <w:spacing w:after="0"/>
              <w:rPr>
                <w:sz w:val="20"/>
                <w:szCs w:val="20"/>
                <w:color w:val="auto"/>
              </w:rPr>
            </w:pPr>
            <w:r>
              <w:rPr>
                <w:rFonts w:ascii="Arial" w:cs="Arial" w:eastAsia="Arial" w:hAnsi="Arial"/>
                <w:sz w:val="20"/>
                <w:szCs w:val="20"/>
                <w:color w:val="auto"/>
                <w:w w:val="89"/>
              </w:rPr>
              <w:t xml:space="preserve">Total undiscounted lease payments </w:t>
            </w:r>
            <w:r>
              <w:rPr>
                <w:rFonts w:ascii="Arial" w:cs="Arial" w:eastAsia="Arial" w:hAnsi="Arial"/>
                <w:sz w:val="20"/>
                <w:szCs w:val="20"/>
                <w:color w:val="B4B4B4"/>
                <w:w w:val="89"/>
              </w:rPr>
              <w:t>. . . . . . . . . . . . . . . . . . . . . . . . . . . . . . . . . . . . . . . . . . . . . . . . . . . . . . .</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292</w:t>
            </w:r>
          </w:p>
        </w:tc>
      </w:tr>
      <w:tr>
        <w:trPr>
          <w:trHeight w:val="299"/>
        </w:trPr>
        <w:tc>
          <w:tcPr>
            <w:tcW w:w="8340" w:type="dxa"/>
            <w:vAlign w:val="bottom"/>
          </w:tcPr>
          <w:p>
            <w:pPr>
              <w:spacing w:after="0"/>
              <w:rPr>
                <w:sz w:val="20"/>
                <w:szCs w:val="20"/>
                <w:color w:val="auto"/>
              </w:rPr>
            </w:pPr>
            <w:r>
              <w:rPr>
                <w:rFonts w:ascii="Arial" w:cs="Arial" w:eastAsia="Arial" w:hAnsi="Arial"/>
                <w:sz w:val="20"/>
                <w:szCs w:val="20"/>
                <w:color w:val="auto"/>
                <w:w w:val="89"/>
              </w:rPr>
              <w:t xml:space="preserve">Less: present value adjustment </w:t>
            </w:r>
            <w:r>
              <w:rPr>
                <w:rFonts w:ascii="Arial" w:cs="Arial" w:eastAsia="Arial" w:hAnsi="Arial"/>
                <w:sz w:val="20"/>
                <w:szCs w:val="20"/>
                <w:color w:val="B4B4B4"/>
                <w:w w:val="89"/>
              </w:rPr>
              <w:t>. . . . . . . . . . . . . . . . . . . . . . . . . . . . . . . . . . . . . . . . . . . . . . . . . . . . . . . . . . .</w:t>
            </w: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w:t>
            </w:r>
          </w:p>
        </w:tc>
      </w:tr>
      <w:tr>
        <w:trPr>
          <w:trHeight w:val="257"/>
        </w:trPr>
        <w:tc>
          <w:tcPr>
            <w:tcW w:w="8340" w:type="dxa"/>
            <w:vAlign w:val="bottom"/>
          </w:tcPr>
          <w:p>
            <w:pPr>
              <w:spacing w:after="0"/>
              <w:rPr>
                <w:sz w:val="20"/>
                <w:szCs w:val="20"/>
                <w:color w:val="auto"/>
              </w:rPr>
            </w:pPr>
            <w:r>
              <w:rPr>
                <w:rFonts w:ascii="Arial" w:cs="Arial" w:eastAsia="Arial" w:hAnsi="Arial"/>
                <w:sz w:val="20"/>
                <w:szCs w:val="20"/>
                <w:color w:val="auto"/>
                <w:w w:val="89"/>
              </w:rPr>
              <w:t xml:space="preserve">Total discounted lease payments </w:t>
            </w:r>
            <w:r>
              <w:rPr>
                <w:rFonts w:ascii="Arial" w:cs="Arial" w:eastAsia="Arial" w:hAnsi="Arial"/>
                <w:sz w:val="20"/>
                <w:szCs w:val="20"/>
                <w:color w:val="B4B4B4"/>
                <w:w w:val="89"/>
              </w:rPr>
              <w:t>. . . . . . . . . . . . . . . . . . . . . . . . . . . . . . . . . . . . . . . . . . . . . . . . . . . . . . . . .</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183</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-1728470</wp:posOffset>
            </wp:positionV>
            <wp:extent cx="6475095" cy="17354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4">
                      <a:extLst>
                        <a:ext uri="{28A0092B-C50C-407E-A947-70E740481C1C}"/>
                      </a:extLst>
                    </a:blip>
                    <a:srcRect/>
                    <a:stretch>
                      <a:fillRect/>
                    </a:stretch>
                  </pic:blipFill>
                  <pic:spPr bwMode="auto">
                    <a:xfrm>
                      <a:off x="0" y="0"/>
                      <a:ext cx="6475095" cy="1735455"/>
                    </a:xfrm>
                    <a:prstGeom prst="rect">
                      <a:avLst/>
                    </a:prstGeom>
                    <a:noFill/>
                  </pic:spPr>
                </pic:pic>
              </a:graphicData>
            </a:graphic>
          </wp:anchor>
        </w:drawing>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ectPr>
          <w:pgSz w:w="11880" w:h="15480" w:orient="portrait"/>
          <w:cols w:equalWidth="0" w:num="1">
            <w:col w:w="10160"/>
          </w:cols>
          <w:pgMar w:left="860" w:top="512" w:right="860" w:bottom="0" w:gutter="0" w:footer="0" w:header="0"/>
          <w:type w:val="continuous"/>
        </w:sectPr>
      </w:pPr>
    </w:p>
    <w:bookmarkStart w:id="126" w:name="page127"/>
    <w:bookmarkEnd w:id="126"/>
    <w:p>
      <w:pPr>
        <w:spacing w:after="0"/>
        <w:rPr>
          <w:sz w:val="20"/>
          <w:szCs w:val="20"/>
          <w:color w:val="auto"/>
        </w:rPr>
      </w:pPr>
      <w:r>
        <w:rPr>
          <w:rFonts w:ascii="Arial" w:cs="Arial" w:eastAsia="Arial" w:hAnsi="Arial"/>
          <w:sz w:val="20"/>
          <w:szCs w:val="20"/>
          <w:b w:val="1"/>
          <w:bCs w:val="1"/>
          <w:color w:val="auto"/>
        </w:rPr>
        <w:t xml:space="preserve">Note 10 — </w:t>
      </w:r>
      <w:r>
        <w:rPr>
          <w:rFonts w:ascii="Arial" w:cs="Arial" w:eastAsia="Arial" w:hAnsi="Arial"/>
          <w:sz w:val="20"/>
          <w:szCs w:val="20"/>
          <w:b w:val="1"/>
          <w:bCs w:val="1"/>
          <w:i w:val="1"/>
          <w:iCs w:val="1"/>
          <w:color w:val="auto"/>
        </w:rPr>
        <w:t>Asset Impairments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2024 Impairment Losses</w:t>
      </w:r>
    </w:p>
    <w:p>
      <w:pPr>
        <w:spacing w:after="0" w:line="134"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8"/>
          <w:szCs w:val="18"/>
          <w:color w:val="auto"/>
        </w:rPr>
        <w:t>During the fourth quarter of 2024, the Company completed its annual budget and analyzed the corresponding impact on estimated cash flows associated with its long-lived assets. The fair value of the assets was determined using an income approach by applying a discounted cash flow methodology to the long-term budget for each facility. The income approach utilized estimates of after-tax cash flows, which were Level 3 fair value measurements, and included key inputs such as forecasted power prices, fuel costs, operating and maintenance costs, plant investment capital expenditures and discount rates.</w:t>
      </w:r>
    </w:p>
    <w:p>
      <w:pPr>
        <w:spacing w:after="0" w:line="5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 xml:space="preserve">As a result of the evaluation performed, the Company recorded impairment losses of $7 million and $14 million related to its equity method investments in Gladstone and property plant and equipment and leases in the West/Services/Other segment, respectively. For further discussion of the Gladstone investment, see Note 16, </w:t>
      </w:r>
      <w:r>
        <w:rPr>
          <w:rFonts w:ascii="Arial" w:cs="Arial" w:eastAsia="Arial" w:hAnsi="Arial"/>
          <w:sz w:val="20"/>
          <w:szCs w:val="20"/>
          <w:b w:val="1"/>
          <w:bCs w:val="1"/>
          <w:i w:val="1"/>
          <w:iCs w:val="1"/>
          <w:color w:val="auto"/>
        </w:rPr>
        <w:t>Investments Accounted for by the Equity Method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and Variable Interest Entities</w:t>
      </w:r>
      <w:r>
        <w:rPr>
          <w:rFonts w:ascii="Arial" w:cs="Arial" w:eastAsia="Arial" w:hAnsi="Arial"/>
          <w:sz w:val="20"/>
          <w:szCs w:val="20"/>
          <w:color w:val="auto"/>
        </w:rPr>
        <w:t>.</w:t>
      </w:r>
    </w:p>
    <w:p>
      <w:pPr>
        <w:spacing w:after="0" w:line="14"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20"/>
          <w:szCs w:val="20"/>
          <w:b w:val="1"/>
          <w:bCs w:val="1"/>
          <w:i w:val="1"/>
          <w:iCs w:val="1"/>
          <w:color w:val="auto"/>
        </w:rPr>
        <w:t xml:space="preserve">Other Impairments </w:t>
      </w:r>
      <w:r>
        <w:rPr>
          <w:rFonts w:ascii="Arial" w:cs="Arial" w:eastAsia="Arial" w:hAnsi="Arial"/>
          <w:sz w:val="20"/>
          <w:szCs w:val="20"/>
          <w:color w:val="auto"/>
        </w:rPr>
        <w:t>— The Company recorded impairment losses related to excess SO</w:t>
      </w:r>
      <w:r>
        <w:rPr>
          <w:rFonts w:ascii="Arial" w:cs="Arial" w:eastAsia="Arial" w:hAnsi="Arial"/>
          <w:sz w:val="25"/>
          <w:szCs w:val="25"/>
          <w:color w:val="auto"/>
          <w:vertAlign w:val="subscript"/>
        </w:rPr>
        <w:t>2</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allowances of $7 million 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Texas segment and goodwill impairment losses of $15 million in the West/Services/Other segment.</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2023 Impairment Losses</w:t>
      </w:r>
    </w:p>
    <w:p>
      <w:pPr>
        <w:spacing w:after="0" w:line="134"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8"/>
          <w:szCs w:val="18"/>
          <w:color w:val="auto"/>
        </w:rPr>
        <w:t>During the fourth quarter of 2023, the Company completed its annual budget and analyzed the corresponding impact on estimated cash flows associated with its long-lived assets. The fair value of the assets was determined using an income approach by applying a discounted cash flow methodology to the long-term budget for each facility. The income approach utilized estimates of after-tax cash flows, which were Level 3 fair value measurements, and included key inputs such as forecasted power prices, fuel costs, operating and maintenance costs, plant investment capital expenditures and discount rates.</w:t>
      </w:r>
    </w:p>
    <w:p>
      <w:pPr>
        <w:spacing w:after="0" w:line="52"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9"/>
          <w:szCs w:val="19"/>
          <w:b w:val="1"/>
          <w:bCs w:val="1"/>
          <w:i w:val="1"/>
          <w:iCs w:val="1"/>
          <w:color w:val="auto"/>
        </w:rPr>
        <w:t xml:space="preserve">Gladstone — </w:t>
      </w:r>
      <w:r>
        <w:rPr>
          <w:rFonts w:ascii="Arial" w:cs="Arial" w:eastAsia="Arial" w:hAnsi="Arial"/>
          <w:sz w:val="19"/>
          <w:szCs w:val="19"/>
          <w:color w:val="auto"/>
        </w:rPr>
        <w:t>The Company recorded impairment losses of $102 million on its equity method investment in Gladstone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within the West/Services/Other segment as a result of changes in the long-term outlook of the Gladstone facility, prompted by evolving energy policy conditions in Australia and an assessment of the long-term operational landscape of the facility, which concluded with the annual budget process. For further discussion of the Gladstone investment, see Note 16, </w:t>
      </w:r>
      <w:r>
        <w:rPr>
          <w:rFonts w:ascii="Arial" w:cs="Arial" w:eastAsia="Arial" w:hAnsi="Arial"/>
          <w:sz w:val="19"/>
          <w:szCs w:val="19"/>
          <w:b w:val="1"/>
          <w:bCs w:val="1"/>
          <w:i w:val="1"/>
          <w:iCs w:val="1"/>
          <w:color w:val="auto"/>
        </w:rPr>
        <w:t>Investments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Accounted for by the Equity Method and Variable Interest Entities</w:t>
      </w:r>
      <w:r>
        <w:rPr>
          <w:rFonts w:ascii="Arial" w:cs="Arial" w:eastAsia="Arial" w:hAnsi="Arial"/>
          <w:sz w:val="19"/>
          <w:szCs w:val="19"/>
          <w:color w:val="auto"/>
        </w:rPr>
        <w:t>.</w:t>
      </w:r>
    </w:p>
    <w:p>
      <w:pPr>
        <w:spacing w:after="0" w:line="64" w:lineRule="exact"/>
        <w:rPr>
          <w:sz w:val="20"/>
          <w:szCs w:val="20"/>
          <w:color w:val="auto"/>
        </w:rPr>
      </w:pPr>
    </w:p>
    <w:p>
      <w:pPr>
        <w:jc w:val="both"/>
        <w:ind w:firstLine="445"/>
        <w:spacing w:after="0" w:line="339" w:lineRule="auto"/>
        <w:rPr>
          <w:sz w:val="20"/>
          <w:szCs w:val="20"/>
          <w:color w:val="auto"/>
        </w:rPr>
      </w:pPr>
      <w:r>
        <w:rPr>
          <w:rFonts w:ascii="Arial" w:cs="Arial" w:eastAsia="Arial" w:hAnsi="Arial"/>
          <w:sz w:val="18"/>
          <w:szCs w:val="18"/>
          <w:b w:val="1"/>
          <w:bCs w:val="1"/>
          <w:i w:val="1"/>
          <w:iCs w:val="1"/>
          <w:color w:val="auto"/>
        </w:rPr>
        <w:t xml:space="preserve">Other Impairments </w:t>
      </w:r>
      <w:r>
        <w:rPr>
          <w:rFonts w:ascii="Arial" w:cs="Arial" w:eastAsia="Arial" w:hAnsi="Arial"/>
          <w:sz w:val="18"/>
          <w:szCs w:val="18"/>
          <w:color w:val="auto"/>
        </w:rPr>
        <w:t>— The Company additionally recorded impairment losses related to property plant and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leases of $2 million, $4 million and $20 million in the Texas, East and West/Services/Other segments, respectively.</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2022 Impairment Losses</w:t>
      </w:r>
    </w:p>
    <w:p>
      <w:pPr>
        <w:spacing w:after="0" w:line="130"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8"/>
          <w:szCs w:val="18"/>
          <w:b w:val="1"/>
          <w:bCs w:val="1"/>
          <w:i w:val="1"/>
          <w:iCs w:val="1"/>
          <w:color w:val="auto"/>
        </w:rPr>
        <w:t xml:space="preserve">Astoria Redevelopment Impairment </w:t>
      </w:r>
      <w:r>
        <w:rPr>
          <w:rFonts w:ascii="Arial" w:cs="Arial" w:eastAsia="Arial" w:hAnsi="Arial"/>
          <w:sz w:val="18"/>
          <w:szCs w:val="18"/>
          <w:color w:val="auto"/>
        </w:rPr>
        <w:t>— During the third quarter of 2022, the Company entered into a purchase and 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agreement for the sale of the land and related assets at the Astoria generating site and the planned withdrawal and cancellation of its proposed Astoria redevelopment project. As a result, the Company impaired $43 million of Astoria project spend in the East segment. For further discussion of the transaction, see Note 4, </w:t>
      </w:r>
      <w:r>
        <w:rPr>
          <w:rFonts w:ascii="Arial" w:cs="Arial" w:eastAsia="Arial" w:hAnsi="Arial"/>
          <w:sz w:val="18"/>
          <w:szCs w:val="18"/>
          <w:b w:val="1"/>
          <w:bCs w:val="1"/>
          <w:i w:val="1"/>
          <w:iCs w:val="1"/>
          <w:color w:val="auto"/>
        </w:rPr>
        <w:t>Acquisitions and Dispositions</w:t>
      </w:r>
      <w:r>
        <w:rPr>
          <w:rFonts w:ascii="Arial" w:cs="Arial" w:eastAsia="Arial" w:hAnsi="Arial"/>
          <w:sz w:val="18"/>
          <w:szCs w:val="18"/>
          <w:color w:val="auto"/>
        </w:rPr>
        <w:t>.</w:t>
      </w:r>
    </w:p>
    <w:p>
      <w:pPr>
        <w:spacing w:after="0" w:line="48" w:lineRule="exact"/>
        <w:rPr>
          <w:sz w:val="20"/>
          <w:szCs w:val="20"/>
          <w:color w:val="auto"/>
        </w:rPr>
      </w:pPr>
    </w:p>
    <w:p>
      <w:pPr>
        <w:jc w:val="both"/>
        <w:ind w:firstLine="445"/>
        <w:spacing w:after="0" w:line="281" w:lineRule="auto"/>
        <w:rPr>
          <w:sz w:val="20"/>
          <w:szCs w:val="20"/>
          <w:color w:val="auto"/>
        </w:rPr>
      </w:pPr>
      <w:r>
        <w:rPr>
          <w:rFonts w:ascii="Arial" w:cs="Arial" w:eastAsia="Arial" w:hAnsi="Arial"/>
          <w:sz w:val="18"/>
          <w:szCs w:val="18"/>
          <w:b w:val="1"/>
          <w:bCs w:val="1"/>
          <w:i w:val="1"/>
          <w:iCs w:val="1"/>
          <w:color w:val="auto"/>
        </w:rPr>
        <w:t xml:space="preserve">PJM Asset Impairments </w:t>
      </w:r>
      <w:r>
        <w:rPr>
          <w:rFonts w:ascii="Arial" w:cs="Arial" w:eastAsia="Arial" w:hAnsi="Arial"/>
          <w:sz w:val="18"/>
          <w:szCs w:val="18"/>
          <w:color w:val="auto"/>
        </w:rPr>
        <w:t>— During the second quarter of 2022, the results of the PJM Base Residual Auction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2023/2024 delivery year were released leading the Company to revise its long-term view of certain facilities and announce the planned retirement of the Joliet generating facility. The Company considered the near-term retirement date of Joliet and the decline in PJM capacity prices to be a trigger for impairment and performed impairment tests on the PJM generating assets and the goodwill associated with Midwest Generation. The Company measured the impairment losses on the PJM generating assets and Midwest Generation goodwill as the difference between the carrying amount and the fair value of the PJM generating assets and Midwest Generation reporting unit, respectively. Fair values were determined using an income approach in which the Company applied a discounted cash flow methodology to the long-term budgets for the plants and reporting unit. Significant inputs impacting the income approach include the Company's long-term view of capacity and fuel prices, projected generation, the physical and economic characteristics of each plant and the reporting unit as a whole, and the discount rate applied to the after-tax cash flow projections. Impairment losses of $20 million and $130 million were recorded in the East segment on the PJM generating assets and Midwest Generation goodwill, respectively.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9"/>
          <w:szCs w:val="19"/>
          <w:b w:val="1"/>
          <w:bCs w:val="1"/>
          <w:i w:val="1"/>
          <w:iCs w:val="1"/>
          <w:color w:val="auto"/>
        </w:rPr>
        <w:t xml:space="preserve">Other Impairments </w:t>
      </w:r>
      <w:r>
        <w:rPr>
          <w:rFonts w:ascii="Arial" w:cs="Arial" w:eastAsia="Arial" w:hAnsi="Arial"/>
          <w:sz w:val="19"/>
          <w:szCs w:val="19"/>
          <w:color w:val="auto"/>
        </w:rPr>
        <w:t>— The Company additionally recorded impairment losses of $13 million in the East segment.</w:t>
      </w:r>
    </w:p>
    <w:p>
      <w:pPr>
        <w:sectPr>
          <w:pgSz w:w="11880" w:h="15480" w:orient="portrait"/>
          <w:cols w:equalWidth="0" w:num="1">
            <w:col w:w="10160"/>
          </w:cols>
          <w:pgMar w:left="860" w:top="743"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ectPr>
          <w:pgSz w:w="11880" w:h="15480" w:orient="portrait"/>
          <w:cols w:equalWidth="0" w:num="1">
            <w:col w:w="10160"/>
          </w:cols>
          <w:pgMar w:left="860" w:top="743" w:right="860" w:bottom="0" w:gutter="0" w:footer="0" w:header="0"/>
          <w:type w:val="continuous"/>
        </w:sectPr>
      </w:pPr>
    </w:p>
    <w:bookmarkStart w:id="127" w:name="page128"/>
    <w:bookmarkEnd w:id="127"/>
    <w:p>
      <w:pPr>
        <w:spacing w:after="0"/>
        <w:rPr>
          <w:sz w:val="20"/>
          <w:szCs w:val="20"/>
          <w:color w:val="auto"/>
        </w:rPr>
      </w:pPr>
      <w:r>
        <w:rPr>
          <w:rFonts w:ascii="Arial" w:cs="Arial" w:eastAsia="Arial" w:hAnsi="Arial"/>
          <w:sz w:val="20"/>
          <w:szCs w:val="20"/>
          <w:b w:val="1"/>
          <w:bCs w:val="1"/>
          <w:color w:val="auto"/>
        </w:rPr>
        <w:t xml:space="preserve">Note 11 — </w:t>
      </w:r>
      <w:r>
        <w:rPr>
          <w:rFonts w:ascii="Arial" w:cs="Arial" w:eastAsia="Arial" w:hAnsi="Arial"/>
          <w:sz w:val="20"/>
          <w:szCs w:val="20"/>
          <w:b w:val="1"/>
          <w:bCs w:val="1"/>
          <w:i w:val="1"/>
          <w:iCs w:val="1"/>
          <w:color w:val="auto"/>
        </w:rPr>
        <w:t>Goodwill and Other Intangibles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Goodwill</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changes in goodwill for the years ended December 31, 2024 and 2023 based on the</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Company's reportable segments:</w:t>
      </w:r>
    </w:p>
    <w:p>
      <w:pPr>
        <w:spacing w:after="0" w:line="5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vMerge w:val="restart"/>
          </w:tcPr>
          <w:p>
            <w:pPr>
              <w:jc w:val="right"/>
              <w:ind w:right="262"/>
              <w:spacing w:after="0"/>
              <w:rPr>
                <w:sz w:val="20"/>
                <w:szCs w:val="20"/>
                <w:color w:val="auto"/>
              </w:rPr>
            </w:pPr>
            <w:r>
              <w:rPr>
                <w:rFonts w:ascii="Arial" w:cs="Arial" w:eastAsia="Arial" w:hAnsi="Arial"/>
                <w:sz w:val="18"/>
                <w:szCs w:val="18"/>
                <w:b w:val="1"/>
                <w:bCs w:val="1"/>
                <w:color w:val="auto"/>
              </w:rPr>
              <w:t>Texas</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vMerge w:val="restart"/>
          </w:tcPr>
          <w:p>
            <w:pPr>
              <w:jc w:val="right"/>
              <w:ind w:right="342"/>
              <w:spacing w:after="0"/>
              <w:rPr>
                <w:sz w:val="20"/>
                <w:szCs w:val="20"/>
                <w:color w:val="auto"/>
              </w:rPr>
            </w:pPr>
            <w:r>
              <w:rPr>
                <w:rFonts w:ascii="Arial" w:cs="Arial" w:eastAsia="Arial" w:hAnsi="Arial"/>
                <w:sz w:val="18"/>
                <w:szCs w:val="18"/>
                <w:b w:val="1"/>
                <w:bCs w:val="1"/>
                <w:color w:val="auto"/>
              </w:rPr>
              <w:t>East</w:t>
            </w:r>
          </w:p>
        </w:tc>
        <w:tc>
          <w:tcPr>
            <w:tcW w:w="60" w:type="dxa"/>
            <w:vAlign w:val="bottom"/>
          </w:tcPr>
          <w:p>
            <w:pPr>
              <w:spacing w:after="0"/>
              <w:rPr>
                <w:sz w:val="17"/>
                <w:szCs w:val="17"/>
                <w:color w:val="auto"/>
              </w:rPr>
            </w:pPr>
          </w:p>
        </w:tc>
        <w:tc>
          <w:tcPr>
            <w:tcW w:w="1300" w:type="dxa"/>
            <w:vAlign w:val="bottom"/>
            <w:gridSpan w:val="2"/>
          </w:tcPr>
          <w:p>
            <w:pPr>
              <w:jc w:val="right"/>
              <w:ind w:right="2"/>
              <w:spacing w:after="0"/>
              <w:rPr>
                <w:sz w:val="20"/>
                <w:szCs w:val="20"/>
                <w:color w:val="auto"/>
              </w:rPr>
            </w:pPr>
            <w:r>
              <w:rPr>
                <w:rFonts w:ascii="Arial" w:cs="Arial" w:eastAsia="Arial" w:hAnsi="Arial"/>
                <w:sz w:val="18"/>
                <w:szCs w:val="18"/>
                <w:b w:val="1"/>
                <w:bCs w:val="1"/>
                <w:color w:val="auto"/>
                <w:w w:val="92"/>
              </w:rPr>
              <w:t>West/Services/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202"/>
              <w:spacing w:after="0"/>
              <w:rPr>
                <w:sz w:val="20"/>
                <w:szCs w:val="20"/>
                <w:color w:val="auto"/>
              </w:rPr>
            </w:pPr>
            <w:r>
              <w:rPr>
                <w:rFonts w:ascii="Arial" w:cs="Arial" w:eastAsia="Arial" w:hAnsi="Arial"/>
                <w:sz w:val="18"/>
                <w:szCs w:val="18"/>
                <w:b w:val="1"/>
                <w:bCs w:val="1"/>
                <w:color w:val="auto"/>
              </w:rPr>
              <w:t>Vivint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vMerge w:val="restart"/>
          </w:tcPr>
          <w:p>
            <w:pPr>
              <w:jc w:val="right"/>
              <w:ind w:right="30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6"/>
        </w:trPr>
        <w:tc>
          <w:tcPr>
            <w:tcW w:w="3860" w:type="dxa"/>
            <w:vAlign w:val="bottom"/>
          </w:tcPr>
          <w:p>
            <w:pPr>
              <w:jc w:val="right"/>
              <w:ind w:right="2963"/>
              <w:spacing w:after="0"/>
              <w:rPr>
                <w:sz w:val="20"/>
                <w:szCs w:val="20"/>
                <w:color w:val="auto"/>
              </w:rPr>
            </w:pPr>
            <w:r>
              <w:rPr>
                <w:rFonts w:ascii="Arial" w:cs="Arial" w:eastAsia="Arial" w:hAnsi="Arial"/>
                <w:sz w:val="16"/>
                <w:szCs w:val="16"/>
                <w:b w:val="1"/>
                <w:bCs w:val="1"/>
                <w:color w:val="auto"/>
                <w:w w:val="86"/>
              </w:rPr>
              <w:t>(in millions)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2"/>
              <w:spacing w:after="0"/>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20"/>
                <w:szCs w:val="20"/>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6"/>
              </w:rPr>
              <w:t>Smart Home</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860" w:type="dxa"/>
            <w:vAlign w:val="bottom"/>
          </w:tcPr>
          <w:p>
            <w:pPr>
              <w:jc w:val="right"/>
              <w:spacing w:after="0"/>
              <w:rPr>
                <w:sz w:val="20"/>
                <w:szCs w:val="20"/>
                <w:color w:val="auto"/>
              </w:rPr>
            </w:pPr>
            <w:r>
              <w:rPr>
                <w:rFonts w:ascii="Arial" w:cs="Arial" w:eastAsia="Arial" w:hAnsi="Arial"/>
                <w:sz w:val="20"/>
                <w:szCs w:val="20"/>
                <w:b w:val="1"/>
                <w:bCs w:val="1"/>
                <w:color w:val="auto"/>
                <w:w w:val="88"/>
              </w:rPr>
              <w:t xml:space="preserve">Balance as of January 1, 2023 </w:t>
            </w:r>
            <w:r>
              <w:rPr>
                <w:rFonts w:ascii="Arial" w:cs="Arial" w:eastAsia="Arial" w:hAnsi="Arial"/>
                <w:sz w:val="20"/>
                <w:szCs w:val="20"/>
                <w:b w:val="1"/>
                <w:bCs w:val="1"/>
                <w:color w:val="B4B4B4"/>
                <w:w w:val="88"/>
              </w:rPr>
              <w:t>. . . . . . . . . . . . .</w:t>
            </w:r>
          </w:p>
        </w:tc>
        <w:tc>
          <w:tcPr>
            <w:tcW w:w="2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710</w:t>
            </w:r>
          </w:p>
        </w:tc>
        <w:tc>
          <w:tcPr>
            <w:tcW w:w="38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723</w:t>
            </w:r>
          </w:p>
        </w:tc>
        <w:tc>
          <w:tcPr>
            <w:tcW w:w="360" w:type="dxa"/>
            <w:vAlign w:val="bottom"/>
            <w:gridSpan w:val="2"/>
          </w:tcPr>
          <w:p>
            <w:pPr>
              <w:jc w:val="right"/>
              <w:ind w:right="44"/>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217</w:t>
            </w:r>
          </w:p>
        </w:tc>
        <w:tc>
          <w:tcPr>
            <w:tcW w:w="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1,650</w:t>
            </w:r>
          </w:p>
        </w:tc>
        <w:tc>
          <w:tcPr>
            <w:tcW w:w="0" w:type="dxa"/>
            <w:vAlign w:val="bottom"/>
          </w:tcPr>
          <w:p>
            <w:pPr>
              <w:spacing w:after="0"/>
              <w:rPr>
                <w:sz w:val="1"/>
                <w:szCs w:val="1"/>
                <w:color w:val="auto"/>
              </w:rPr>
            </w:pPr>
          </w:p>
        </w:tc>
      </w:tr>
      <w:tr>
        <w:trPr>
          <w:trHeight w:val="232"/>
        </w:trPr>
        <w:tc>
          <w:tcPr>
            <w:tcW w:w="3860" w:type="dxa"/>
            <w:vAlign w:val="bottom"/>
          </w:tcPr>
          <w:p>
            <w:pPr>
              <w:jc w:val="right"/>
              <w:ind w:right="363"/>
              <w:spacing w:after="0"/>
              <w:rPr>
                <w:sz w:val="20"/>
                <w:szCs w:val="20"/>
                <w:color w:val="auto"/>
              </w:rPr>
            </w:pPr>
            <w:r>
              <w:rPr>
                <w:rFonts w:ascii="Arial" w:cs="Arial" w:eastAsia="Arial" w:hAnsi="Arial"/>
                <w:sz w:val="20"/>
                <w:szCs w:val="20"/>
                <w:color w:val="auto"/>
                <w:w w:val="95"/>
              </w:rPr>
              <w:t>Goodwill resulted from the acquisition of</w:t>
            </w:r>
          </w:p>
        </w:tc>
        <w:tc>
          <w:tcPr>
            <w:tcW w:w="26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3,494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3,494</w:t>
            </w:r>
          </w:p>
        </w:tc>
        <w:tc>
          <w:tcPr>
            <w:tcW w:w="0" w:type="dxa"/>
            <w:vAlign w:val="bottom"/>
          </w:tcPr>
          <w:p>
            <w:pPr>
              <w:spacing w:after="0"/>
              <w:rPr>
                <w:sz w:val="1"/>
                <w:szCs w:val="1"/>
                <w:color w:val="auto"/>
              </w:rPr>
            </w:pPr>
          </w:p>
        </w:tc>
      </w:tr>
      <w:tr>
        <w:trPr>
          <w:trHeight w:val="258"/>
        </w:trPr>
        <w:tc>
          <w:tcPr>
            <w:tcW w:w="3860" w:type="dxa"/>
            <w:vAlign w:val="bottom"/>
          </w:tcPr>
          <w:p>
            <w:pPr>
              <w:jc w:val="right"/>
              <w:spacing w:after="0"/>
              <w:rPr>
                <w:sz w:val="20"/>
                <w:szCs w:val="20"/>
                <w:color w:val="auto"/>
              </w:rPr>
            </w:pPr>
            <w:r>
              <w:rPr>
                <w:rFonts w:ascii="Arial" w:cs="Arial" w:eastAsia="Arial" w:hAnsi="Arial"/>
                <w:sz w:val="20"/>
                <w:szCs w:val="20"/>
                <w:color w:val="auto"/>
                <w:w w:val="93"/>
              </w:rPr>
              <w:t xml:space="preserve">Vivint </w:t>
            </w:r>
            <w:r>
              <w:rPr>
                <w:rFonts w:ascii="Arial" w:cs="Arial" w:eastAsia="Arial" w:hAnsi="Arial"/>
                <w:sz w:val="20"/>
                <w:szCs w:val="20"/>
                <w:color w:val="B4B4B4"/>
                <w:w w:val="93"/>
              </w:rPr>
              <w:t>. . . . . . . . . . . . . . . . . . . . . . . . . . . . . . . .</w:t>
            </w:r>
          </w:p>
        </w:tc>
        <w:tc>
          <w:tcPr>
            <w:tcW w:w="26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860" w:type="dxa"/>
            <w:vAlign w:val="bottom"/>
          </w:tcPr>
          <w:p>
            <w:pPr>
              <w:jc w:val="right"/>
              <w:spacing w:after="0"/>
              <w:rPr>
                <w:sz w:val="20"/>
                <w:szCs w:val="20"/>
                <w:color w:val="auto"/>
              </w:rPr>
            </w:pPr>
            <w:r>
              <w:rPr>
                <w:rFonts w:ascii="Arial" w:cs="Arial" w:eastAsia="Arial" w:hAnsi="Arial"/>
                <w:sz w:val="20"/>
                <w:szCs w:val="20"/>
                <w:color w:val="auto"/>
                <w:w w:val="91"/>
              </w:rPr>
              <w:t xml:space="preserve">Asset sales </w:t>
            </w:r>
            <w:r>
              <w:rPr>
                <w:rFonts w:ascii="Arial" w:cs="Arial" w:eastAsia="Arial" w:hAnsi="Arial"/>
                <w:sz w:val="20"/>
                <w:szCs w:val="20"/>
                <w:color w:val="B4B4B4"/>
                <w:w w:val="91"/>
              </w:rPr>
              <w:t>. . . . . . . . . . . . . . . . . . . . . . . . . . . .</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(69)</w:t>
            </w:r>
          </w:p>
        </w:tc>
        <w:tc>
          <w:tcPr>
            <w:tcW w:w="0" w:type="dxa"/>
            <w:vAlign w:val="bottom"/>
          </w:tcPr>
          <w:p>
            <w:pPr>
              <w:spacing w:after="0"/>
              <w:rPr>
                <w:sz w:val="1"/>
                <w:szCs w:val="1"/>
                <w:color w:val="auto"/>
              </w:rPr>
            </w:pPr>
          </w:p>
        </w:tc>
      </w:tr>
      <w:tr>
        <w:trPr>
          <w:trHeight w:val="299"/>
        </w:trPr>
        <w:tc>
          <w:tcPr>
            <w:tcW w:w="3860" w:type="dxa"/>
            <w:vAlign w:val="bottom"/>
          </w:tcPr>
          <w:p>
            <w:pPr>
              <w:jc w:val="right"/>
              <w:spacing w:after="0"/>
              <w:rPr>
                <w:sz w:val="20"/>
                <w:szCs w:val="20"/>
                <w:color w:val="auto"/>
              </w:rPr>
            </w:pPr>
            <w:r>
              <w:rPr>
                <w:rFonts w:ascii="Arial" w:cs="Arial" w:eastAsia="Arial" w:hAnsi="Arial"/>
                <w:sz w:val="20"/>
                <w:szCs w:val="20"/>
                <w:color w:val="auto"/>
                <w:w w:val="93"/>
              </w:rPr>
              <w:t xml:space="preserve">Foreign currency translation adjustments </w:t>
            </w:r>
            <w:r>
              <w:rPr>
                <w:rFonts w:ascii="Arial" w:cs="Arial" w:eastAsia="Arial" w:hAnsi="Arial"/>
                <w:sz w:val="20"/>
                <w:szCs w:val="20"/>
                <w:color w:val="B4B4B4"/>
                <w:w w:val="93"/>
              </w:rPr>
              <w:t>. . . .</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62"/>
        </w:trPr>
        <w:tc>
          <w:tcPr>
            <w:tcW w:w="3860" w:type="dxa"/>
            <w:vAlign w:val="bottom"/>
          </w:tcPr>
          <w:p>
            <w:pPr>
              <w:jc w:val="right"/>
              <w:spacing w:after="0"/>
              <w:rPr>
                <w:sz w:val="20"/>
                <w:szCs w:val="20"/>
                <w:color w:val="auto"/>
              </w:rPr>
            </w:pPr>
            <w:r>
              <w:rPr>
                <w:rFonts w:ascii="Arial" w:cs="Arial" w:eastAsia="Arial" w:hAnsi="Arial"/>
                <w:sz w:val="20"/>
                <w:szCs w:val="20"/>
                <w:b w:val="1"/>
                <w:bCs w:val="1"/>
                <w:color w:val="B4B4B4"/>
                <w:w w:val="96"/>
              </w:rPr>
              <w:t>. . . . . . . . . .</w:t>
            </w:r>
            <w:r>
              <w:rPr>
                <w:rFonts w:ascii="Arial" w:cs="Arial" w:eastAsia="Arial" w:hAnsi="Arial"/>
                <w:sz w:val="20"/>
                <w:szCs w:val="20"/>
                <w:b w:val="1"/>
                <w:bCs w:val="1"/>
                <w:color w:val="000000"/>
                <w:w w:val="96"/>
              </w:rPr>
              <w:t>BalanceasofDecember31,2023</w:t>
            </w:r>
          </w:p>
        </w:tc>
        <w:tc>
          <w:tcPr>
            <w:tcW w:w="260" w:type="dxa"/>
            <w:vAlign w:val="bottom"/>
          </w:tcPr>
          <w:p>
            <w:pPr>
              <w:jc w:val="right"/>
              <w:ind w:right="1"/>
              <w:spacing w:after="0"/>
              <w:rPr>
                <w:sz w:val="20"/>
                <w:szCs w:val="20"/>
                <w:color w:val="auto"/>
              </w:rPr>
            </w:pPr>
            <w:r>
              <w:rPr>
                <w:rFonts w:ascii="Arial" w:cs="Arial" w:eastAsia="Arial" w:hAnsi="Arial"/>
                <w:sz w:val="20"/>
                <w:szCs w:val="20"/>
                <w:b w:val="1"/>
                <w:bCs w:val="1"/>
                <w:color w:val="auto"/>
              </w:rPr>
              <w:t>$</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643</w:t>
            </w:r>
          </w:p>
        </w:tc>
        <w:tc>
          <w:tcPr>
            <w:tcW w:w="80" w:type="dxa"/>
            <w:vAlign w:val="bottom"/>
          </w:tcPr>
          <w:p>
            <w:pPr>
              <w:spacing w:after="0"/>
              <w:rPr>
                <w:sz w:val="22"/>
                <w:szCs w:val="22"/>
                <w:color w:val="auto"/>
              </w:rPr>
            </w:pPr>
          </w:p>
        </w:tc>
        <w:tc>
          <w:tcPr>
            <w:tcW w:w="30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721</w:t>
            </w:r>
          </w:p>
        </w:tc>
        <w:tc>
          <w:tcPr>
            <w:tcW w:w="60" w:type="dxa"/>
            <w:vAlign w:val="bottom"/>
          </w:tcPr>
          <w:p>
            <w:pPr>
              <w:spacing w:after="0"/>
              <w:rPr>
                <w:sz w:val="22"/>
                <w:szCs w:val="22"/>
                <w:color w:val="auto"/>
              </w:rPr>
            </w:pPr>
          </w:p>
        </w:tc>
        <w:tc>
          <w:tcPr>
            <w:tcW w:w="300" w:type="dxa"/>
            <w:vAlign w:val="bottom"/>
          </w:tcPr>
          <w:p>
            <w:pPr>
              <w:jc w:val="right"/>
              <w:ind w:right="44"/>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221</w:t>
            </w:r>
          </w:p>
        </w:tc>
        <w:tc>
          <w:tcPr>
            <w:tcW w:w="8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3,494</w:t>
            </w:r>
          </w:p>
        </w:tc>
        <w:tc>
          <w:tcPr>
            <w:tcW w:w="80" w:type="dxa"/>
            <w:vAlign w:val="bottom"/>
          </w:tcPr>
          <w:p>
            <w:pPr>
              <w:spacing w:after="0"/>
              <w:rPr>
                <w:sz w:val="22"/>
                <w:szCs w:val="22"/>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b w:val="1"/>
                <w:bCs w:val="1"/>
                <w:color w:val="auto"/>
              </w:rPr>
              <w:t>$</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5,079</w:t>
            </w:r>
          </w:p>
        </w:tc>
        <w:tc>
          <w:tcPr>
            <w:tcW w:w="0" w:type="dxa"/>
            <w:vAlign w:val="bottom"/>
          </w:tcPr>
          <w:p>
            <w:pPr>
              <w:spacing w:after="0"/>
              <w:rPr>
                <w:sz w:val="1"/>
                <w:szCs w:val="1"/>
                <w:color w:val="auto"/>
              </w:rPr>
            </w:pPr>
          </w:p>
        </w:tc>
      </w:tr>
      <w:tr>
        <w:trPr>
          <w:trHeight w:val="294"/>
        </w:trPr>
        <w:tc>
          <w:tcPr>
            <w:tcW w:w="3860" w:type="dxa"/>
            <w:vAlign w:val="bottom"/>
          </w:tcPr>
          <w:p>
            <w:pPr>
              <w:jc w:val="right"/>
              <w:spacing w:after="0"/>
              <w:rPr>
                <w:sz w:val="20"/>
                <w:szCs w:val="20"/>
                <w:color w:val="auto"/>
              </w:rPr>
            </w:pPr>
            <w:r>
              <w:rPr>
                <w:rFonts w:ascii="Arial" w:cs="Arial" w:eastAsia="Arial" w:hAnsi="Arial"/>
                <w:sz w:val="20"/>
                <w:szCs w:val="20"/>
                <w:color w:val="auto"/>
                <w:w w:val="93"/>
              </w:rPr>
              <w:t xml:space="preserve">Impairment  </w:t>
            </w:r>
            <w:r>
              <w:rPr>
                <w:rFonts w:ascii="Arial" w:cs="Arial" w:eastAsia="Arial" w:hAnsi="Arial"/>
                <w:sz w:val="20"/>
                <w:szCs w:val="20"/>
                <w:color w:val="B4B4B4"/>
                <w:w w:val="93"/>
              </w:rPr>
              <w:t>. . . . . . . . . . . . . . . . . . . . . . . . . . .</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97"/>
        </w:trPr>
        <w:tc>
          <w:tcPr>
            <w:tcW w:w="3860" w:type="dxa"/>
            <w:vAlign w:val="bottom"/>
          </w:tcPr>
          <w:p>
            <w:pPr>
              <w:jc w:val="right"/>
              <w:spacing w:after="0"/>
              <w:rPr>
                <w:sz w:val="20"/>
                <w:szCs w:val="20"/>
                <w:color w:val="auto"/>
              </w:rPr>
            </w:pPr>
            <w:r>
              <w:rPr>
                <w:rFonts w:ascii="Arial" w:cs="Arial" w:eastAsia="Arial" w:hAnsi="Arial"/>
                <w:sz w:val="20"/>
                <w:szCs w:val="20"/>
                <w:color w:val="auto"/>
                <w:w w:val="93"/>
              </w:rPr>
              <w:t xml:space="preserve">Sale of Airtron </w:t>
            </w:r>
            <w:r>
              <w:rPr>
                <w:rFonts w:ascii="Arial" w:cs="Arial" w:eastAsia="Arial" w:hAnsi="Arial"/>
                <w:sz w:val="20"/>
                <w:szCs w:val="20"/>
                <w:color w:val="B4B4B4"/>
                <w:w w:val="93"/>
              </w:rPr>
              <w:t>. . . . . . . . . . . . . . . . . . . . . . . . .</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99"/>
        </w:trPr>
        <w:tc>
          <w:tcPr>
            <w:tcW w:w="3860" w:type="dxa"/>
            <w:vAlign w:val="bottom"/>
          </w:tcPr>
          <w:p>
            <w:pPr>
              <w:jc w:val="right"/>
              <w:spacing w:after="0"/>
              <w:rPr>
                <w:sz w:val="20"/>
                <w:szCs w:val="20"/>
                <w:color w:val="auto"/>
              </w:rPr>
            </w:pPr>
            <w:r>
              <w:rPr>
                <w:rFonts w:ascii="Arial" w:cs="Arial" w:eastAsia="Arial" w:hAnsi="Arial"/>
                <w:sz w:val="20"/>
                <w:szCs w:val="20"/>
                <w:color w:val="auto"/>
                <w:w w:val="93"/>
              </w:rPr>
              <w:t xml:space="preserve">Foreign currency translation adjustments </w:t>
            </w:r>
            <w:r>
              <w:rPr>
                <w:rFonts w:ascii="Arial" w:cs="Arial" w:eastAsia="Arial" w:hAnsi="Arial"/>
                <w:sz w:val="20"/>
                <w:szCs w:val="20"/>
                <w:color w:val="B4B4B4"/>
                <w:w w:val="93"/>
              </w:rPr>
              <w:t>. . . .</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42"/>
        </w:trPr>
        <w:tc>
          <w:tcPr>
            <w:tcW w:w="3860" w:type="dxa"/>
            <w:vAlign w:val="bottom"/>
          </w:tcPr>
          <w:p>
            <w:pPr>
              <w:jc w:val="right"/>
              <w:spacing w:after="0"/>
              <w:rPr>
                <w:sz w:val="20"/>
                <w:szCs w:val="20"/>
                <w:color w:val="auto"/>
              </w:rPr>
            </w:pPr>
            <w:r>
              <w:rPr>
                <w:rFonts w:ascii="Arial" w:cs="Arial" w:eastAsia="Arial" w:hAnsi="Arial"/>
                <w:sz w:val="20"/>
                <w:szCs w:val="20"/>
                <w:b w:val="1"/>
                <w:bCs w:val="1"/>
                <w:color w:val="B4B4B4"/>
                <w:w w:val="96"/>
              </w:rPr>
              <w:t>. . . . . . . . . .</w:t>
            </w:r>
            <w:r>
              <w:rPr>
                <w:rFonts w:ascii="Arial" w:cs="Arial" w:eastAsia="Arial" w:hAnsi="Arial"/>
                <w:sz w:val="20"/>
                <w:szCs w:val="20"/>
                <w:b w:val="1"/>
                <w:bCs w:val="1"/>
                <w:color w:val="000000"/>
                <w:w w:val="96"/>
              </w:rPr>
              <w:t>BalanceasofDecember31,2024</w:t>
            </w:r>
          </w:p>
        </w:tc>
        <w:tc>
          <w:tcPr>
            <w:tcW w:w="2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643</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721</w:t>
            </w:r>
          </w:p>
        </w:tc>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44"/>
              <w:spacing w:after="0"/>
              <w:rPr>
                <w:sz w:val="20"/>
                <w:szCs w:val="20"/>
                <w:color w:val="auto"/>
              </w:rPr>
            </w:pPr>
            <w:r>
              <w:rPr>
                <w:rFonts w:ascii="Arial" w:cs="Arial" w:eastAsia="Arial" w:hAnsi="Arial"/>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153</w:t>
            </w:r>
          </w:p>
        </w:tc>
        <w:tc>
          <w:tcPr>
            <w:tcW w:w="80" w:type="dxa"/>
            <w:vAlign w:val="bottom"/>
          </w:tcPr>
          <w:p>
            <w:pPr>
              <w:spacing w:after="0"/>
              <w:rPr>
                <w:sz w:val="21"/>
                <w:szCs w:val="21"/>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3,494</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5,011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-1831975</wp:posOffset>
            </wp:positionV>
            <wp:extent cx="6475095" cy="18389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5">
                      <a:extLst>
                        <a:ext uri="{28A0092B-C50C-407E-A947-70E740481C1C}"/>
                      </a:extLst>
                    </a:blip>
                    <a:srcRect/>
                    <a:stretch>
                      <a:fillRect/>
                    </a:stretch>
                  </pic:blipFill>
                  <pic:spPr bwMode="auto">
                    <a:xfrm>
                      <a:off x="0" y="0"/>
                      <a:ext cx="6475095" cy="1838960"/>
                    </a:xfrm>
                    <a:prstGeom prst="rect">
                      <a:avLst/>
                    </a:prstGeom>
                    <a:noFill/>
                  </pic:spPr>
                </pic:pic>
              </a:graphicData>
            </a:graphic>
          </wp:anchor>
        </w:drawing>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Intangible Assets</w:t>
      </w:r>
    </w:p>
    <w:p>
      <w:pPr>
        <w:spacing w:after="0" w:line="13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Company's intangible assets as of December 31, 2024, primarily reflect intangible assets established with the acquisitions of various companies, including Vivint Smart Home, Direct Energy, other retail acquisitions and Texas Genco. Intangible assets are comprised of the following:</w:t>
      </w:r>
    </w:p>
    <w:p>
      <w:pPr>
        <w:spacing w:after="0" w:line="8" w:lineRule="exact"/>
        <w:rPr>
          <w:sz w:val="20"/>
          <w:szCs w:val="20"/>
          <w:color w:val="auto"/>
        </w:rPr>
      </w:pPr>
    </w:p>
    <w:p>
      <w:pPr>
        <w:jc w:val="both"/>
        <w:ind w:left="720" w:hanging="362"/>
        <w:spacing w:after="0" w:line="296" w:lineRule="auto"/>
        <w:tabs>
          <w:tab w:leader="none" w:pos="720"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Emission Allowances </w:t>
      </w:r>
      <w:r>
        <w:rPr>
          <w:rFonts w:ascii="Arial" w:cs="Arial" w:eastAsia="Arial" w:hAnsi="Arial"/>
          <w:sz w:val="18"/>
          <w:szCs w:val="18"/>
          <w:color w:val="auto"/>
        </w:rPr>
        <w:t>— These intangibles primarily consist of SO</w:t>
      </w:r>
      <w:r>
        <w:rPr>
          <w:rFonts w:ascii="Arial" w:cs="Arial" w:eastAsia="Arial" w:hAnsi="Arial"/>
          <w:sz w:val="23"/>
          <w:szCs w:val="23"/>
          <w:color w:val="auto"/>
          <w:vertAlign w:val="subscript"/>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emission allowances, including those established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2006 acquisition of Texas Genco, RGGI emission credits and California carbon allowances. These emission allowances are held-for-use and are amortized to cost of operations based on units of production.</w:t>
      </w:r>
    </w:p>
    <w:p>
      <w:pPr>
        <w:spacing w:after="0" w:line="1" w:lineRule="exact"/>
        <w:rPr>
          <w:rFonts w:ascii="Arial" w:cs="Arial" w:eastAsia="Arial" w:hAnsi="Arial"/>
          <w:sz w:val="18"/>
          <w:szCs w:val="18"/>
          <w:b w:val="1"/>
          <w:bCs w:val="1"/>
          <w:i w:val="1"/>
          <w:iCs w:val="1"/>
          <w:color w:val="auto"/>
        </w:rPr>
      </w:pPr>
    </w:p>
    <w:p>
      <w:pPr>
        <w:jc w:val="both"/>
        <w:ind w:left="720" w:hanging="362"/>
        <w:spacing w:after="0" w:line="298" w:lineRule="auto"/>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and supply contracts </w:t>
      </w:r>
      <w:r>
        <w:rPr>
          <w:rFonts w:ascii="Arial" w:cs="Arial" w:eastAsia="Arial" w:hAnsi="Arial"/>
          <w:sz w:val="18"/>
          <w:szCs w:val="18"/>
          <w:color w:val="auto"/>
        </w:rPr>
        <w:t>— These intangibles include the fair value at the acquisition date of in-market and out-of-market customer and supply contracts from the acquisition of Direct Energy and are amortized to revenue and cost of operations, respectively, based upon the fair market value, as of the acquisition date, for each delivery month.</w:t>
      </w:r>
    </w:p>
    <w:p>
      <w:pPr>
        <w:spacing w:after="0" w:line="1" w:lineRule="exact"/>
        <w:rPr>
          <w:rFonts w:ascii="Arial" w:cs="Arial" w:eastAsia="Arial" w:hAnsi="Arial"/>
          <w:sz w:val="18"/>
          <w:szCs w:val="18"/>
          <w:color w:val="auto"/>
        </w:rPr>
      </w:pPr>
    </w:p>
    <w:p>
      <w:pPr>
        <w:jc w:val="both"/>
        <w:ind w:left="720" w:hanging="362"/>
        <w:spacing w:after="0" w:line="298" w:lineRule="auto"/>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relationships </w:t>
      </w:r>
      <w:r>
        <w:rPr>
          <w:rFonts w:ascii="Arial" w:cs="Arial" w:eastAsia="Arial" w:hAnsi="Arial"/>
          <w:sz w:val="18"/>
          <w:szCs w:val="18"/>
          <w:color w:val="auto"/>
        </w:rPr>
        <w:t>— These intangibles represent the fair value at the acquisition date of acquired businesses'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base from the acquisition of Vivint, Direct Energy and other acquisitions. Customer relationships are amortized to depreciation and amortization expense based on the expected discounted future net cash flows by year.</w:t>
      </w:r>
    </w:p>
    <w:p>
      <w:pPr>
        <w:spacing w:after="0" w:line="1" w:lineRule="exact"/>
        <w:rPr>
          <w:rFonts w:ascii="Arial" w:cs="Arial" w:eastAsia="Arial" w:hAnsi="Arial"/>
          <w:sz w:val="18"/>
          <w:szCs w:val="18"/>
          <w:color w:val="auto"/>
        </w:rPr>
      </w:pPr>
    </w:p>
    <w:p>
      <w:pPr>
        <w:jc w:val="both"/>
        <w:ind w:left="720" w:hanging="362"/>
        <w:spacing w:after="0" w:line="298" w:lineRule="auto"/>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Marketing partnerships </w:t>
      </w:r>
      <w:r>
        <w:rPr>
          <w:rFonts w:ascii="Arial" w:cs="Arial" w:eastAsia="Arial" w:hAnsi="Arial"/>
          <w:sz w:val="18"/>
          <w:szCs w:val="18"/>
          <w:color w:val="auto"/>
        </w:rPr>
        <w:t>— These intangibles represent the fair value at the acquisition date of existing agreements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marketing vendors and loyalty and affinity partners for customer acquisition. Marketing partnerships are amortized to depreciation and amortization expense based on the expected discounted future net cash flows by year.</w:t>
      </w:r>
    </w:p>
    <w:p>
      <w:pPr>
        <w:spacing w:after="0" w:line="1" w:lineRule="exact"/>
        <w:rPr>
          <w:rFonts w:ascii="Arial" w:cs="Arial" w:eastAsia="Arial" w:hAnsi="Arial"/>
          <w:sz w:val="18"/>
          <w:szCs w:val="18"/>
          <w:color w:val="auto"/>
        </w:rPr>
      </w:pPr>
    </w:p>
    <w:p>
      <w:pPr>
        <w:jc w:val="both"/>
        <w:ind w:left="720" w:hanging="362"/>
        <w:spacing w:after="0" w:line="264" w:lineRule="auto"/>
        <w:tabs>
          <w:tab w:leader="none" w:pos="720" w:val="left"/>
        </w:tabs>
        <w:numPr>
          <w:ilvl w:val="0"/>
          <w:numId w:val="7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Technology </w:t>
      </w:r>
      <w:r>
        <w:rPr>
          <w:rFonts w:ascii="Arial" w:cs="Arial" w:eastAsia="Arial" w:hAnsi="Arial"/>
          <w:sz w:val="20"/>
          <w:szCs w:val="20"/>
          <w:color w:val="auto"/>
        </w:rPr>
        <w:t>— These intangibles represent the fair value at the acquisition date of developed technology for Vivint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Smart Home integrated software and products. Technology is amortized to depreciation and amortization expense, ratably based on the expected discounted future net cash flows by year.</w:t>
      </w:r>
    </w:p>
    <w:p>
      <w:pPr>
        <w:spacing w:after="0" w:line="13" w:lineRule="exact"/>
        <w:rPr>
          <w:rFonts w:ascii="Arial" w:cs="Arial" w:eastAsia="Arial" w:hAnsi="Arial"/>
          <w:sz w:val="20"/>
          <w:szCs w:val="20"/>
          <w:color w:val="auto"/>
        </w:rPr>
      </w:pPr>
    </w:p>
    <w:p>
      <w:pPr>
        <w:ind w:left="720" w:hanging="362"/>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Trade names </w:t>
      </w:r>
      <w:r>
        <w:rPr>
          <w:rFonts w:ascii="Arial" w:cs="Arial" w:eastAsia="Arial" w:hAnsi="Arial"/>
          <w:sz w:val="18"/>
          <w:szCs w:val="18"/>
          <w:color w:val="auto"/>
        </w:rPr>
        <w:t>— These intangibles are amortized to depreciation and amortization expense on a straight-line basis.</w:t>
      </w:r>
    </w:p>
    <w:p>
      <w:pPr>
        <w:spacing w:after="0" w:line="90" w:lineRule="exact"/>
        <w:rPr>
          <w:rFonts w:ascii="Arial" w:cs="Arial" w:eastAsia="Arial" w:hAnsi="Arial"/>
          <w:sz w:val="18"/>
          <w:szCs w:val="18"/>
          <w:color w:val="auto"/>
        </w:rPr>
      </w:pPr>
    </w:p>
    <w:p>
      <w:pPr>
        <w:jc w:val="both"/>
        <w:ind w:left="720" w:hanging="362"/>
        <w:spacing w:after="0" w:line="254" w:lineRule="auto"/>
        <w:tabs>
          <w:tab w:leader="none" w:pos="720" w:val="left"/>
        </w:tabs>
        <w:numPr>
          <w:ilvl w:val="0"/>
          <w:numId w:val="7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Other </w:t>
      </w:r>
      <w:r>
        <w:rPr>
          <w:rFonts w:ascii="Arial" w:cs="Arial" w:eastAsia="Arial" w:hAnsi="Arial"/>
          <w:sz w:val="20"/>
          <w:szCs w:val="20"/>
          <w:color w:val="auto"/>
        </w:rPr>
        <w:t>— These intangibles primarily include renewable energy certificates. RECs are retired, as required, for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applicable compliance period. RECs are expensed to cost of operations based on NRG’s customer usage. Other also included in-market nuclear fuel contracts established from the Texas Genco acquisition in 2006 which were amortized to cost of operations over expected volumes over the life of each contract, costs to extend the operating license for STP Units 1 and 2 and intellectual property related to Goal Zero, which was amortized to depreciation and amortization expense.</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ectPr>
          <w:pgSz w:w="11880" w:h="15480" w:orient="portrait"/>
          <w:cols w:equalWidth="0" w:num="1">
            <w:col w:w="10160"/>
          </w:cols>
          <w:pgMar w:left="860" w:top="505" w:right="860" w:bottom="0" w:gutter="0" w:footer="0" w:header="0"/>
          <w:type w:val="continuous"/>
        </w:sectPr>
      </w:pPr>
    </w:p>
    <w:bookmarkStart w:id="128" w:name="page129"/>
    <w:bookmarkEnd w:id="128"/>
    <w:p>
      <w:pPr>
        <w:ind w:left="439"/>
        <w:spacing w:after="0"/>
        <w:rPr>
          <w:sz w:val="20"/>
          <w:szCs w:val="20"/>
          <w:color w:val="auto"/>
        </w:rPr>
      </w:pPr>
      <w:r>
        <w:rPr>
          <w:rFonts w:ascii="Arial" w:cs="Arial" w:eastAsia="Arial" w:hAnsi="Arial"/>
          <w:sz w:val="20"/>
          <w:szCs w:val="20"/>
          <w:color w:val="auto"/>
        </w:rPr>
        <w:t>The following tables summarize the components of NRG's intangible assets:</w:t>
      </w:r>
    </w:p>
    <w:p>
      <w:pPr>
        <w:spacing w:after="0" w:line="126" w:lineRule="exact"/>
        <w:rPr>
          <w:sz w:val="20"/>
          <w:szCs w:val="20"/>
          <w:color w:val="auto"/>
        </w:rPr>
      </w:pPr>
    </w:p>
    <w:tbl>
      <w:tblPr>
        <w:tblLayout w:type="fixed"/>
        <w:tblInd w:w="59" w:type="dxa"/>
        <w:tblCellMar>
          <w:top w:w="0" w:type="dxa"/>
          <w:left w:w="0" w:type="dxa"/>
          <w:bottom w:w="0" w:type="dxa"/>
          <w:right w:w="0" w:type="dxa"/>
        </w:tblCellMar>
      </w:tblPr>
      <w:tr>
        <w:trPr>
          <w:trHeight w:val="209"/>
        </w:trPr>
        <w:tc>
          <w:tcPr>
            <w:tcW w:w="184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Year Ended December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Customer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760" w:type="dxa"/>
            <w:vAlign w:val="bottom"/>
            <w:tcBorders>
              <w:bottom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83"/>
              <w:spacing w:after="0" w:line="149" w:lineRule="exact"/>
              <w:rPr>
                <w:sz w:val="20"/>
                <w:szCs w:val="20"/>
                <w:color w:val="auto"/>
              </w:rPr>
            </w:pPr>
            <w:r>
              <w:rPr>
                <w:rFonts w:ascii="Arial" w:cs="Arial" w:eastAsia="Arial" w:hAnsi="Arial"/>
                <w:sz w:val="16"/>
                <w:szCs w:val="16"/>
                <w:b w:val="1"/>
                <w:bCs w:val="1"/>
                <w:color w:val="auto"/>
                <w:w w:val="84"/>
              </w:rPr>
              <w:t>Emission</w:t>
            </w:r>
          </w:p>
        </w:tc>
        <w:tc>
          <w:tcPr>
            <w:tcW w:w="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6"/>
                <w:szCs w:val="16"/>
                <w:b w:val="1"/>
                <w:bCs w:val="1"/>
                <w:color w:val="auto"/>
                <w:w w:val="90"/>
              </w:rPr>
              <w:t>and Supply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103"/>
              <w:spacing w:after="0" w:line="149" w:lineRule="exact"/>
              <w:rPr>
                <w:sz w:val="20"/>
                <w:szCs w:val="20"/>
                <w:color w:val="auto"/>
              </w:rPr>
            </w:pPr>
            <w:r>
              <w:rPr>
                <w:rFonts w:ascii="Arial" w:cs="Arial" w:eastAsia="Arial" w:hAnsi="Arial"/>
                <w:sz w:val="16"/>
                <w:szCs w:val="16"/>
                <w:b w:val="1"/>
                <w:bCs w:val="1"/>
                <w:color w:val="auto"/>
                <w:w w:val="90"/>
              </w:rPr>
              <w:t>Customer</w:t>
            </w:r>
          </w:p>
        </w:tc>
        <w:tc>
          <w:tcPr>
            <w:tcW w:w="60" w:type="dxa"/>
            <w:vAlign w:val="bottom"/>
          </w:tcPr>
          <w:p>
            <w:pPr>
              <w:spacing w:after="0"/>
              <w:rPr>
                <w:sz w:val="12"/>
                <w:szCs w:val="12"/>
                <w:color w:val="auto"/>
              </w:rPr>
            </w:pPr>
          </w:p>
        </w:tc>
        <w:tc>
          <w:tcPr>
            <w:tcW w:w="980" w:type="dxa"/>
            <w:vAlign w:val="bottom"/>
            <w:gridSpan w:val="2"/>
          </w:tcPr>
          <w:p>
            <w:pPr>
              <w:jc w:val="right"/>
              <w:ind w:right="21"/>
              <w:spacing w:after="0" w:line="149" w:lineRule="exact"/>
              <w:rPr>
                <w:sz w:val="20"/>
                <w:szCs w:val="20"/>
                <w:color w:val="auto"/>
              </w:rPr>
            </w:pPr>
            <w:r>
              <w:rPr>
                <w:rFonts w:ascii="Arial" w:cs="Arial" w:eastAsia="Arial" w:hAnsi="Arial"/>
                <w:sz w:val="16"/>
                <w:szCs w:val="16"/>
                <w:b w:val="1"/>
                <w:bCs w:val="1"/>
                <w:color w:val="auto"/>
              </w:rPr>
              <w:t>Marketing</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184"/>
              <w:spacing w:after="0" w:line="149" w:lineRule="exact"/>
              <w:rPr>
                <w:sz w:val="20"/>
                <w:szCs w:val="20"/>
                <w:color w:val="auto"/>
              </w:rPr>
            </w:pPr>
            <w:r>
              <w:rPr>
                <w:rFonts w:ascii="Arial" w:cs="Arial" w:eastAsia="Arial" w:hAnsi="Arial"/>
                <w:sz w:val="16"/>
                <w:szCs w:val="16"/>
                <w:b w:val="1"/>
                <w:bCs w:val="1"/>
                <w:color w:val="auto"/>
              </w:rPr>
              <w:t>Trade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20" w:type="dxa"/>
            <w:vAlign w:val="bottom"/>
            <w:tcBorders>
              <w:bottom w:val="single" w:sz="8" w:color="auto"/>
            </w:tcBorders>
          </w:tcPr>
          <w:p>
            <w:pPr>
              <w:spacing w:after="0" w:line="158" w:lineRule="exact"/>
              <w:rPr>
                <w:sz w:val="20"/>
                <w:szCs w:val="20"/>
                <w:color w:val="auto"/>
              </w:rPr>
            </w:pPr>
            <w:r>
              <w:rPr>
                <w:rFonts w:ascii="Arial" w:cs="Arial" w:eastAsia="Arial" w:hAnsi="Arial"/>
                <w:sz w:val="18"/>
                <w:szCs w:val="18"/>
                <w:b w:val="1"/>
                <w:bCs w:val="1"/>
                <w:color w:val="auto"/>
                <w:w w:val="85"/>
              </w:rPr>
              <w:t>31, 2024</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3"/>
              <w:spacing w:after="0" w:line="158" w:lineRule="exact"/>
              <w:rPr>
                <w:sz w:val="20"/>
                <w:szCs w:val="20"/>
                <w:color w:val="auto"/>
              </w:rPr>
            </w:pPr>
            <w:r>
              <w:rPr>
                <w:rFonts w:ascii="Arial" w:cs="Arial" w:eastAsia="Arial" w:hAnsi="Arial"/>
                <w:sz w:val="16"/>
                <w:szCs w:val="16"/>
                <w:b w:val="1"/>
                <w:bCs w:val="1"/>
                <w:color w:val="auto"/>
                <w:w w:val="95"/>
              </w:rPr>
              <w:t>Allowances</w:t>
            </w:r>
          </w:p>
        </w:tc>
        <w:tc>
          <w:tcPr>
            <w:tcW w:w="60" w:type="dxa"/>
            <w:vAlign w:val="bottom"/>
          </w:tcPr>
          <w:p>
            <w:pPr>
              <w:spacing w:after="0"/>
              <w:rPr>
                <w:sz w:val="13"/>
                <w:szCs w:val="13"/>
                <w:color w:val="auto"/>
              </w:rPr>
            </w:pPr>
          </w:p>
        </w:tc>
        <w:tc>
          <w:tcPr>
            <w:tcW w:w="94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88"/>
              </w:rPr>
              <w:t>Contracts</w:t>
            </w:r>
          </w:p>
        </w:tc>
        <w:tc>
          <w:tcPr>
            <w:tcW w:w="80" w:type="dxa"/>
            <w:vAlign w:val="bottom"/>
          </w:tcPr>
          <w:p>
            <w:pPr>
              <w:spacing w:after="0"/>
              <w:rPr>
                <w:sz w:val="13"/>
                <w:szCs w:val="13"/>
                <w:color w:val="auto"/>
              </w:rPr>
            </w:pPr>
          </w:p>
        </w:tc>
        <w:tc>
          <w:tcPr>
            <w:tcW w:w="106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w w:val="93"/>
              </w:rPr>
              <w:t>Relationships</w:t>
            </w:r>
          </w:p>
        </w:tc>
        <w:tc>
          <w:tcPr>
            <w:tcW w:w="60" w:type="dxa"/>
            <w:vAlign w:val="bottom"/>
          </w:tcPr>
          <w:p>
            <w:pPr>
              <w:spacing w:after="0"/>
              <w:rPr>
                <w:sz w:val="13"/>
                <w:szCs w:val="13"/>
                <w:color w:val="auto"/>
              </w:rPr>
            </w:pPr>
          </w:p>
        </w:tc>
        <w:tc>
          <w:tcPr>
            <w:tcW w:w="98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w w:val="91"/>
              </w:rPr>
              <w:t>Partnerships</w:t>
            </w:r>
          </w:p>
        </w:tc>
        <w:tc>
          <w:tcPr>
            <w:tcW w:w="80" w:type="dxa"/>
            <w:vAlign w:val="bottom"/>
          </w:tcPr>
          <w:p>
            <w:pPr>
              <w:spacing w:after="0"/>
              <w:rPr>
                <w:sz w:val="13"/>
                <w:szCs w:val="13"/>
                <w:color w:val="auto"/>
              </w:rPr>
            </w:pPr>
          </w:p>
        </w:tc>
        <w:tc>
          <w:tcPr>
            <w:tcW w:w="90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w w:val="91"/>
              </w:rPr>
              <w:t>Technology</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164"/>
              <w:spacing w:after="0" w:line="158" w:lineRule="exact"/>
              <w:rPr>
                <w:sz w:val="20"/>
                <w:szCs w:val="20"/>
                <w:color w:val="auto"/>
              </w:rPr>
            </w:pPr>
            <w:r>
              <w:rPr>
                <w:rFonts w:ascii="Arial" w:cs="Arial" w:eastAsia="Arial" w:hAnsi="Arial"/>
                <w:sz w:val="16"/>
                <w:szCs w:val="16"/>
                <w:b w:val="1"/>
                <w:bCs w:val="1"/>
                <w:color w:val="auto"/>
                <w:w w:val="95"/>
              </w:rPr>
              <w:t>Names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103"/>
              <w:spacing w:after="0" w:line="158" w:lineRule="exact"/>
              <w:rPr>
                <w:sz w:val="20"/>
                <w:szCs w:val="20"/>
                <w:color w:val="auto"/>
              </w:rPr>
            </w:pPr>
            <w:r>
              <w:rPr>
                <w:rFonts w:ascii="Arial" w:cs="Arial" w:eastAsia="Arial" w:hAnsi="Arial"/>
                <w:sz w:val="14"/>
                <w:szCs w:val="14"/>
                <w:b w:val="1"/>
                <w:bCs w:val="1"/>
                <w:color w:val="auto"/>
                <w:w w:val="99"/>
              </w:rPr>
              <w:t>Other</w:t>
            </w:r>
            <w:r>
              <w:rPr>
                <w:rFonts w:ascii="Arial" w:cs="Arial" w:eastAsia="Arial" w:hAnsi="Arial"/>
                <w:sz w:val="18"/>
                <w:szCs w:val="18"/>
                <w:b w:val="1"/>
                <w:bCs w:val="1"/>
                <w:color w:val="auto"/>
                <w:w w:val="99"/>
                <w:vertAlign w:val="superscript"/>
              </w:rPr>
              <w:t>(a)</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243"/>
              <w:spacing w:after="0" w:line="158"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
        </w:trPr>
        <w:tc>
          <w:tcPr>
            <w:tcW w:w="1840" w:type="dxa"/>
            <w:vAlign w:val="bottom"/>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1840" w:type="dxa"/>
            <w:vAlign w:val="bottom"/>
            <w:gridSpan w:val="3"/>
          </w:tcPr>
          <w:p>
            <w:pPr>
              <w:spacing w:after="0"/>
              <w:rPr>
                <w:sz w:val="20"/>
                <w:szCs w:val="20"/>
                <w:color w:val="auto"/>
              </w:rPr>
            </w:pPr>
            <w:r>
              <w:rPr>
                <w:rFonts w:ascii="Arial" w:cs="Arial" w:eastAsia="Arial" w:hAnsi="Arial"/>
                <w:sz w:val="20"/>
                <w:szCs w:val="20"/>
                <w:color w:val="auto"/>
                <w:w w:val="91"/>
              </w:rPr>
              <w:t xml:space="preserve">January 1, 2024 </w:t>
            </w:r>
            <w:r>
              <w:rPr>
                <w:rFonts w:ascii="Arial" w:cs="Arial" w:eastAsia="Arial" w:hAnsi="Arial"/>
                <w:sz w:val="20"/>
                <w:szCs w:val="20"/>
                <w:color w:val="B4B4B4"/>
                <w:w w:val="91"/>
              </w:rPr>
              <w:t>.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628</w:t>
            </w:r>
          </w:p>
        </w:tc>
        <w:tc>
          <w:tcPr>
            <w:tcW w:w="38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609</w:t>
            </w:r>
          </w:p>
        </w:tc>
        <w:tc>
          <w:tcPr>
            <w:tcW w:w="240" w:type="dxa"/>
            <w:vAlign w:val="bottom"/>
            <w:gridSpan w:val="2"/>
          </w:tcPr>
          <w:p>
            <w:pPr>
              <w:ind w:left="120"/>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3,464</w:t>
            </w:r>
          </w:p>
        </w:tc>
        <w:tc>
          <w:tcPr>
            <w:tcW w:w="4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295</w:t>
            </w:r>
          </w:p>
        </w:tc>
        <w:tc>
          <w:tcPr>
            <w:tcW w:w="38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860</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4"/>
              <w:spacing w:after="0"/>
              <w:rPr>
                <w:sz w:val="20"/>
                <w:szCs w:val="20"/>
                <w:color w:val="auto"/>
              </w:rPr>
            </w:pPr>
            <w:r>
              <w:rPr>
                <w:rFonts w:ascii="Arial" w:cs="Arial" w:eastAsia="Arial" w:hAnsi="Arial"/>
                <w:sz w:val="20"/>
                <w:szCs w:val="20"/>
                <w:color w:val="auto"/>
              </w:rPr>
              <w:t>841</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3"/>
              <w:spacing w:after="0"/>
              <w:rPr>
                <w:sz w:val="20"/>
                <w:szCs w:val="20"/>
                <w:color w:val="auto"/>
              </w:rPr>
            </w:pPr>
            <w:r>
              <w:rPr>
                <w:rFonts w:ascii="Arial" w:cs="Arial" w:eastAsia="Arial" w:hAnsi="Arial"/>
                <w:sz w:val="20"/>
                <w:szCs w:val="20"/>
                <w:color w:val="auto"/>
              </w:rPr>
              <w:t>224</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6,921</w:t>
            </w:r>
          </w:p>
        </w:tc>
        <w:tc>
          <w:tcPr>
            <w:tcW w:w="0" w:type="dxa"/>
            <w:vAlign w:val="bottom"/>
          </w:tcPr>
          <w:p>
            <w:pPr>
              <w:spacing w:after="0"/>
              <w:rPr>
                <w:sz w:val="1"/>
                <w:szCs w:val="1"/>
                <w:color w:val="auto"/>
              </w:rPr>
            </w:pPr>
          </w:p>
        </w:tc>
      </w:tr>
      <w:tr>
        <w:trPr>
          <w:trHeight w:val="297"/>
        </w:trPr>
        <w:tc>
          <w:tcPr>
            <w:tcW w:w="1840" w:type="dxa"/>
            <w:vAlign w:val="bottom"/>
            <w:gridSpan w:val="3"/>
          </w:tcPr>
          <w:p>
            <w:pPr>
              <w:spacing w:after="0"/>
              <w:rPr>
                <w:sz w:val="20"/>
                <w:szCs w:val="20"/>
                <w:color w:val="auto"/>
              </w:rPr>
            </w:pPr>
            <w:r>
              <w:rPr>
                <w:rFonts w:ascii="Arial" w:cs="Arial" w:eastAsia="Arial" w:hAnsi="Arial"/>
                <w:sz w:val="20"/>
                <w:szCs w:val="20"/>
                <w:color w:val="auto"/>
                <w:w w:val="88"/>
              </w:rPr>
              <w:t xml:space="preserve">Purchases </w:t>
            </w:r>
            <w:r>
              <w:rPr>
                <w:rFonts w:ascii="Arial" w:cs="Arial" w:eastAsia="Arial" w:hAnsi="Arial"/>
                <w:sz w:val="20"/>
                <w:szCs w:val="20"/>
                <w:color w:val="B4B4B4"/>
                <w:w w:val="88"/>
              </w:rPr>
              <w:t>. . . . . . . . . .</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4"/>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Arial" w:cs="Arial" w:eastAsia="Arial" w:hAnsi="Arial"/>
                <w:sz w:val="20"/>
                <w:szCs w:val="20"/>
                <w:color w:val="auto"/>
              </w:rPr>
              <w:t>497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519</w:t>
            </w:r>
          </w:p>
        </w:tc>
        <w:tc>
          <w:tcPr>
            <w:tcW w:w="0" w:type="dxa"/>
            <w:vAlign w:val="bottom"/>
          </w:tcPr>
          <w:p>
            <w:pPr>
              <w:spacing w:after="0"/>
              <w:rPr>
                <w:sz w:val="1"/>
                <w:szCs w:val="1"/>
                <w:color w:val="auto"/>
              </w:rPr>
            </w:pPr>
          </w:p>
        </w:tc>
      </w:tr>
      <w:tr>
        <w:trPr>
          <w:trHeight w:val="232"/>
        </w:trPr>
        <w:tc>
          <w:tcPr>
            <w:tcW w:w="1840" w:type="dxa"/>
            <w:vAlign w:val="bottom"/>
            <w:gridSpan w:val="3"/>
          </w:tcPr>
          <w:p>
            <w:pPr>
              <w:spacing w:after="0"/>
              <w:rPr>
                <w:sz w:val="20"/>
                <w:szCs w:val="20"/>
                <w:color w:val="auto"/>
              </w:rPr>
            </w:pPr>
            <w:r>
              <w:rPr>
                <w:rFonts w:ascii="Arial" w:cs="Arial" w:eastAsia="Arial" w:hAnsi="Arial"/>
                <w:sz w:val="20"/>
                <w:szCs w:val="20"/>
                <w:color w:val="auto"/>
              </w:rPr>
              <w:t>Acquisition of</w:t>
            </w:r>
          </w:p>
        </w:tc>
        <w:tc>
          <w:tcPr>
            <w:tcW w:w="1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35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92"/>
        </w:trPr>
        <w:tc>
          <w:tcPr>
            <w:tcW w:w="1840" w:type="dxa"/>
            <w:vAlign w:val="bottom"/>
            <w:gridSpan w:val="3"/>
          </w:tcPr>
          <w:p>
            <w:pPr>
              <w:spacing w:after="0"/>
              <w:rPr>
                <w:sz w:val="20"/>
                <w:szCs w:val="20"/>
                <w:color w:val="auto"/>
              </w:rPr>
            </w:pPr>
            <w:r>
              <w:rPr>
                <w:rFonts w:ascii="Arial" w:cs="Arial" w:eastAsia="Arial" w:hAnsi="Arial"/>
                <w:sz w:val="20"/>
                <w:szCs w:val="20"/>
                <w:color w:val="auto"/>
                <w:w w:val="86"/>
              </w:rPr>
              <w:t>businesses</w:t>
            </w:r>
            <w:r>
              <w:rPr>
                <w:rFonts w:ascii="Arial" w:cs="Arial" w:eastAsia="Arial" w:hAnsi="Arial"/>
                <w:sz w:val="25"/>
                <w:szCs w:val="25"/>
                <w:color w:val="auto"/>
                <w:w w:val="86"/>
                <w:vertAlign w:val="superscript"/>
              </w:rPr>
              <w:t>(b)</w:t>
            </w:r>
            <w:r>
              <w:rPr>
                <w:rFonts w:ascii="Arial" w:cs="Arial" w:eastAsia="Arial" w:hAnsi="Arial"/>
                <w:sz w:val="20"/>
                <w:szCs w:val="20"/>
                <w:color w:val="auto"/>
                <w:w w:val="86"/>
              </w:rPr>
              <w:t xml:space="preserve"> </w:t>
            </w:r>
            <w:r>
              <w:rPr>
                <w:rFonts w:ascii="Arial" w:cs="Arial" w:eastAsia="Arial" w:hAnsi="Arial"/>
                <w:sz w:val="20"/>
                <w:szCs w:val="20"/>
                <w:color w:val="B4B4B4"/>
                <w:w w:val="86"/>
              </w:rPr>
              <w:t>. . . . . . . .</w:t>
            </w:r>
          </w:p>
        </w:tc>
        <w:tc>
          <w:tcPr>
            <w:tcW w:w="1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40" w:type="dxa"/>
            <w:vAlign w:val="bottom"/>
            <w:gridSpan w:val="3"/>
          </w:tcPr>
          <w:p>
            <w:pPr>
              <w:spacing w:after="0" w:line="199" w:lineRule="exact"/>
              <w:rPr>
                <w:sz w:val="20"/>
                <w:szCs w:val="20"/>
                <w:color w:val="auto"/>
              </w:rPr>
            </w:pPr>
            <w:r>
              <w:rPr>
                <w:rFonts w:ascii="Arial" w:cs="Arial" w:eastAsia="Arial" w:hAnsi="Arial"/>
                <w:sz w:val="20"/>
                <w:szCs w:val="20"/>
                <w:color w:val="auto"/>
              </w:rPr>
              <w:t>Usage/Sales/</w:t>
            </w: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(19)</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(461)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(480)</w:t>
            </w:r>
          </w:p>
        </w:tc>
        <w:tc>
          <w:tcPr>
            <w:tcW w:w="0" w:type="dxa"/>
            <w:vAlign w:val="bottom"/>
          </w:tcPr>
          <w:p>
            <w:pPr>
              <w:spacing w:after="0"/>
              <w:rPr>
                <w:sz w:val="1"/>
                <w:szCs w:val="1"/>
                <w:color w:val="auto"/>
              </w:rPr>
            </w:pPr>
          </w:p>
        </w:tc>
      </w:tr>
      <w:tr>
        <w:trPr>
          <w:trHeight w:val="258"/>
        </w:trPr>
        <w:tc>
          <w:tcPr>
            <w:tcW w:w="1840" w:type="dxa"/>
            <w:vAlign w:val="bottom"/>
            <w:gridSpan w:val="3"/>
          </w:tcPr>
          <w:p>
            <w:pPr>
              <w:spacing w:after="0"/>
              <w:rPr>
                <w:sz w:val="20"/>
                <w:szCs w:val="20"/>
                <w:color w:val="auto"/>
              </w:rPr>
            </w:pPr>
            <w:r>
              <w:rPr>
                <w:rFonts w:ascii="Arial" w:cs="Arial" w:eastAsia="Arial" w:hAnsi="Arial"/>
                <w:sz w:val="20"/>
                <w:szCs w:val="20"/>
                <w:color w:val="auto"/>
                <w:w w:val="91"/>
              </w:rPr>
              <w:t>Retirements/Transfers</w:t>
            </w:r>
          </w:p>
        </w:tc>
        <w:tc>
          <w:tcPr>
            <w:tcW w:w="16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840" w:type="dxa"/>
            <w:vAlign w:val="bottom"/>
            <w:gridSpan w:val="3"/>
          </w:tcPr>
          <w:p>
            <w:pPr>
              <w:spacing w:after="0"/>
              <w:rPr>
                <w:sz w:val="20"/>
                <w:szCs w:val="20"/>
                <w:color w:val="auto"/>
              </w:rPr>
            </w:pPr>
            <w:r>
              <w:rPr>
                <w:rFonts w:ascii="Arial" w:cs="Arial" w:eastAsia="Arial" w:hAnsi="Arial"/>
                <w:sz w:val="20"/>
                <w:szCs w:val="20"/>
                <w:color w:val="auto"/>
              </w:rPr>
              <w:t>Write-off of fully</w:t>
            </w:r>
          </w:p>
        </w:tc>
        <w:tc>
          <w:tcPr>
            <w:tcW w:w="1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(146)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(11)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(157)</w:t>
            </w:r>
          </w:p>
        </w:tc>
        <w:tc>
          <w:tcPr>
            <w:tcW w:w="0" w:type="dxa"/>
            <w:vAlign w:val="bottom"/>
          </w:tcPr>
          <w:p>
            <w:pPr>
              <w:spacing w:after="0"/>
              <w:rPr>
                <w:sz w:val="1"/>
                <w:szCs w:val="1"/>
                <w:color w:val="auto"/>
              </w:rPr>
            </w:pPr>
          </w:p>
        </w:tc>
      </w:tr>
      <w:tr>
        <w:trPr>
          <w:trHeight w:val="258"/>
        </w:trPr>
        <w:tc>
          <w:tcPr>
            <w:tcW w:w="1840" w:type="dxa"/>
            <w:vAlign w:val="bottom"/>
            <w:gridSpan w:val="3"/>
          </w:tcPr>
          <w:p>
            <w:pPr>
              <w:spacing w:after="0"/>
              <w:rPr>
                <w:sz w:val="20"/>
                <w:szCs w:val="20"/>
                <w:color w:val="auto"/>
              </w:rPr>
            </w:pPr>
            <w:r>
              <w:rPr>
                <w:rFonts w:ascii="Arial" w:cs="Arial" w:eastAsia="Arial" w:hAnsi="Arial"/>
                <w:sz w:val="20"/>
                <w:szCs w:val="20"/>
                <w:color w:val="auto"/>
                <w:w w:val="93"/>
              </w:rPr>
              <w:t xml:space="preserve">amortized balances </w:t>
            </w:r>
            <w:r>
              <w:rPr>
                <w:rFonts w:ascii="Arial" w:cs="Arial" w:eastAsia="Arial" w:hAnsi="Arial"/>
                <w:sz w:val="20"/>
                <w:szCs w:val="20"/>
                <w:color w:val="B4B4B4"/>
                <w:w w:val="93"/>
              </w:rPr>
              <w:t>. .</w:t>
            </w:r>
          </w:p>
        </w:tc>
        <w:tc>
          <w:tcPr>
            <w:tcW w:w="16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5"/>
        </w:trPr>
        <w:tc>
          <w:tcPr>
            <w:tcW w:w="1840" w:type="dxa"/>
            <w:vAlign w:val="bottom"/>
            <w:gridSpan w:val="3"/>
          </w:tcPr>
          <w:p>
            <w:pPr>
              <w:spacing w:after="0"/>
              <w:rPr>
                <w:sz w:val="20"/>
                <w:szCs w:val="20"/>
                <w:color w:val="auto"/>
              </w:rPr>
            </w:pPr>
            <w:r>
              <w:rPr>
                <w:rFonts w:ascii="Arial" w:cs="Arial" w:eastAsia="Arial" w:hAnsi="Arial"/>
                <w:sz w:val="20"/>
                <w:szCs w:val="20"/>
                <w:color w:val="auto"/>
                <w:w w:val="92"/>
              </w:rPr>
              <w:t>Sale of Airtron</w:t>
            </w:r>
            <w:r>
              <w:rPr>
                <w:rFonts w:ascii="Arial" w:cs="Arial" w:eastAsia="Arial" w:hAnsi="Arial"/>
                <w:sz w:val="25"/>
                <w:szCs w:val="25"/>
                <w:color w:val="auto"/>
                <w:w w:val="92"/>
                <w:vertAlign w:val="superscript"/>
              </w:rPr>
              <w:t>(c)</w:t>
            </w:r>
            <w:r>
              <w:rPr>
                <w:rFonts w:ascii="Arial" w:cs="Arial" w:eastAsia="Arial" w:hAnsi="Arial"/>
                <w:sz w:val="20"/>
                <w:szCs w:val="20"/>
                <w:color w:val="auto"/>
                <w:w w:val="92"/>
              </w:rPr>
              <w:t xml:space="preserve">  </w:t>
            </w:r>
            <w:r>
              <w:rPr>
                <w:rFonts w:ascii="Arial" w:cs="Arial" w:eastAsia="Arial" w:hAnsi="Arial"/>
                <w:sz w:val="20"/>
                <w:szCs w:val="20"/>
                <w:color w:val="B4B4B4"/>
                <w:w w:val="92"/>
              </w:rPr>
              <w:t>. . . .</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(255)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(279)</w:t>
            </w:r>
          </w:p>
        </w:tc>
        <w:tc>
          <w:tcPr>
            <w:tcW w:w="0" w:type="dxa"/>
            <w:vAlign w:val="bottom"/>
          </w:tcPr>
          <w:p>
            <w:pPr>
              <w:spacing w:after="0"/>
              <w:rPr>
                <w:sz w:val="1"/>
                <w:szCs w:val="1"/>
                <w:color w:val="auto"/>
              </w:rPr>
            </w:pPr>
          </w:p>
        </w:tc>
      </w:tr>
      <w:tr>
        <w:trPr>
          <w:trHeight w:val="261"/>
        </w:trPr>
        <w:tc>
          <w:tcPr>
            <w:tcW w:w="1840" w:type="dxa"/>
            <w:vAlign w:val="bottom"/>
            <w:gridSpan w:val="3"/>
          </w:tcPr>
          <w:p>
            <w:pPr>
              <w:spacing w:after="0"/>
              <w:rPr>
                <w:sz w:val="20"/>
                <w:szCs w:val="20"/>
                <w:color w:val="auto"/>
              </w:rPr>
            </w:pPr>
            <w:r>
              <w:rPr>
                <w:rFonts w:ascii="Arial" w:cs="Arial" w:eastAsia="Arial" w:hAnsi="Arial"/>
                <w:sz w:val="20"/>
                <w:szCs w:val="20"/>
                <w:color w:val="auto"/>
                <w:w w:val="93"/>
              </w:rPr>
              <w:t xml:space="preserve">Other </w:t>
            </w:r>
            <w:r>
              <w:rPr>
                <w:rFonts w:ascii="Arial" w:cs="Arial" w:eastAsia="Arial" w:hAnsi="Arial"/>
                <w:sz w:val="20"/>
                <w:szCs w:val="20"/>
                <w:color w:val="B4B4B4"/>
                <w:w w:val="93"/>
              </w:rPr>
              <w:t>. . . . . . . . . . . . .</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75"/>
        </w:trPr>
        <w:tc>
          <w:tcPr>
            <w:tcW w:w="1840" w:type="dxa"/>
            <w:vAlign w:val="bottom"/>
            <w:gridSpan w:val="3"/>
          </w:tcPr>
          <w:p>
            <w:pPr>
              <w:spacing w:after="0"/>
              <w:rPr>
                <w:sz w:val="20"/>
                <w:szCs w:val="20"/>
                <w:color w:val="auto"/>
              </w:rPr>
            </w:pPr>
            <w:r>
              <w:rPr>
                <w:rFonts w:ascii="Arial" w:cs="Arial" w:eastAsia="Arial" w:hAnsi="Arial"/>
                <w:sz w:val="20"/>
                <w:szCs w:val="20"/>
                <w:color w:val="auto"/>
                <w:w w:val="91"/>
              </w:rPr>
              <w:t xml:space="preserve">December 31, 2024 </w:t>
            </w:r>
            <w:r>
              <w:rPr>
                <w:rFonts w:ascii="Arial" w:cs="Arial" w:eastAsia="Arial" w:hAnsi="Arial"/>
                <w:sz w:val="20"/>
                <w:szCs w:val="20"/>
                <w:color w:val="B4B4B4"/>
                <w:w w:val="91"/>
              </w:rPr>
              <w:t>. .</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625</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606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3,093</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294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861</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
              <w:spacing w:after="0"/>
              <w:rPr>
                <w:sz w:val="20"/>
                <w:szCs w:val="20"/>
                <w:color w:val="auto"/>
              </w:rPr>
            </w:pPr>
            <w:r>
              <w:rPr>
                <w:rFonts w:ascii="Arial" w:cs="Arial" w:eastAsia="Arial" w:hAnsi="Arial"/>
                <w:sz w:val="20"/>
                <w:szCs w:val="20"/>
                <w:color w:val="auto"/>
              </w:rPr>
              <w:t>801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3"/>
              <w:spacing w:after="0"/>
              <w:rPr>
                <w:sz w:val="20"/>
                <w:szCs w:val="20"/>
                <w:color w:val="auto"/>
              </w:rPr>
            </w:pPr>
            <w:r>
              <w:rPr>
                <w:rFonts w:ascii="Arial" w:cs="Arial" w:eastAsia="Arial" w:hAnsi="Arial"/>
                <w:sz w:val="20"/>
                <w:szCs w:val="20"/>
                <w:color w:val="auto"/>
              </w:rPr>
              <w:t>260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6,540</w:t>
            </w:r>
          </w:p>
        </w:tc>
        <w:tc>
          <w:tcPr>
            <w:tcW w:w="0" w:type="dxa"/>
            <w:vAlign w:val="bottom"/>
          </w:tcPr>
          <w:p>
            <w:pPr>
              <w:spacing w:after="0"/>
              <w:rPr>
                <w:sz w:val="1"/>
                <w:szCs w:val="1"/>
                <w:color w:val="auto"/>
              </w:rPr>
            </w:pPr>
          </w:p>
        </w:tc>
      </w:tr>
      <w:tr>
        <w:trPr>
          <w:trHeight w:val="232"/>
        </w:trPr>
        <w:tc>
          <w:tcPr>
            <w:tcW w:w="1840" w:type="dxa"/>
            <w:vAlign w:val="bottom"/>
            <w:gridSpan w:val="3"/>
          </w:tcPr>
          <w:p>
            <w:pPr>
              <w:spacing w:after="0"/>
              <w:rPr>
                <w:sz w:val="20"/>
                <w:szCs w:val="20"/>
                <w:color w:val="auto"/>
              </w:rPr>
            </w:pPr>
            <w:r>
              <w:rPr>
                <w:rFonts w:ascii="Arial" w:cs="Arial" w:eastAsia="Arial" w:hAnsi="Arial"/>
                <w:sz w:val="20"/>
                <w:szCs w:val="20"/>
                <w:color w:val="auto"/>
              </w:rPr>
              <w:t>Less accumulated</w:t>
            </w:r>
          </w:p>
        </w:tc>
        <w:tc>
          <w:tcPr>
            <w:tcW w:w="1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(538)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(399)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(1,555)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(193)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(457)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(443)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(47)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(3,632)</w:t>
            </w:r>
          </w:p>
        </w:tc>
        <w:tc>
          <w:tcPr>
            <w:tcW w:w="0" w:type="dxa"/>
            <w:vAlign w:val="bottom"/>
          </w:tcPr>
          <w:p>
            <w:pPr>
              <w:spacing w:after="0"/>
              <w:rPr>
                <w:sz w:val="1"/>
                <w:szCs w:val="1"/>
                <w:color w:val="auto"/>
              </w:rPr>
            </w:pPr>
          </w:p>
        </w:tc>
      </w:tr>
      <w:tr>
        <w:trPr>
          <w:trHeight w:val="260"/>
        </w:trPr>
        <w:tc>
          <w:tcPr>
            <w:tcW w:w="1840" w:type="dxa"/>
            <w:vAlign w:val="bottom"/>
            <w:gridSpan w:val="3"/>
          </w:tcPr>
          <w:p>
            <w:pPr>
              <w:ind w:left="180"/>
              <w:spacing w:after="0"/>
              <w:rPr>
                <w:sz w:val="20"/>
                <w:szCs w:val="20"/>
                <w:color w:val="auto"/>
              </w:rPr>
            </w:pPr>
            <w:r>
              <w:rPr>
                <w:rFonts w:ascii="Arial" w:cs="Arial" w:eastAsia="Arial" w:hAnsi="Arial"/>
                <w:sz w:val="20"/>
                <w:szCs w:val="20"/>
                <w:color w:val="auto"/>
                <w:w w:val="93"/>
              </w:rPr>
              <w:t xml:space="preserve">amortization </w:t>
            </w:r>
            <w:r>
              <w:rPr>
                <w:rFonts w:ascii="Arial" w:cs="Arial" w:eastAsia="Arial" w:hAnsi="Arial"/>
                <w:sz w:val="20"/>
                <w:szCs w:val="20"/>
                <w:color w:val="B4B4B4"/>
                <w:w w:val="93"/>
              </w:rPr>
              <w:t>. . . . . .</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40" w:type="dxa"/>
            <w:vAlign w:val="bottom"/>
            <w:gridSpan w:val="3"/>
          </w:tcPr>
          <w:p>
            <w:pPr>
              <w:spacing w:after="0"/>
              <w:rPr>
                <w:sz w:val="20"/>
                <w:szCs w:val="20"/>
                <w:color w:val="auto"/>
              </w:rPr>
            </w:pPr>
            <w:r>
              <w:rPr>
                <w:rFonts w:ascii="Arial" w:cs="Arial" w:eastAsia="Arial" w:hAnsi="Arial"/>
                <w:sz w:val="20"/>
                <w:szCs w:val="20"/>
                <w:color w:val="auto"/>
                <w:w w:val="95"/>
              </w:rPr>
              <w:t xml:space="preserve">Net carrying amount </w:t>
            </w:r>
            <w:r>
              <w:rPr>
                <w:rFonts w:ascii="Arial" w:cs="Arial" w:eastAsia="Arial" w:hAnsi="Arial"/>
                <w:sz w:val="20"/>
                <w:szCs w:val="20"/>
                <w:color w:val="B4B4B4"/>
                <w:w w:val="95"/>
              </w:rPr>
              <w:t>.</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87</w:t>
            </w:r>
          </w:p>
        </w:tc>
        <w:tc>
          <w:tcPr>
            <w:tcW w:w="38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207</w:t>
            </w:r>
          </w:p>
        </w:tc>
        <w:tc>
          <w:tcPr>
            <w:tcW w:w="240" w:type="dxa"/>
            <w:vAlign w:val="bottom"/>
            <w:gridSpan w:val="2"/>
          </w:tcPr>
          <w:p>
            <w:pPr>
              <w:ind w:left="120"/>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1,538</w:t>
            </w:r>
          </w:p>
        </w:tc>
        <w:tc>
          <w:tcPr>
            <w:tcW w:w="4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101</w:t>
            </w:r>
          </w:p>
        </w:tc>
        <w:tc>
          <w:tcPr>
            <w:tcW w:w="38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404</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4"/>
              <w:spacing w:after="0"/>
              <w:rPr>
                <w:sz w:val="20"/>
                <w:szCs w:val="20"/>
                <w:color w:val="auto"/>
              </w:rPr>
            </w:pPr>
            <w:r>
              <w:rPr>
                <w:rFonts w:ascii="Arial" w:cs="Arial" w:eastAsia="Arial" w:hAnsi="Arial"/>
                <w:sz w:val="20"/>
                <w:szCs w:val="20"/>
                <w:color w:val="auto"/>
              </w:rPr>
              <w:t>358</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3"/>
              <w:spacing w:after="0"/>
              <w:rPr>
                <w:sz w:val="20"/>
                <w:szCs w:val="20"/>
                <w:color w:val="auto"/>
              </w:rPr>
            </w:pPr>
            <w:r>
              <w:rPr>
                <w:rFonts w:ascii="Arial" w:cs="Arial" w:eastAsia="Arial" w:hAnsi="Arial"/>
                <w:sz w:val="20"/>
                <w:szCs w:val="20"/>
                <w:color w:val="auto"/>
              </w:rPr>
              <w:t>213</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2,908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-2407285</wp:posOffset>
            </wp:positionV>
            <wp:extent cx="6475095" cy="24142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6">
                      <a:extLst>
                        <a:ext uri="{28A0092B-C50C-407E-A947-70E740481C1C}"/>
                      </a:extLst>
                    </a:blip>
                    <a:srcRect/>
                    <a:stretch>
                      <a:fillRect/>
                    </a:stretch>
                  </pic:blipFill>
                  <pic:spPr bwMode="auto">
                    <a:xfrm>
                      <a:off x="0" y="0"/>
                      <a:ext cx="6475095" cy="2414270"/>
                    </a:xfrm>
                    <a:prstGeom prst="rect">
                      <a:avLst/>
                    </a:prstGeom>
                    <a:noFill/>
                  </pic:spPr>
                </pic:pic>
              </a:graphicData>
            </a:graphic>
          </wp:anchor>
        </w:drawing>
      </w:r>
    </w:p>
    <w:p>
      <w:pPr>
        <w:ind w:left="439" w:hanging="439"/>
        <w:spacing w:after="0"/>
        <w:tabs>
          <w:tab w:leader="none" w:pos="439"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RECs are not subject to amortization and had a carrying value of $213 million</w:t>
      </w:r>
    </w:p>
    <w:p>
      <w:pPr>
        <w:spacing w:after="0" w:line="23" w:lineRule="exact"/>
        <w:rPr>
          <w:rFonts w:ascii="Arial" w:cs="Arial" w:eastAsia="Arial" w:hAnsi="Arial"/>
          <w:sz w:val="16"/>
          <w:szCs w:val="16"/>
          <w:color w:val="auto"/>
        </w:rPr>
      </w:pPr>
    </w:p>
    <w:p>
      <w:pPr>
        <w:ind w:left="439" w:hanging="439"/>
        <w:spacing w:after="0"/>
        <w:tabs>
          <w:tab w:leader="none" w:pos="439"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weighted average amortization period for total amortizable intangible assets is approximately 5 years</w:t>
      </w:r>
    </w:p>
    <w:p>
      <w:pPr>
        <w:spacing w:after="0" w:line="6" w:lineRule="exact"/>
        <w:rPr>
          <w:rFonts w:ascii="Arial" w:cs="Arial" w:eastAsia="Arial" w:hAnsi="Arial"/>
          <w:sz w:val="16"/>
          <w:szCs w:val="16"/>
          <w:color w:val="auto"/>
        </w:rPr>
      </w:pPr>
    </w:p>
    <w:p>
      <w:pPr>
        <w:ind w:left="439" w:hanging="439"/>
        <w:spacing w:after="0"/>
        <w:tabs>
          <w:tab w:leader="none" w:pos="439"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Includes $81 million of intangibles that were amortized</w:t>
      </w:r>
    </w:p>
    <w:p>
      <w:pPr>
        <w:spacing w:after="0" w:line="200" w:lineRule="exact"/>
        <w:rPr>
          <w:sz w:val="20"/>
          <w:szCs w:val="20"/>
          <w:color w:val="auto"/>
        </w:rPr>
      </w:pPr>
    </w:p>
    <w:p>
      <w:pPr>
        <w:spacing w:after="0" w:line="264" w:lineRule="exact"/>
        <w:rPr>
          <w:sz w:val="20"/>
          <w:szCs w:val="20"/>
          <w:color w:val="auto"/>
        </w:rPr>
      </w:pPr>
    </w:p>
    <w:tbl>
      <w:tblPr>
        <w:tblLayout w:type="fixed"/>
        <w:tblInd w:w="59" w:type="dxa"/>
        <w:tblCellMar>
          <w:top w:w="0" w:type="dxa"/>
          <w:left w:w="0" w:type="dxa"/>
          <w:bottom w:w="0" w:type="dxa"/>
          <w:right w:w="0" w:type="dxa"/>
        </w:tblCellMar>
      </w:tblPr>
      <w:tr>
        <w:trPr>
          <w:trHeight w:val="209"/>
        </w:trPr>
        <w:tc>
          <w:tcPr>
            <w:tcW w:w="184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Year Ended December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Customer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760" w:type="dxa"/>
            <w:vAlign w:val="bottom"/>
            <w:tcBorders>
              <w:bottom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83"/>
              <w:spacing w:after="0" w:line="149" w:lineRule="exact"/>
              <w:rPr>
                <w:sz w:val="20"/>
                <w:szCs w:val="20"/>
                <w:color w:val="auto"/>
              </w:rPr>
            </w:pPr>
            <w:r>
              <w:rPr>
                <w:rFonts w:ascii="Arial" w:cs="Arial" w:eastAsia="Arial" w:hAnsi="Arial"/>
                <w:sz w:val="16"/>
                <w:szCs w:val="16"/>
                <w:b w:val="1"/>
                <w:bCs w:val="1"/>
                <w:color w:val="auto"/>
                <w:w w:val="84"/>
              </w:rPr>
              <w:t>Emission</w:t>
            </w:r>
          </w:p>
        </w:tc>
        <w:tc>
          <w:tcPr>
            <w:tcW w:w="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6"/>
                <w:szCs w:val="16"/>
                <w:b w:val="1"/>
                <w:bCs w:val="1"/>
                <w:color w:val="auto"/>
                <w:w w:val="90"/>
              </w:rPr>
              <w:t>and Supply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103"/>
              <w:spacing w:after="0" w:line="149" w:lineRule="exact"/>
              <w:rPr>
                <w:sz w:val="20"/>
                <w:szCs w:val="20"/>
                <w:color w:val="auto"/>
              </w:rPr>
            </w:pPr>
            <w:r>
              <w:rPr>
                <w:rFonts w:ascii="Arial" w:cs="Arial" w:eastAsia="Arial" w:hAnsi="Arial"/>
                <w:sz w:val="16"/>
                <w:szCs w:val="16"/>
                <w:b w:val="1"/>
                <w:bCs w:val="1"/>
                <w:color w:val="auto"/>
                <w:w w:val="90"/>
              </w:rPr>
              <w:t>Customer</w:t>
            </w:r>
          </w:p>
        </w:tc>
        <w:tc>
          <w:tcPr>
            <w:tcW w:w="60" w:type="dxa"/>
            <w:vAlign w:val="bottom"/>
          </w:tcPr>
          <w:p>
            <w:pPr>
              <w:spacing w:after="0"/>
              <w:rPr>
                <w:sz w:val="12"/>
                <w:szCs w:val="12"/>
                <w:color w:val="auto"/>
              </w:rPr>
            </w:pPr>
          </w:p>
        </w:tc>
        <w:tc>
          <w:tcPr>
            <w:tcW w:w="1000" w:type="dxa"/>
            <w:vAlign w:val="bottom"/>
            <w:gridSpan w:val="2"/>
          </w:tcPr>
          <w:p>
            <w:pPr>
              <w:jc w:val="right"/>
              <w:ind w:right="41"/>
              <w:spacing w:after="0" w:line="149" w:lineRule="exact"/>
              <w:rPr>
                <w:sz w:val="20"/>
                <w:szCs w:val="20"/>
                <w:color w:val="auto"/>
              </w:rPr>
            </w:pPr>
            <w:r>
              <w:rPr>
                <w:rFonts w:ascii="Arial" w:cs="Arial" w:eastAsia="Arial" w:hAnsi="Arial"/>
                <w:sz w:val="16"/>
                <w:szCs w:val="16"/>
                <w:b w:val="1"/>
                <w:bCs w:val="1"/>
                <w:color w:val="auto"/>
              </w:rPr>
              <w:t>Marketing</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184"/>
              <w:spacing w:after="0" w:line="149" w:lineRule="exact"/>
              <w:rPr>
                <w:sz w:val="20"/>
                <w:szCs w:val="20"/>
                <w:color w:val="auto"/>
              </w:rPr>
            </w:pPr>
            <w:r>
              <w:rPr>
                <w:rFonts w:ascii="Arial" w:cs="Arial" w:eastAsia="Arial" w:hAnsi="Arial"/>
                <w:sz w:val="16"/>
                <w:szCs w:val="16"/>
                <w:b w:val="1"/>
                <w:bCs w:val="1"/>
                <w:color w:val="auto"/>
              </w:rPr>
              <w:t>Trade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20" w:type="dxa"/>
            <w:vAlign w:val="bottom"/>
            <w:tcBorders>
              <w:bottom w:val="single" w:sz="8" w:color="auto"/>
            </w:tcBorders>
          </w:tcPr>
          <w:p>
            <w:pPr>
              <w:spacing w:after="0" w:line="158" w:lineRule="exact"/>
              <w:rPr>
                <w:sz w:val="20"/>
                <w:szCs w:val="20"/>
                <w:color w:val="auto"/>
              </w:rPr>
            </w:pPr>
            <w:r>
              <w:rPr>
                <w:rFonts w:ascii="Arial" w:cs="Arial" w:eastAsia="Arial" w:hAnsi="Arial"/>
                <w:sz w:val="18"/>
                <w:szCs w:val="18"/>
                <w:b w:val="1"/>
                <w:bCs w:val="1"/>
                <w:color w:val="auto"/>
                <w:w w:val="85"/>
              </w:rPr>
              <w:t>31, 2023</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3"/>
              <w:spacing w:after="0" w:line="158" w:lineRule="exact"/>
              <w:rPr>
                <w:sz w:val="20"/>
                <w:szCs w:val="20"/>
                <w:color w:val="auto"/>
              </w:rPr>
            </w:pPr>
            <w:r>
              <w:rPr>
                <w:rFonts w:ascii="Arial" w:cs="Arial" w:eastAsia="Arial" w:hAnsi="Arial"/>
                <w:sz w:val="16"/>
                <w:szCs w:val="16"/>
                <w:b w:val="1"/>
                <w:bCs w:val="1"/>
                <w:color w:val="auto"/>
                <w:w w:val="95"/>
              </w:rPr>
              <w:t>Allowances</w:t>
            </w:r>
          </w:p>
        </w:tc>
        <w:tc>
          <w:tcPr>
            <w:tcW w:w="60" w:type="dxa"/>
            <w:vAlign w:val="bottom"/>
          </w:tcPr>
          <w:p>
            <w:pPr>
              <w:spacing w:after="0"/>
              <w:rPr>
                <w:sz w:val="13"/>
                <w:szCs w:val="13"/>
                <w:color w:val="auto"/>
              </w:rPr>
            </w:pPr>
          </w:p>
        </w:tc>
        <w:tc>
          <w:tcPr>
            <w:tcW w:w="94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88"/>
              </w:rPr>
              <w:t>Contracts</w:t>
            </w:r>
          </w:p>
        </w:tc>
        <w:tc>
          <w:tcPr>
            <w:tcW w:w="80" w:type="dxa"/>
            <w:vAlign w:val="bottom"/>
          </w:tcPr>
          <w:p>
            <w:pPr>
              <w:spacing w:after="0"/>
              <w:rPr>
                <w:sz w:val="13"/>
                <w:szCs w:val="13"/>
                <w:color w:val="auto"/>
              </w:rPr>
            </w:pPr>
          </w:p>
        </w:tc>
        <w:tc>
          <w:tcPr>
            <w:tcW w:w="106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w w:val="93"/>
              </w:rPr>
              <w:t>Relationships</w:t>
            </w:r>
          </w:p>
        </w:tc>
        <w:tc>
          <w:tcPr>
            <w:tcW w:w="60" w:type="dxa"/>
            <w:vAlign w:val="bottom"/>
          </w:tcPr>
          <w:p>
            <w:pPr>
              <w:spacing w:after="0"/>
              <w:rPr>
                <w:sz w:val="13"/>
                <w:szCs w:val="13"/>
                <w:color w:val="auto"/>
              </w:rPr>
            </w:pPr>
          </w:p>
        </w:tc>
        <w:tc>
          <w:tcPr>
            <w:tcW w:w="100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w w:val="94"/>
              </w:rPr>
              <w:t>Partnerships</w:t>
            </w:r>
          </w:p>
        </w:tc>
        <w:tc>
          <w:tcPr>
            <w:tcW w:w="80" w:type="dxa"/>
            <w:vAlign w:val="bottom"/>
          </w:tcPr>
          <w:p>
            <w:pPr>
              <w:spacing w:after="0"/>
              <w:rPr>
                <w:sz w:val="13"/>
                <w:szCs w:val="13"/>
                <w:color w:val="auto"/>
              </w:rPr>
            </w:pPr>
          </w:p>
        </w:tc>
        <w:tc>
          <w:tcPr>
            <w:tcW w:w="90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w w:val="91"/>
              </w:rPr>
              <w:t>Technology</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164"/>
              <w:spacing w:after="0" w:line="158" w:lineRule="exact"/>
              <w:rPr>
                <w:sz w:val="20"/>
                <w:szCs w:val="20"/>
                <w:color w:val="auto"/>
              </w:rPr>
            </w:pPr>
            <w:r>
              <w:rPr>
                <w:rFonts w:ascii="Arial" w:cs="Arial" w:eastAsia="Arial" w:hAnsi="Arial"/>
                <w:sz w:val="16"/>
                <w:szCs w:val="16"/>
                <w:b w:val="1"/>
                <w:bCs w:val="1"/>
                <w:color w:val="auto"/>
                <w:w w:val="91"/>
              </w:rPr>
              <w:t>Names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03"/>
              <w:spacing w:after="0" w:line="158" w:lineRule="exact"/>
              <w:rPr>
                <w:sz w:val="20"/>
                <w:szCs w:val="20"/>
                <w:color w:val="auto"/>
              </w:rPr>
            </w:pPr>
            <w:r>
              <w:rPr>
                <w:rFonts w:ascii="Arial" w:cs="Arial" w:eastAsia="Arial" w:hAnsi="Arial"/>
                <w:sz w:val="14"/>
                <w:szCs w:val="14"/>
                <w:b w:val="1"/>
                <w:bCs w:val="1"/>
                <w:color w:val="auto"/>
                <w:w w:val="99"/>
              </w:rPr>
              <w:t>Other</w:t>
            </w:r>
            <w:r>
              <w:rPr>
                <w:rFonts w:ascii="Arial" w:cs="Arial" w:eastAsia="Arial" w:hAnsi="Arial"/>
                <w:sz w:val="18"/>
                <w:szCs w:val="18"/>
                <w:b w:val="1"/>
                <w:bCs w:val="1"/>
                <w:color w:val="auto"/>
                <w:w w:val="99"/>
                <w:vertAlign w:val="superscript"/>
              </w:rPr>
              <w:t>(a)</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243"/>
              <w:spacing w:after="0" w:line="158"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
        </w:trPr>
        <w:tc>
          <w:tcPr>
            <w:tcW w:w="1840" w:type="dxa"/>
            <w:vAlign w:val="bottom"/>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1840" w:type="dxa"/>
            <w:vAlign w:val="bottom"/>
            <w:gridSpan w:val="3"/>
          </w:tcPr>
          <w:p>
            <w:pPr>
              <w:spacing w:after="0"/>
              <w:rPr>
                <w:sz w:val="20"/>
                <w:szCs w:val="20"/>
                <w:color w:val="auto"/>
              </w:rPr>
            </w:pPr>
            <w:r>
              <w:rPr>
                <w:rFonts w:ascii="Arial" w:cs="Arial" w:eastAsia="Arial" w:hAnsi="Arial"/>
                <w:sz w:val="20"/>
                <w:szCs w:val="20"/>
                <w:color w:val="auto"/>
                <w:w w:val="91"/>
              </w:rPr>
              <w:t xml:space="preserve">January 1, 2023 </w:t>
            </w:r>
            <w:r>
              <w:rPr>
                <w:rFonts w:ascii="Arial" w:cs="Arial" w:eastAsia="Arial" w:hAnsi="Arial"/>
                <w:sz w:val="20"/>
                <w:szCs w:val="20"/>
                <w:color w:val="B4B4B4"/>
                <w:w w:val="91"/>
              </w:rPr>
              <w:t>.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624</w:t>
            </w:r>
          </w:p>
        </w:tc>
        <w:tc>
          <w:tcPr>
            <w:tcW w:w="38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635</w:t>
            </w:r>
          </w:p>
        </w:tc>
        <w:tc>
          <w:tcPr>
            <w:tcW w:w="240" w:type="dxa"/>
            <w:vAlign w:val="bottom"/>
            <w:gridSpan w:val="2"/>
          </w:tcPr>
          <w:p>
            <w:pPr>
              <w:ind w:left="120"/>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1,730</w:t>
            </w:r>
          </w:p>
        </w:tc>
        <w:tc>
          <w:tcPr>
            <w:tcW w:w="4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284</w:t>
            </w:r>
          </w:p>
        </w:tc>
        <w:tc>
          <w:tcPr>
            <w:tcW w:w="38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679</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292</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4,244</w:t>
            </w:r>
          </w:p>
        </w:tc>
        <w:tc>
          <w:tcPr>
            <w:tcW w:w="0" w:type="dxa"/>
            <w:vAlign w:val="bottom"/>
          </w:tcPr>
          <w:p>
            <w:pPr>
              <w:spacing w:after="0"/>
              <w:rPr>
                <w:sz w:val="1"/>
                <w:szCs w:val="1"/>
                <w:color w:val="auto"/>
              </w:rPr>
            </w:pPr>
          </w:p>
        </w:tc>
      </w:tr>
      <w:tr>
        <w:trPr>
          <w:trHeight w:val="297"/>
        </w:trPr>
        <w:tc>
          <w:tcPr>
            <w:tcW w:w="1840" w:type="dxa"/>
            <w:vAlign w:val="bottom"/>
            <w:gridSpan w:val="3"/>
          </w:tcPr>
          <w:p>
            <w:pPr>
              <w:spacing w:after="0"/>
              <w:rPr>
                <w:sz w:val="20"/>
                <w:szCs w:val="20"/>
                <w:color w:val="auto"/>
              </w:rPr>
            </w:pPr>
            <w:r>
              <w:rPr>
                <w:rFonts w:ascii="Arial" w:cs="Arial" w:eastAsia="Arial" w:hAnsi="Arial"/>
                <w:sz w:val="20"/>
                <w:szCs w:val="20"/>
                <w:color w:val="auto"/>
                <w:w w:val="88"/>
              </w:rPr>
              <w:t xml:space="preserve">Purchases </w:t>
            </w:r>
            <w:r>
              <w:rPr>
                <w:rFonts w:ascii="Arial" w:cs="Arial" w:eastAsia="Arial" w:hAnsi="Arial"/>
                <w:sz w:val="20"/>
                <w:szCs w:val="20"/>
                <w:color w:val="B4B4B4"/>
                <w:w w:val="88"/>
              </w:rPr>
              <w:t>. . . . . . . . . .</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465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475</w:t>
            </w:r>
          </w:p>
        </w:tc>
        <w:tc>
          <w:tcPr>
            <w:tcW w:w="0" w:type="dxa"/>
            <w:vAlign w:val="bottom"/>
          </w:tcPr>
          <w:p>
            <w:pPr>
              <w:spacing w:after="0"/>
              <w:rPr>
                <w:sz w:val="1"/>
                <w:szCs w:val="1"/>
                <w:color w:val="auto"/>
              </w:rPr>
            </w:pPr>
          </w:p>
        </w:tc>
      </w:tr>
      <w:tr>
        <w:trPr>
          <w:trHeight w:val="232"/>
        </w:trPr>
        <w:tc>
          <w:tcPr>
            <w:tcW w:w="1840" w:type="dxa"/>
            <w:vAlign w:val="bottom"/>
            <w:gridSpan w:val="3"/>
          </w:tcPr>
          <w:p>
            <w:pPr>
              <w:spacing w:after="0"/>
              <w:rPr>
                <w:sz w:val="20"/>
                <w:szCs w:val="20"/>
                <w:color w:val="auto"/>
              </w:rPr>
            </w:pPr>
            <w:r>
              <w:rPr>
                <w:rFonts w:ascii="Arial" w:cs="Arial" w:eastAsia="Arial" w:hAnsi="Arial"/>
                <w:sz w:val="20"/>
                <w:szCs w:val="20"/>
                <w:color w:val="auto"/>
              </w:rPr>
              <w:t>Acquisition of</w:t>
            </w:r>
          </w:p>
        </w:tc>
        <w:tc>
          <w:tcPr>
            <w:tcW w:w="1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1,773</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10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860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2,803</w:t>
            </w:r>
          </w:p>
        </w:tc>
        <w:tc>
          <w:tcPr>
            <w:tcW w:w="0" w:type="dxa"/>
            <w:vAlign w:val="bottom"/>
          </w:tcPr>
          <w:p>
            <w:pPr>
              <w:spacing w:after="0"/>
              <w:rPr>
                <w:sz w:val="1"/>
                <w:szCs w:val="1"/>
                <w:color w:val="auto"/>
              </w:rPr>
            </w:pPr>
          </w:p>
        </w:tc>
      </w:tr>
      <w:tr>
        <w:trPr>
          <w:trHeight w:val="292"/>
        </w:trPr>
        <w:tc>
          <w:tcPr>
            <w:tcW w:w="1840" w:type="dxa"/>
            <w:vAlign w:val="bottom"/>
            <w:gridSpan w:val="3"/>
          </w:tcPr>
          <w:p>
            <w:pPr>
              <w:spacing w:after="0"/>
              <w:rPr>
                <w:sz w:val="20"/>
                <w:szCs w:val="20"/>
                <w:color w:val="auto"/>
              </w:rPr>
            </w:pPr>
            <w:r>
              <w:rPr>
                <w:rFonts w:ascii="Arial" w:cs="Arial" w:eastAsia="Arial" w:hAnsi="Arial"/>
                <w:sz w:val="20"/>
                <w:szCs w:val="20"/>
                <w:color w:val="auto"/>
                <w:w w:val="86"/>
              </w:rPr>
              <w:t>businesses</w:t>
            </w:r>
            <w:r>
              <w:rPr>
                <w:rFonts w:ascii="Arial" w:cs="Arial" w:eastAsia="Arial" w:hAnsi="Arial"/>
                <w:sz w:val="25"/>
                <w:szCs w:val="25"/>
                <w:color w:val="auto"/>
                <w:w w:val="86"/>
                <w:vertAlign w:val="superscript"/>
              </w:rPr>
              <w:t>(b)</w:t>
            </w:r>
            <w:r>
              <w:rPr>
                <w:rFonts w:ascii="Arial" w:cs="Arial" w:eastAsia="Arial" w:hAnsi="Arial"/>
                <w:sz w:val="20"/>
                <w:szCs w:val="20"/>
                <w:color w:val="auto"/>
                <w:w w:val="86"/>
              </w:rPr>
              <w:t xml:space="preserve"> </w:t>
            </w:r>
            <w:r>
              <w:rPr>
                <w:rFonts w:ascii="Arial" w:cs="Arial" w:eastAsia="Arial" w:hAnsi="Arial"/>
                <w:sz w:val="20"/>
                <w:szCs w:val="20"/>
                <w:color w:val="B4B4B4"/>
                <w:w w:val="86"/>
              </w:rPr>
              <w:t>. . . . . . . .</w:t>
            </w:r>
          </w:p>
        </w:tc>
        <w:tc>
          <w:tcPr>
            <w:tcW w:w="1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40" w:type="dxa"/>
            <w:vAlign w:val="bottom"/>
            <w:gridSpan w:val="3"/>
          </w:tcPr>
          <w:p>
            <w:pPr>
              <w:spacing w:after="0" w:line="199" w:lineRule="exact"/>
              <w:rPr>
                <w:sz w:val="20"/>
                <w:szCs w:val="20"/>
                <w:color w:val="auto"/>
              </w:rPr>
            </w:pPr>
            <w:r>
              <w:rPr>
                <w:rFonts w:ascii="Arial" w:cs="Arial" w:eastAsia="Arial" w:hAnsi="Arial"/>
                <w:sz w:val="20"/>
                <w:szCs w:val="20"/>
                <w:color w:val="auto"/>
              </w:rPr>
              <w:t>Usage/Sales/</w:t>
            </w: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(474)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(474)</w:t>
            </w:r>
          </w:p>
        </w:tc>
        <w:tc>
          <w:tcPr>
            <w:tcW w:w="0" w:type="dxa"/>
            <w:vAlign w:val="bottom"/>
          </w:tcPr>
          <w:p>
            <w:pPr>
              <w:spacing w:after="0"/>
              <w:rPr>
                <w:sz w:val="1"/>
                <w:szCs w:val="1"/>
                <w:color w:val="auto"/>
              </w:rPr>
            </w:pPr>
          </w:p>
        </w:tc>
      </w:tr>
      <w:tr>
        <w:trPr>
          <w:trHeight w:val="258"/>
        </w:trPr>
        <w:tc>
          <w:tcPr>
            <w:tcW w:w="1840" w:type="dxa"/>
            <w:vAlign w:val="bottom"/>
            <w:gridSpan w:val="3"/>
          </w:tcPr>
          <w:p>
            <w:pPr>
              <w:spacing w:after="0"/>
              <w:rPr>
                <w:sz w:val="20"/>
                <w:szCs w:val="20"/>
                <w:color w:val="auto"/>
              </w:rPr>
            </w:pPr>
            <w:r>
              <w:rPr>
                <w:rFonts w:ascii="Arial" w:cs="Arial" w:eastAsia="Arial" w:hAnsi="Arial"/>
                <w:sz w:val="20"/>
                <w:szCs w:val="20"/>
                <w:color w:val="auto"/>
                <w:w w:val="92"/>
              </w:rPr>
              <w:t xml:space="preserve">Retirements </w:t>
            </w:r>
            <w:r>
              <w:rPr>
                <w:rFonts w:ascii="Arial" w:cs="Arial" w:eastAsia="Arial" w:hAnsi="Arial"/>
                <w:sz w:val="20"/>
                <w:szCs w:val="20"/>
                <w:color w:val="B4B4B4"/>
                <w:w w:val="92"/>
              </w:rPr>
              <w:t>. . . . . . . .</w:t>
            </w:r>
          </w:p>
        </w:tc>
        <w:tc>
          <w:tcPr>
            <w:tcW w:w="16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840" w:type="dxa"/>
            <w:vAlign w:val="bottom"/>
            <w:gridSpan w:val="3"/>
          </w:tcPr>
          <w:p>
            <w:pPr>
              <w:spacing w:after="0"/>
              <w:rPr>
                <w:sz w:val="20"/>
                <w:szCs w:val="20"/>
                <w:color w:val="auto"/>
              </w:rPr>
            </w:pPr>
            <w:r>
              <w:rPr>
                <w:rFonts w:ascii="Arial" w:cs="Arial" w:eastAsia="Arial" w:hAnsi="Arial"/>
                <w:sz w:val="20"/>
                <w:szCs w:val="20"/>
                <w:color w:val="auto"/>
              </w:rPr>
              <w:t>Write-off of fully</w:t>
            </w:r>
          </w:p>
        </w:tc>
        <w:tc>
          <w:tcPr>
            <w:tcW w:w="1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(43)</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258"/>
        </w:trPr>
        <w:tc>
          <w:tcPr>
            <w:tcW w:w="1840" w:type="dxa"/>
            <w:vAlign w:val="bottom"/>
            <w:gridSpan w:val="3"/>
          </w:tcPr>
          <w:p>
            <w:pPr>
              <w:spacing w:after="0"/>
              <w:rPr>
                <w:sz w:val="20"/>
                <w:szCs w:val="20"/>
                <w:color w:val="auto"/>
              </w:rPr>
            </w:pPr>
            <w:r>
              <w:rPr>
                <w:rFonts w:ascii="Arial" w:cs="Arial" w:eastAsia="Arial" w:hAnsi="Arial"/>
                <w:sz w:val="20"/>
                <w:szCs w:val="20"/>
                <w:color w:val="auto"/>
                <w:w w:val="93"/>
              </w:rPr>
              <w:t xml:space="preserve">amortized balances </w:t>
            </w:r>
            <w:r>
              <w:rPr>
                <w:rFonts w:ascii="Arial" w:cs="Arial" w:eastAsia="Arial" w:hAnsi="Arial"/>
                <w:sz w:val="20"/>
                <w:szCs w:val="20"/>
                <w:color w:val="B4B4B4"/>
                <w:w w:val="93"/>
              </w:rPr>
              <w:t>. .</w:t>
            </w:r>
          </w:p>
        </w:tc>
        <w:tc>
          <w:tcPr>
            <w:tcW w:w="16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5"/>
        </w:trPr>
        <w:tc>
          <w:tcPr>
            <w:tcW w:w="1840" w:type="dxa"/>
            <w:vAlign w:val="bottom"/>
            <w:gridSpan w:val="3"/>
          </w:tcPr>
          <w:p>
            <w:pPr>
              <w:spacing w:after="0"/>
              <w:rPr>
                <w:sz w:val="20"/>
                <w:szCs w:val="20"/>
                <w:color w:val="auto"/>
              </w:rPr>
            </w:pPr>
            <w:r>
              <w:rPr>
                <w:rFonts w:ascii="Arial" w:cs="Arial" w:eastAsia="Arial" w:hAnsi="Arial"/>
                <w:sz w:val="20"/>
                <w:szCs w:val="20"/>
                <w:color w:val="auto"/>
                <w:w w:val="89"/>
              </w:rPr>
              <w:t>Sale of STP</w:t>
            </w:r>
            <w:r>
              <w:rPr>
                <w:rFonts w:ascii="Arial" w:cs="Arial" w:eastAsia="Arial" w:hAnsi="Arial"/>
                <w:sz w:val="25"/>
                <w:szCs w:val="25"/>
                <w:color w:val="auto"/>
                <w:w w:val="89"/>
                <w:vertAlign w:val="superscript"/>
              </w:rPr>
              <w:t>(c)</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(59)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(59)</w:t>
            </w:r>
          </w:p>
        </w:tc>
        <w:tc>
          <w:tcPr>
            <w:tcW w:w="0" w:type="dxa"/>
            <w:vAlign w:val="bottom"/>
          </w:tcPr>
          <w:p>
            <w:pPr>
              <w:spacing w:after="0"/>
              <w:rPr>
                <w:sz w:val="1"/>
                <w:szCs w:val="1"/>
                <w:color w:val="auto"/>
              </w:rPr>
            </w:pPr>
          </w:p>
        </w:tc>
      </w:tr>
      <w:tr>
        <w:trPr>
          <w:trHeight w:val="261"/>
        </w:trPr>
        <w:tc>
          <w:tcPr>
            <w:tcW w:w="1840" w:type="dxa"/>
            <w:vAlign w:val="bottom"/>
            <w:gridSpan w:val="3"/>
          </w:tcPr>
          <w:p>
            <w:pPr>
              <w:spacing w:after="0"/>
              <w:rPr>
                <w:sz w:val="20"/>
                <w:szCs w:val="20"/>
                <w:color w:val="auto"/>
              </w:rPr>
            </w:pPr>
            <w:r>
              <w:rPr>
                <w:rFonts w:ascii="Arial" w:cs="Arial" w:eastAsia="Arial" w:hAnsi="Arial"/>
                <w:sz w:val="20"/>
                <w:szCs w:val="20"/>
                <w:color w:val="auto"/>
                <w:w w:val="93"/>
              </w:rPr>
              <w:t xml:space="preserve">Other </w:t>
            </w:r>
            <w:r>
              <w:rPr>
                <w:rFonts w:ascii="Arial" w:cs="Arial" w:eastAsia="Arial" w:hAnsi="Arial"/>
                <w:sz w:val="20"/>
                <w:szCs w:val="20"/>
                <w:color w:val="B4B4B4"/>
                <w:w w:val="93"/>
              </w:rPr>
              <w:t>. . . . . . . . . . . . .</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75"/>
        </w:trPr>
        <w:tc>
          <w:tcPr>
            <w:tcW w:w="1840" w:type="dxa"/>
            <w:vAlign w:val="bottom"/>
            <w:gridSpan w:val="3"/>
          </w:tcPr>
          <w:p>
            <w:pPr>
              <w:spacing w:after="0"/>
              <w:rPr>
                <w:sz w:val="20"/>
                <w:szCs w:val="20"/>
                <w:color w:val="auto"/>
              </w:rPr>
            </w:pPr>
            <w:r>
              <w:rPr>
                <w:rFonts w:ascii="Arial" w:cs="Arial" w:eastAsia="Arial" w:hAnsi="Arial"/>
                <w:sz w:val="20"/>
                <w:szCs w:val="20"/>
                <w:color w:val="auto"/>
                <w:w w:val="91"/>
              </w:rPr>
              <w:t xml:space="preserve">December 31, 2023 </w:t>
            </w:r>
            <w:r>
              <w:rPr>
                <w:rFonts w:ascii="Arial" w:cs="Arial" w:eastAsia="Arial" w:hAnsi="Arial"/>
                <w:sz w:val="20"/>
                <w:szCs w:val="20"/>
                <w:color w:val="B4B4B4"/>
                <w:w w:val="91"/>
              </w:rPr>
              <w:t>. .</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628</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609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3,464</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295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860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841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224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6,921</w:t>
            </w:r>
          </w:p>
        </w:tc>
        <w:tc>
          <w:tcPr>
            <w:tcW w:w="0" w:type="dxa"/>
            <w:vAlign w:val="bottom"/>
          </w:tcPr>
          <w:p>
            <w:pPr>
              <w:spacing w:after="0"/>
              <w:rPr>
                <w:sz w:val="1"/>
                <w:szCs w:val="1"/>
                <w:color w:val="auto"/>
              </w:rPr>
            </w:pPr>
          </w:p>
        </w:tc>
      </w:tr>
      <w:tr>
        <w:trPr>
          <w:trHeight w:val="232"/>
        </w:trPr>
        <w:tc>
          <w:tcPr>
            <w:tcW w:w="1840" w:type="dxa"/>
            <w:vAlign w:val="bottom"/>
            <w:gridSpan w:val="3"/>
          </w:tcPr>
          <w:p>
            <w:pPr>
              <w:spacing w:after="0"/>
              <w:rPr>
                <w:sz w:val="20"/>
                <w:szCs w:val="20"/>
                <w:color w:val="auto"/>
              </w:rPr>
            </w:pPr>
            <w:r>
              <w:rPr>
                <w:rFonts w:ascii="Arial" w:cs="Arial" w:eastAsia="Arial" w:hAnsi="Arial"/>
                <w:sz w:val="20"/>
                <w:szCs w:val="20"/>
                <w:color w:val="auto"/>
              </w:rPr>
              <w:t>Less accumulated</w:t>
            </w:r>
          </w:p>
        </w:tc>
        <w:tc>
          <w:tcPr>
            <w:tcW w:w="1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(533)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(328)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(1,300)</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(170)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(230)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(401)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(32)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(2,994)</w:t>
            </w:r>
          </w:p>
        </w:tc>
        <w:tc>
          <w:tcPr>
            <w:tcW w:w="0" w:type="dxa"/>
            <w:vAlign w:val="bottom"/>
          </w:tcPr>
          <w:p>
            <w:pPr>
              <w:spacing w:after="0"/>
              <w:rPr>
                <w:sz w:val="1"/>
                <w:szCs w:val="1"/>
                <w:color w:val="auto"/>
              </w:rPr>
            </w:pPr>
          </w:p>
        </w:tc>
      </w:tr>
      <w:tr>
        <w:trPr>
          <w:trHeight w:val="260"/>
        </w:trPr>
        <w:tc>
          <w:tcPr>
            <w:tcW w:w="1840" w:type="dxa"/>
            <w:vAlign w:val="bottom"/>
            <w:gridSpan w:val="3"/>
          </w:tcPr>
          <w:p>
            <w:pPr>
              <w:ind w:left="180"/>
              <w:spacing w:after="0"/>
              <w:rPr>
                <w:sz w:val="20"/>
                <w:szCs w:val="20"/>
                <w:color w:val="auto"/>
              </w:rPr>
            </w:pPr>
            <w:r>
              <w:rPr>
                <w:rFonts w:ascii="Arial" w:cs="Arial" w:eastAsia="Arial" w:hAnsi="Arial"/>
                <w:sz w:val="20"/>
                <w:szCs w:val="20"/>
                <w:color w:val="auto"/>
                <w:w w:val="93"/>
              </w:rPr>
              <w:t xml:space="preserve">amortization </w:t>
            </w:r>
            <w:r>
              <w:rPr>
                <w:rFonts w:ascii="Arial" w:cs="Arial" w:eastAsia="Arial" w:hAnsi="Arial"/>
                <w:sz w:val="20"/>
                <w:szCs w:val="20"/>
                <w:color w:val="B4B4B4"/>
                <w:w w:val="93"/>
              </w:rPr>
              <w:t>. . . . . .</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40" w:type="dxa"/>
            <w:vAlign w:val="bottom"/>
            <w:gridSpan w:val="3"/>
          </w:tcPr>
          <w:p>
            <w:pPr>
              <w:spacing w:after="0"/>
              <w:rPr>
                <w:sz w:val="20"/>
                <w:szCs w:val="20"/>
                <w:color w:val="auto"/>
              </w:rPr>
            </w:pPr>
            <w:r>
              <w:rPr>
                <w:rFonts w:ascii="Arial" w:cs="Arial" w:eastAsia="Arial" w:hAnsi="Arial"/>
                <w:sz w:val="20"/>
                <w:szCs w:val="20"/>
                <w:color w:val="auto"/>
                <w:w w:val="95"/>
              </w:rPr>
              <w:t xml:space="preserve">Net carrying amount </w:t>
            </w:r>
            <w:r>
              <w:rPr>
                <w:rFonts w:ascii="Arial" w:cs="Arial" w:eastAsia="Arial" w:hAnsi="Arial"/>
                <w:sz w:val="20"/>
                <w:szCs w:val="20"/>
                <w:color w:val="B4B4B4"/>
                <w:w w:val="95"/>
              </w:rPr>
              <w:t>.</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95</w:t>
            </w:r>
          </w:p>
        </w:tc>
        <w:tc>
          <w:tcPr>
            <w:tcW w:w="38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281</w:t>
            </w:r>
          </w:p>
        </w:tc>
        <w:tc>
          <w:tcPr>
            <w:tcW w:w="240" w:type="dxa"/>
            <w:vAlign w:val="bottom"/>
            <w:gridSpan w:val="2"/>
          </w:tcPr>
          <w:p>
            <w:pPr>
              <w:ind w:left="120"/>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2,164</w:t>
            </w:r>
          </w:p>
        </w:tc>
        <w:tc>
          <w:tcPr>
            <w:tcW w:w="4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125</w:t>
            </w:r>
          </w:p>
        </w:tc>
        <w:tc>
          <w:tcPr>
            <w:tcW w:w="38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630</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440</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192</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3,927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-2407285</wp:posOffset>
            </wp:positionV>
            <wp:extent cx="6475095" cy="24142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7">
                      <a:extLst>
                        <a:ext uri="{28A0092B-C50C-407E-A947-70E740481C1C}"/>
                      </a:extLst>
                    </a:blip>
                    <a:srcRect/>
                    <a:stretch>
                      <a:fillRect/>
                    </a:stretch>
                  </pic:blipFill>
                  <pic:spPr bwMode="auto">
                    <a:xfrm>
                      <a:off x="0" y="0"/>
                      <a:ext cx="6475095" cy="2414270"/>
                    </a:xfrm>
                    <a:prstGeom prst="rect">
                      <a:avLst/>
                    </a:prstGeom>
                    <a:noFill/>
                  </pic:spPr>
                </pic:pic>
              </a:graphicData>
            </a:graphic>
          </wp:anchor>
        </w:drawing>
      </w:r>
    </w:p>
    <w:p>
      <w:pPr>
        <w:ind w:left="439" w:hanging="439"/>
        <w:spacing w:after="0"/>
        <w:tabs>
          <w:tab w:leader="none" w:pos="439"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RECs are not subject to amortization and had a carrying value of $177 million</w:t>
      </w:r>
    </w:p>
    <w:p>
      <w:pPr>
        <w:spacing w:after="0" w:line="23" w:lineRule="exact"/>
        <w:rPr>
          <w:rFonts w:ascii="Arial" w:cs="Arial" w:eastAsia="Arial" w:hAnsi="Arial"/>
          <w:sz w:val="16"/>
          <w:szCs w:val="16"/>
          <w:color w:val="auto"/>
        </w:rPr>
      </w:pPr>
    </w:p>
    <w:p>
      <w:pPr>
        <w:ind w:left="439" w:hanging="439"/>
        <w:spacing w:after="0"/>
        <w:tabs>
          <w:tab w:leader="none" w:pos="439"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weighted average amortization period for total amortizable intangible assets is approximately 10 years</w:t>
      </w:r>
    </w:p>
    <w:p>
      <w:pPr>
        <w:spacing w:after="0" w:line="6" w:lineRule="exact"/>
        <w:rPr>
          <w:rFonts w:ascii="Arial" w:cs="Arial" w:eastAsia="Arial" w:hAnsi="Arial"/>
          <w:sz w:val="16"/>
          <w:szCs w:val="16"/>
          <w:color w:val="auto"/>
        </w:rPr>
      </w:pPr>
    </w:p>
    <w:p>
      <w:pPr>
        <w:ind w:left="439" w:hanging="439"/>
        <w:spacing w:after="0"/>
        <w:tabs>
          <w:tab w:leader="none" w:pos="439"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$47 million of intangibles that were amortized</w:t>
      </w:r>
    </w:p>
    <w:p>
      <w:pPr>
        <w:sectPr>
          <w:pgSz w:w="11880" w:h="15480" w:orient="portrait"/>
          <w:cols w:equalWidth="0" w:num="1">
            <w:col w:w="10159"/>
          </w:cols>
          <w:pgMar w:left="861"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127</w:t>
      </w:r>
    </w:p>
    <w:p>
      <w:pPr>
        <w:sectPr>
          <w:pgSz w:w="11880" w:h="15480" w:orient="portrait"/>
          <w:cols w:equalWidth="0" w:num="1">
            <w:col w:w="10159"/>
          </w:cols>
          <w:pgMar w:left="861" w:top="512" w:right="860" w:bottom="0" w:gutter="0" w:footer="0" w:header="0"/>
          <w:type w:val="continuous"/>
        </w:sectPr>
      </w:pPr>
    </w:p>
    <w:bookmarkStart w:id="129" w:name="page130"/>
    <w:bookmarkEnd w:id="129"/>
    <w:p>
      <w:pPr>
        <w:ind w:left="440"/>
        <w:spacing w:after="0"/>
        <w:rPr>
          <w:sz w:val="20"/>
          <w:szCs w:val="20"/>
          <w:color w:val="auto"/>
        </w:rPr>
      </w:pPr>
      <w:r>
        <w:rPr>
          <w:rFonts w:ascii="Arial" w:cs="Arial" w:eastAsia="Arial" w:hAnsi="Arial"/>
          <w:sz w:val="20"/>
          <w:szCs w:val="20"/>
          <w:color w:val="auto"/>
        </w:rPr>
        <w:t>The following table presents NRG's amortization of intangible assets for each of the past three years:</w:t>
      </w:r>
    </w:p>
    <w:p>
      <w:pPr>
        <w:spacing w:after="0" w:line="100"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Years Ended December 31,</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604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2022</w:t>
            </w:r>
          </w:p>
        </w:tc>
      </w:tr>
      <w:tr>
        <w:trPr>
          <w:trHeight w:val="275"/>
        </w:trPr>
        <w:tc>
          <w:tcPr>
            <w:tcW w:w="6040" w:type="dxa"/>
            <w:vAlign w:val="bottom"/>
          </w:tcPr>
          <w:p>
            <w:pPr>
              <w:spacing w:after="0"/>
              <w:rPr>
                <w:sz w:val="20"/>
                <w:szCs w:val="20"/>
                <w:color w:val="auto"/>
              </w:rPr>
            </w:pPr>
            <w:r>
              <w:rPr>
                <w:rFonts w:ascii="Arial" w:cs="Arial" w:eastAsia="Arial" w:hAnsi="Arial"/>
                <w:sz w:val="20"/>
                <w:szCs w:val="20"/>
                <w:color w:val="auto"/>
                <w:w w:val="90"/>
              </w:rPr>
              <w:t xml:space="preserve">Emission allowances </w:t>
            </w:r>
            <w:r>
              <w:rPr>
                <w:rFonts w:ascii="Arial" w:cs="Arial" w:eastAsia="Arial" w:hAnsi="Arial"/>
                <w:sz w:val="20"/>
                <w:szCs w:val="20"/>
                <w:color w:val="B4B4B4"/>
                <w:w w:val="90"/>
              </w:rPr>
              <w:t>. . . . . . . . . . . . . . . . . . . . . . . . . . . . . . . . . . . . . . . . . . .</w:t>
            </w:r>
          </w:p>
        </w:tc>
        <w:tc>
          <w:tcPr>
            <w:tcW w:w="3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6</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97"/>
        </w:trPr>
        <w:tc>
          <w:tcPr>
            <w:tcW w:w="6040" w:type="dxa"/>
            <w:vAlign w:val="bottom"/>
          </w:tcPr>
          <w:p>
            <w:pPr>
              <w:spacing w:after="0"/>
              <w:rPr>
                <w:sz w:val="20"/>
                <w:szCs w:val="20"/>
                <w:color w:val="auto"/>
              </w:rPr>
            </w:pPr>
            <w:r>
              <w:rPr>
                <w:rFonts w:ascii="Arial" w:cs="Arial" w:eastAsia="Arial" w:hAnsi="Arial"/>
                <w:sz w:val="20"/>
                <w:szCs w:val="20"/>
                <w:color w:val="auto"/>
                <w:w w:val="89"/>
              </w:rPr>
              <w:t xml:space="preserve">Customer and supply contracts  </w:t>
            </w:r>
            <w:r>
              <w:rPr>
                <w:rFonts w:ascii="Arial" w:cs="Arial" w:eastAsia="Arial" w:hAnsi="Arial"/>
                <w:sz w:val="20"/>
                <w:szCs w:val="20"/>
                <w:color w:val="B4B4B4"/>
                <w:w w:val="89"/>
              </w:rPr>
              <w:t>. . . . . . . . . . . . . . . . . . . . . . . . . . . . . . . . . . .</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121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141</w:t>
            </w:r>
          </w:p>
        </w:tc>
      </w:tr>
      <w:tr>
        <w:trPr>
          <w:trHeight w:val="297"/>
        </w:trPr>
        <w:tc>
          <w:tcPr>
            <w:tcW w:w="6040" w:type="dxa"/>
            <w:vAlign w:val="bottom"/>
          </w:tcPr>
          <w:p>
            <w:pPr>
              <w:spacing w:after="0"/>
              <w:rPr>
                <w:sz w:val="20"/>
                <w:szCs w:val="20"/>
                <w:color w:val="auto"/>
              </w:rPr>
            </w:pPr>
            <w:r>
              <w:rPr>
                <w:rFonts w:ascii="Arial" w:cs="Arial" w:eastAsia="Arial" w:hAnsi="Arial"/>
                <w:sz w:val="20"/>
                <w:szCs w:val="20"/>
                <w:color w:val="auto"/>
                <w:w w:val="89"/>
              </w:rPr>
              <w:t xml:space="preserve">Customer relationships </w:t>
            </w:r>
            <w:r>
              <w:rPr>
                <w:rFonts w:ascii="Arial" w:cs="Arial" w:eastAsia="Arial" w:hAnsi="Arial"/>
                <w:sz w:val="20"/>
                <w:szCs w:val="20"/>
                <w:color w:val="B4B4B4"/>
                <w:w w:val="89"/>
              </w:rPr>
              <w:t>. . . . . . . . . . . . . . . . . . . . . . . . . . . . . . . . . . . . . . . . . .</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476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556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269</w:t>
            </w:r>
          </w:p>
        </w:tc>
      </w:tr>
      <w:tr>
        <w:trPr>
          <w:trHeight w:val="297"/>
        </w:trPr>
        <w:tc>
          <w:tcPr>
            <w:tcW w:w="6040" w:type="dxa"/>
            <w:vAlign w:val="bottom"/>
          </w:tcPr>
          <w:p>
            <w:pPr>
              <w:spacing w:after="0"/>
              <w:rPr>
                <w:sz w:val="20"/>
                <w:szCs w:val="20"/>
                <w:color w:val="auto"/>
              </w:rPr>
            </w:pPr>
            <w:r>
              <w:rPr>
                <w:rFonts w:ascii="Arial" w:cs="Arial" w:eastAsia="Arial" w:hAnsi="Arial"/>
                <w:sz w:val="20"/>
                <w:szCs w:val="20"/>
                <w:color w:val="auto"/>
                <w:w w:val="89"/>
              </w:rPr>
              <w:t xml:space="preserve">Marketing partnerships </w:t>
            </w:r>
            <w:r>
              <w:rPr>
                <w:rFonts w:ascii="Arial" w:cs="Arial" w:eastAsia="Arial" w:hAnsi="Arial"/>
                <w:sz w:val="20"/>
                <w:szCs w:val="20"/>
                <w:color w:val="B4B4B4"/>
                <w:w w:val="89"/>
              </w:rPr>
              <w:t>. . . . . . . . . . . . . . . . . . . . . . . . . . . . . . . . . . . . . . . . . .</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97"/>
        </w:trPr>
        <w:tc>
          <w:tcPr>
            <w:tcW w:w="6040" w:type="dxa"/>
            <w:vAlign w:val="bottom"/>
          </w:tcPr>
          <w:p>
            <w:pPr>
              <w:spacing w:after="0"/>
              <w:rPr>
                <w:sz w:val="20"/>
                <w:szCs w:val="20"/>
                <w:color w:val="auto"/>
              </w:rPr>
            </w:pPr>
            <w:r>
              <w:rPr>
                <w:rFonts w:ascii="Arial" w:cs="Arial" w:eastAsia="Arial" w:hAnsi="Arial"/>
                <w:sz w:val="20"/>
                <w:szCs w:val="20"/>
                <w:color w:val="auto"/>
                <w:w w:val="89"/>
              </w:rPr>
              <w:t xml:space="preserve">Technology </w:t>
            </w:r>
            <w:r>
              <w:rPr>
                <w:rFonts w:ascii="Arial" w:cs="Arial" w:eastAsia="Arial" w:hAnsi="Arial"/>
                <w:sz w:val="20"/>
                <w:szCs w:val="20"/>
                <w:color w:val="B4B4B4"/>
                <w:w w:val="89"/>
              </w:rPr>
              <w:t>. . . . . . . . . . . . . . . . . . . . . . . . . . . . . . . . . . . . . . . . . . . . . . . . . . .</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227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230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7"/>
        </w:trPr>
        <w:tc>
          <w:tcPr>
            <w:tcW w:w="6040" w:type="dxa"/>
            <w:vAlign w:val="bottom"/>
          </w:tcPr>
          <w:p>
            <w:pPr>
              <w:spacing w:after="0"/>
              <w:rPr>
                <w:sz w:val="20"/>
                <w:szCs w:val="20"/>
                <w:color w:val="auto"/>
              </w:rPr>
            </w:pPr>
            <w:r>
              <w:rPr>
                <w:rFonts w:ascii="Arial" w:cs="Arial" w:eastAsia="Arial" w:hAnsi="Arial"/>
                <w:sz w:val="20"/>
                <w:szCs w:val="20"/>
                <w:color w:val="auto"/>
                <w:w w:val="89"/>
              </w:rPr>
              <w:t xml:space="preserve">Trade names </w:t>
            </w:r>
            <w:r>
              <w:rPr>
                <w:rFonts w:ascii="Arial" w:cs="Arial" w:eastAsia="Arial" w:hAnsi="Arial"/>
                <w:sz w:val="20"/>
                <w:szCs w:val="20"/>
                <w:color w:val="B4B4B4"/>
                <w:w w:val="89"/>
              </w:rPr>
              <w:t>. . . . . . . . . . . . . . . . . . . . . . . . . . . . . . . . . . . . . . . . . . . . . . . . . .</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99"/>
        </w:trPr>
        <w:tc>
          <w:tcPr>
            <w:tcW w:w="6040" w:type="dxa"/>
            <w:vAlign w:val="bottom"/>
          </w:tcPr>
          <w:p>
            <w:pPr>
              <w:spacing w:after="0"/>
              <w:rPr>
                <w:sz w:val="20"/>
                <w:szCs w:val="20"/>
                <w:color w:val="auto"/>
              </w:rPr>
            </w:pPr>
            <w:r>
              <w:rPr>
                <w:rFonts w:ascii="Arial" w:cs="Arial" w:eastAsia="Arial" w:hAnsi="Arial"/>
                <w:sz w:val="20"/>
                <w:szCs w:val="20"/>
                <w:color w:val="auto"/>
                <w:w w:val="88"/>
              </w:rPr>
              <w:t>Other</w:t>
            </w:r>
            <w:r>
              <w:rPr>
                <w:rFonts w:ascii="Arial" w:cs="Arial" w:eastAsia="Arial" w:hAnsi="Arial"/>
                <w:sz w:val="25"/>
                <w:szCs w:val="25"/>
                <w:color w:val="auto"/>
                <w:w w:val="88"/>
                <w:vertAlign w:val="superscript"/>
              </w:rPr>
              <w:t>(a)</w:t>
            </w:r>
            <w:r>
              <w:rPr>
                <w:rFonts w:ascii="Arial" w:cs="Arial" w:eastAsia="Arial" w:hAnsi="Arial"/>
                <w:sz w:val="20"/>
                <w:szCs w:val="20"/>
                <w:color w:val="auto"/>
                <w:w w:val="88"/>
              </w:rPr>
              <w:t xml:space="preserve">  </w:t>
            </w:r>
            <w:r>
              <w:rPr>
                <w:rFonts w:ascii="Arial" w:cs="Arial" w:eastAsia="Arial" w:hAnsi="Arial"/>
                <w:sz w:val="20"/>
                <w:szCs w:val="20"/>
                <w:color w:val="B4B4B4"/>
                <w:w w:val="88"/>
              </w:rPr>
              <w:t>. . . . . . . . . . . . . . . . . . . . . . . . . . . . . . . . . . . . . . . . . . . . . . . . . . . . . .</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r>
      <w:tr>
        <w:trPr>
          <w:trHeight w:val="257"/>
        </w:trPr>
        <w:tc>
          <w:tcPr>
            <w:tcW w:w="6040" w:type="dxa"/>
            <w:vAlign w:val="bottom"/>
          </w:tcPr>
          <w:p>
            <w:pPr>
              <w:ind w:left="120"/>
              <w:spacing w:after="0"/>
              <w:rPr>
                <w:sz w:val="20"/>
                <w:szCs w:val="20"/>
                <w:color w:val="auto"/>
              </w:rPr>
            </w:pPr>
            <w:r>
              <w:rPr>
                <w:rFonts w:ascii="Arial" w:cs="Arial" w:eastAsia="Arial" w:hAnsi="Arial"/>
                <w:sz w:val="20"/>
                <w:szCs w:val="20"/>
                <w:color w:val="auto"/>
                <w:w w:val="91"/>
              </w:rPr>
              <w:t xml:space="preserve">Total amortization </w:t>
            </w:r>
            <w:r>
              <w:rPr>
                <w:rFonts w:ascii="Arial" w:cs="Arial" w:eastAsia="Arial" w:hAnsi="Arial"/>
                <w:sz w:val="20"/>
                <w:szCs w:val="20"/>
                <w:color w:val="B4B4B4"/>
                <w:w w:val="91"/>
              </w:rPr>
              <w:t>. . . . . . . . . . . . . . . . . . . . . . . . . . . . . . . . . . . . . . . . . . . .</w:t>
            </w:r>
          </w:p>
        </w:tc>
        <w:tc>
          <w:tcPr>
            <w:tcW w:w="3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876</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1,001</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490</w:t>
            </w:r>
          </w:p>
        </w:tc>
      </w:tr>
      <w:tr>
        <w:trPr>
          <w:trHeight w:val="20"/>
        </w:trPr>
        <w:tc>
          <w:tcPr>
            <w:tcW w:w="6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-1539875</wp:posOffset>
            </wp:positionV>
            <wp:extent cx="6456680" cy="15468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8">
                      <a:extLst>
                        <a:ext uri="{28A0092B-C50C-407E-A947-70E740481C1C}"/>
                      </a:extLst>
                    </a:blip>
                    <a:srcRect/>
                    <a:stretch>
                      <a:fillRect/>
                    </a:stretch>
                  </pic:blipFill>
                  <pic:spPr bwMode="auto">
                    <a:xfrm>
                      <a:off x="0" y="0"/>
                      <a:ext cx="6456680" cy="1546860"/>
                    </a:xfrm>
                    <a:prstGeom prst="rect">
                      <a:avLst/>
                    </a:prstGeom>
                    <a:noFill/>
                  </pic:spPr>
                </pic:pic>
              </a:graphicData>
            </a:graphic>
          </wp:anchor>
        </w:drawing>
      </w:r>
    </w:p>
    <w:p>
      <w:pPr>
        <w:ind w:left="440" w:hanging="439"/>
        <w:spacing w:after="0" w:line="278" w:lineRule="auto"/>
        <w:tabs>
          <w:tab w:leader="none" w:pos="4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For the year ended December 31, 2024, 2023 and 2022, other intangibles amortized to depreciation and amortization expense were $15 million, de minimis and $4 million, respectively</w:t>
      </w:r>
    </w:p>
    <w:p>
      <w:pPr>
        <w:spacing w:after="0" w:line="61" w:lineRule="exact"/>
        <w:rPr>
          <w:sz w:val="20"/>
          <w:szCs w:val="20"/>
          <w:color w:val="auto"/>
        </w:rPr>
      </w:pPr>
    </w:p>
    <w:p>
      <w:pPr>
        <w:ind w:firstLine="445"/>
        <w:spacing w:after="0" w:line="277" w:lineRule="auto"/>
        <w:rPr>
          <w:sz w:val="20"/>
          <w:szCs w:val="20"/>
          <w:color w:val="auto"/>
        </w:rPr>
      </w:pPr>
      <w:r>
        <w:rPr>
          <w:rFonts w:ascii="Arial" w:cs="Arial" w:eastAsia="Arial" w:hAnsi="Arial"/>
          <w:sz w:val="20"/>
          <w:szCs w:val="20"/>
          <w:color w:val="auto"/>
        </w:rPr>
        <w:t>The following table presents estimated amortization of NRG's intangible assets as of December 31, 2024 for each of the next five years:</w:t>
      </w:r>
    </w:p>
    <w:p>
      <w:pPr>
        <w:spacing w:after="0" w:line="33"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104"/>
              <w:spacing w:after="0"/>
              <w:rPr>
                <w:sz w:val="20"/>
                <w:szCs w:val="20"/>
                <w:color w:val="auto"/>
              </w:rPr>
            </w:pPr>
            <w:r>
              <w:rPr>
                <w:rFonts w:ascii="Arial" w:cs="Arial" w:eastAsia="Arial" w:hAnsi="Arial"/>
                <w:sz w:val="16"/>
                <w:szCs w:val="16"/>
                <w:b w:val="1"/>
                <w:bCs w:val="1"/>
                <w:color w:val="auto"/>
                <w:w w:val="87"/>
              </w:rPr>
              <w:t>Emission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67"/>
              <w:spacing w:after="0"/>
              <w:rPr>
                <w:sz w:val="20"/>
                <w:szCs w:val="20"/>
                <w:color w:val="auto"/>
              </w:rPr>
            </w:pPr>
            <w:r>
              <w:rPr>
                <w:rFonts w:ascii="Arial" w:cs="Arial" w:eastAsia="Arial" w:hAnsi="Arial"/>
                <w:sz w:val="16"/>
                <w:szCs w:val="16"/>
                <w:b w:val="1"/>
                <w:bCs w:val="1"/>
                <w:color w:val="auto"/>
                <w:w w:val="88"/>
              </w:rPr>
              <w:t>Customer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restart"/>
          </w:tcPr>
          <w:p>
            <w:pPr>
              <w:jc w:val="right"/>
              <w:ind w:right="164"/>
              <w:spacing w:after="0"/>
              <w:rPr>
                <w:sz w:val="20"/>
                <w:szCs w:val="20"/>
                <w:color w:val="auto"/>
              </w:rPr>
            </w:pPr>
            <w:r>
              <w:rPr>
                <w:rFonts w:ascii="Arial" w:cs="Arial" w:eastAsia="Arial" w:hAnsi="Arial"/>
                <w:sz w:val="16"/>
                <w:szCs w:val="16"/>
                <w:b w:val="1"/>
                <w:bCs w:val="1"/>
                <w:color w:val="auto"/>
                <w:w w:val="93"/>
              </w:rPr>
              <w:t>Customer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restart"/>
          </w:tcPr>
          <w:p>
            <w:pPr>
              <w:jc w:val="right"/>
              <w:ind w:right="147"/>
              <w:spacing w:after="0"/>
              <w:rPr>
                <w:sz w:val="20"/>
                <w:szCs w:val="20"/>
                <w:color w:val="auto"/>
              </w:rPr>
            </w:pPr>
            <w:r>
              <w:rPr>
                <w:rFonts w:ascii="Arial" w:cs="Arial" w:eastAsia="Arial" w:hAnsi="Arial"/>
                <w:sz w:val="16"/>
                <w:szCs w:val="16"/>
                <w:b w:val="1"/>
                <w:bCs w:val="1"/>
                <w:color w:val="auto"/>
              </w:rPr>
              <w:t>Marketing</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restart"/>
          </w:tcPr>
          <w:p>
            <w:pPr>
              <w:jc w:val="right"/>
              <w:ind w:right="147"/>
              <w:spacing w:after="0"/>
              <w:rPr>
                <w:sz w:val="20"/>
                <w:szCs w:val="20"/>
                <w:color w:val="auto"/>
              </w:rPr>
            </w:pPr>
            <w:r>
              <w:rPr>
                <w:rFonts w:ascii="Arial" w:cs="Arial" w:eastAsia="Arial" w:hAnsi="Arial"/>
                <w:sz w:val="16"/>
                <w:szCs w:val="16"/>
                <w:b w:val="1"/>
                <w:bCs w:val="1"/>
                <w:color w:val="auto"/>
              </w:rPr>
              <w:t>Trade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Year Ended December 31,</w:t>
            </w: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7"/>
              <w:spacing w:after="0" w:line="158" w:lineRule="exact"/>
              <w:rPr>
                <w:sz w:val="20"/>
                <w:szCs w:val="20"/>
                <w:color w:val="auto"/>
              </w:rPr>
            </w:pPr>
            <w:r>
              <w:rPr>
                <w:rFonts w:ascii="Arial" w:cs="Arial" w:eastAsia="Arial" w:hAnsi="Arial"/>
                <w:sz w:val="16"/>
                <w:szCs w:val="16"/>
                <w:b w:val="1"/>
                <w:bCs w:val="1"/>
                <w:color w:val="auto"/>
              </w:rPr>
              <w:t>and Supply</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3"/>
              </w:rPr>
              <w:t>Technology</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18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2"/>
        </w:trPr>
        <w:tc>
          <w:tcPr>
            <w:tcW w:w="2600" w:type="dxa"/>
            <w:vAlign w:val="bottom"/>
            <w:gridSpan w:val="2"/>
            <w:vMerge w:val="continue"/>
          </w:tcPr>
          <w:p>
            <w:pPr>
              <w:spacing w:after="0"/>
              <w:rPr>
                <w:sz w:val="14"/>
                <w:szCs w:val="14"/>
                <w:color w:val="auto"/>
              </w:rPr>
            </w:pPr>
          </w:p>
        </w:tc>
        <w:tc>
          <w:tcPr>
            <w:tcW w:w="1000" w:type="dxa"/>
            <w:vAlign w:val="bottom"/>
            <w:gridSpan w:val="2"/>
          </w:tcPr>
          <w:p>
            <w:pPr>
              <w:jc w:val="right"/>
              <w:ind w:right="24"/>
              <w:spacing w:after="0" w:line="171" w:lineRule="exact"/>
              <w:rPr>
                <w:sz w:val="20"/>
                <w:szCs w:val="20"/>
                <w:color w:val="auto"/>
              </w:rPr>
            </w:pPr>
            <w:r>
              <w:rPr>
                <w:rFonts w:ascii="Arial" w:cs="Arial" w:eastAsia="Arial" w:hAnsi="Arial"/>
                <w:sz w:val="16"/>
                <w:szCs w:val="16"/>
                <w:b w:val="1"/>
                <w:bCs w:val="1"/>
                <w:color w:val="auto"/>
                <w:w w:val="97"/>
              </w:rPr>
              <w:t>Allowances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67"/>
              <w:spacing w:after="0" w:line="171" w:lineRule="exact"/>
              <w:rPr>
                <w:sz w:val="20"/>
                <w:szCs w:val="20"/>
                <w:color w:val="auto"/>
              </w:rPr>
            </w:pPr>
            <w:r>
              <w:rPr>
                <w:rFonts w:ascii="Arial" w:cs="Arial" w:eastAsia="Arial" w:hAnsi="Arial"/>
                <w:sz w:val="16"/>
                <w:szCs w:val="16"/>
                <w:b w:val="1"/>
                <w:bCs w:val="1"/>
                <w:color w:val="auto"/>
                <w:w w:val="88"/>
              </w:rPr>
              <w:t>Contracts</w:t>
            </w:r>
          </w:p>
        </w:tc>
        <w:tc>
          <w:tcPr>
            <w:tcW w:w="80" w:type="dxa"/>
            <w:vAlign w:val="bottom"/>
          </w:tcPr>
          <w:p>
            <w:pPr>
              <w:spacing w:after="0"/>
              <w:rPr>
                <w:sz w:val="14"/>
                <w:szCs w:val="14"/>
                <w:color w:val="auto"/>
              </w:rPr>
            </w:pPr>
          </w:p>
        </w:tc>
        <w:tc>
          <w:tcPr>
            <w:tcW w:w="1180" w:type="dxa"/>
            <w:vAlign w:val="bottom"/>
            <w:gridSpan w:val="2"/>
          </w:tcPr>
          <w:p>
            <w:pPr>
              <w:jc w:val="right"/>
              <w:ind w:right="44"/>
              <w:spacing w:after="0" w:line="171" w:lineRule="exact"/>
              <w:rPr>
                <w:sz w:val="20"/>
                <w:szCs w:val="20"/>
                <w:color w:val="auto"/>
              </w:rPr>
            </w:pPr>
            <w:r>
              <w:rPr>
                <w:rFonts w:ascii="Arial" w:cs="Arial" w:eastAsia="Arial" w:hAnsi="Arial"/>
                <w:sz w:val="16"/>
                <w:szCs w:val="16"/>
                <w:b w:val="1"/>
                <w:bCs w:val="1"/>
                <w:color w:val="auto"/>
                <w:w w:val="97"/>
              </w:rPr>
              <w:t>Relationships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67"/>
              <w:spacing w:after="0" w:line="171" w:lineRule="exact"/>
              <w:rPr>
                <w:sz w:val="20"/>
                <w:szCs w:val="20"/>
                <w:color w:val="auto"/>
              </w:rPr>
            </w:pPr>
            <w:r>
              <w:rPr>
                <w:rFonts w:ascii="Arial" w:cs="Arial" w:eastAsia="Arial" w:hAnsi="Arial"/>
                <w:sz w:val="16"/>
                <w:szCs w:val="16"/>
                <w:b w:val="1"/>
                <w:bCs w:val="1"/>
                <w:color w:val="auto"/>
                <w:w w:val="85"/>
              </w:rPr>
              <w:t>Partnerships</w:t>
            </w: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27"/>
              <w:spacing w:after="0" w:line="171" w:lineRule="exact"/>
              <w:rPr>
                <w:sz w:val="20"/>
                <w:szCs w:val="20"/>
                <w:color w:val="auto"/>
              </w:rPr>
            </w:pPr>
            <w:r>
              <w:rPr>
                <w:rFonts w:ascii="Arial" w:cs="Arial" w:eastAsia="Arial" w:hAnsi="Arial"/>
                <w:sz w:val="16"/>
                <w:szCs w:val="16"/>
                <w:b w:val="1"/>
                <w:bCs w:val="1"/>
                <w:color w:val="auto"/>
                <w:w w:val="91"/>
              </w:rPr>
              <w:t>Names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7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1760" w:type="dxa"/>
            <w:vAlign w:val="bottom"/>
          </w:tcPr>
          <w:p>
            <w:pPr>
              <w:spacing w:after="0"/>
              <w:rPr>
                <w:sz w:val="20"/>
                <w:szCs w:val="20"/>
                <w:color w:val="auto"/>
              </w:rPr>
            </w:pPr>
            <w:r>
              <w:rPr>
                <w:rFonts w:ascii="Arial" w:cs="Arial" w:eastAsia="Arial" w:hAnsi="Arial"/>
                <w:sz w:val="20"/>
                <w:szCs w:val="20"/>
                <w:color w:val="auto"/>
                <w:w w:val="92"/>
              </w:rPr>
              <w:t xml:space="preserve">2025 </w:t>
            </w:r>
            <w:r>
              <w:rPr>
                <w:rFonts w:ascii="Arial" w:cs="Arial" w:eastAsia="Arial" w:hAnsi="Arial"/>
                <w:sz w:val="20"/>
                <w:szCs w:val="20"/>
                <w:color w:val="B4B4B4"/>
                <w:w w:val="92"/>
              </w:rPr>
              <w:t>. . . . . . . . . . . . .</w:t>
            </w:r>
          </w:p>
        </w:tc>
        <w:tc>
          <w:tcPr>
            <w:tcW w:w="840" w:type="dxa"/>
            <w:vAlign w:val="bottom"/>
          </w:tcPr>
          <w:p>
            <w:pPr>
              <w:jc w:val="right"/>
              <w:spacing w:after="0"/>
              <w:rPr>
                <w:sz w:val="20"/>
                <w:szCs w:val="20"/>
                <w:color w:val="auto"/>
              </w:rPr>
            </w:pPr>
            <w:r>
              <w:rPr>
                <w:rFonts w:ascii="Arial" w:cs="Arial" w:eastAsia="Arial" w:hAnsi="Arial"/>
                <w:sz w:val="20"/>
                <w:szCs w:val="20"/>
                <w:color w:val="B4B4B4"/>
                <w:w w:val="91"/>
              </w:rPr>
              <w:t>.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15</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50</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361</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23</w:t>
            </w:r>
          </w:p>
        </w:tc>
        <w:tc>
          <w:tcPr>
            <w:tcW w:w="4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176</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45</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670</w:t>
            </w:r>
          </w:p>
        </w:tc>
        <w:tc>
          <w:tcPr>
            <w:tcW w:w="0" w:type="dxa"/>
            <w:vAlign w:val="bottom"/>
          </w:tcPr>
          <w:p>
            <w:pPr>
              <w:spacing w:after="0"/>
              <w:rPr>
                <w:sz w:val="1"/>
                <w:szCs w:val="1"/>
                <w:color w:val="auto"/>
              </w:rPr>
            </w:pPr>
          </w:p>
        </w:tc>
      </w:tr>
      <w:tr>
        <w:trPr>
          <w:trHeight w:val="297"/>
        </w:trPr>
        <w:tc>
          <w:tcPr>
            <w:tcW w:w="1760" w:type="dxa"/>
            <w:vAlign w:val="bottom"/>
          </w:tcPr>
          <w:p>
            <w:pPr>
              <w:spacing w:after="0"/>
              <w:rPr>
                <w:sz w:val="20"/>
                <w:szCs w:val="20"/>
                <w:color w:val="auto"/>
              </w:rPr>
            </w:pPr>
            <w:r>
              <w:rPr>
                <w:rFonts w:ascii="Arial" w:cs="Arial" w:eastAsia="Arial" w:hAnsi="Arial"/>
                <w:sz w:val="20"/>
                <w:szCs w:val="20"/>
                <w:color w:val="auto"/>
                <w:w w:val="92"/>
              </w:rPr>
              <w:t xml:space="preserve">2026 </w:t>
            </w:r>
            <w:r>
              <w:rPr>
                <w:rFonts w:ascii="Arial" w:cs="Arial" w:eastAsia="Arial" w:hAnsi="Arial"/>
                <w:sz w:val="20"/>
                <w:szCs w:val="20"/>
                <w:color w:val="B4B4B4"/>
                <w:w w:val="92"/>
              </w:rPr>
              <w:t>. . . . . . . . . . . . .</w:t>
            </w:r>
          </w:p>
        </w:tc>
        <w:tc>
          <w:tcPr>
            <w:tcW w:w="840" w:type="dxa"/>
            <w:vAlign w:val="bottom"/>
          </w:tcPr>
          <w:p>
            <w:pPr>
              <w:jc w:val="right"/>
              <w:spacing w:after="0"/>
              <w:rPr>
                <w:sz w:val="20"/>
                <w:szCs w:val="20"/>
                <w:color w:val="auto"/>
              </w:rPr>
            </w:pPr>
            <w:r>
              <w:rPr>
                <w:rFonts w:ascii="Arial" w:cs="Arial" w:eastAsia="Arial" w:hAnsi="Arial"/>
                <w:sz w:val="20"/>
                <w:szCs w:val="20"/>
                <w:color w:val="B4B4B4"/>
                <w:w w:val="91"/>
              </w:rPr>
              <w:t>. . . . . . . .</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289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130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547</w:t>
            </w:r>
          </w:p>
        </w:tc>
        <w:tc>
          <w:tcPr>
            <w:tcW w:w="0" w:type="dxa"/>
            <w:vAlign w:val="bottom"/>
          </w:tcPr>
          <w:p>
            <w:pPr>
              <w:spacing w:after="0"/>
              <w:rPr>
                <w:sz w:val="1"/>
                <w:szCs w:val="1"/>
                <w:color w:val="auto"/>
              </w:rPr>
            </w:pPr>
          </w:p>
        </w:tc>
      </w:tr>
      <w:tr>
        <w:trPr>
          <w:trHeight w:val="297"/>
        </w:trPr>
        <w:tc>
          <w:tcPr>
            <w:tcW w:w="1760" w:type="dxa"/>
            <w:vAlign w:val="bottom"/>
          </w:tcPr>
          <w:p>
            <w:pPr>
              <w:spacing w:after="0"/>
              <w:rPr>
                <w:sz w:val="20"/>
                <w:szCs w:val="20"/>
                <w:color w:val="auto"/>
              </w:rPr>
            </w:pPr>
            <w:r>
              <w:rPr>
                <w:rFonts w:ascii="Arial" w:cs="Arial" w:eastAsia="Arial" w:hAnsi="Arial"/>
                <w:sz w:val="20"/>
                <w:szCs w:val="20"/>
                <w:color w:val="auto"/>
                <w:w w:val="92"/>
              </w:rPr>
              <w:t xml:space="preserve">2027 </w:t>
            </w:r>
            <w:r>
              <w:rPr>
                <w:rFonts w:ascii="Arial" w:cs="Arial" w:eastAsia="Arial" w:hAnsi="Arial"/>
                <w:sz w:val="20"/>
                <w:szCs w:val="20"/>
                <w:color w:val="B4B4B4"/>
                <w:w w:val="92"/>
              </w:rPr>
              <w:t>. . . . . . . . . . . . .</w:t>
            </w:r>
          </w:p>
        </w:tc>
        <w:tc>
          <w:tcPr>
            <w:tcW w:w="840" w:type="dxa"/>
            <w:vAlign w:val="bottom"/>
          </w:tcPr>
          <w:p>
            <w:pPr>
              <w:jc w:val="right"/>
              <w:spacing w:after="0"/>
              <w:rPr>
                <w:sz w:val="20"/>
                <w:szCs w:val="20"/>
                <w:color w:val="auto"/>
              </w:rPr>
            </w:pPr>
            <w:r>
              <w:rPr>
                <w:rFonts w:ascii="Arial" w:cs="Arial" w:eastAsia="Arial" w:hAnsi="Arial"/>
                <w:sz w:val="20"/>
                <w:szCs w:val="20"/>
                <w:color w:val="B4B4B4"/>
                <w:w w:val="91"/>
              </w:rPr>
              <w:t>. . . . . . . .</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220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89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418</w:t>
            </w:r>
          </w:p>
        </w:tc>
        <w:tc>
          <w:tcPr>
            <w:tcW w:w="0" w:type="dxa"/>
            <w:vAlign w:val="bottom"/>
          </w:tcPr>
          <w:p>
            <w:pPr>
              <w:spacing w:after="0"/>
              <w:rPr>
                <w:sz w:val="1"/>
                <w:szCs w:val="1"/>
                <w:color w:val="auto"/>
              </w:rPr>
            </w:pPr>
          </w:p>
        </w:tc>
      </w:tr>
      <w:tr>
        <w:trPr>
          <w:trHeight w:val="297"/>
        </w:trPr>
        <w:tc>
          <w:tcPr>
            <w:tcW w:w="1760" w:type="dxa"/>
            <w:vAlign w:val="bottom"/>
          </w:tcPr>
          <w:p>
            <w:pPr>
              <w:spacing w:after="0"/>
              <w:rPr>
                <w:sz w:val="20"/>
                <w:szCs w:val="20"/>
                <w:color w:val="auto"/>
              </w:rPr>
            </w:pPr>
            <w:r>
              <w:rPr>
                <w:rFonts w:ascii="Arial" w:cs="Arial" w:eastAsia="Arial" w:hAnsi="Arial"/>
                <w:sz w:val="20"/>
                <w:szCs w:val="20"/>
                <w:color w:val="auto"/>
                <w:w w:val="92"/>
              </w:rPr>
              <w:t xml:space="preserve">2028 </w:t>
            </w:r>
            <w:r>
              <w:rPr>
                <w:rFonts w:ascii="Arial" w:cs="Arial" w:eastAsia="Arial" w:hAnsi="Arial"/>
                <w:sz w:val="20"/>
                <w:szCs w:val="20"/>
                <w:color w:val="B4B4B4"/>
                <w:w w:val="92"/>
              </w:rPr>
              <w:t>. . . . . . . . . . . . .</w:t>
            </w:r>
          </w:p>
        </w:tc>
        <w:tc>
          <w:tcPr>
            <w:tcW w:w="840" w:type="dxa"/>
            <w:vAlign w:val="bottom"/>
          </w:tcPr>
          <w:p>
            <w:pPr>
              <w:jc w:val="right"/>
              <w:spacing w:after="0"/>
              <w:rPr>
                <w:sz w:val="20"/>
                <w:szCs w:val="20"/>
                <w:color w:val="auto"/>
              </w:rPr>
            </w:pPr>
            <w:r>
              <w:rPr>
                <w:rFonts w:ascii="Arial" w:cs="Arial" w:eastAsia="Arial" w:hAnsi="Arial"/>
                <w:sz w:val="20"/>
                <w:szCs w:val="20"/>
                <w:color w:val="B4B4B4"/>
                <w:w w:val="91"/>
              </w:rPr>
              <w:t>. . . . . . . .</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177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270</w:t>
            </w:r>
          </w:p>
        </w:tc>
        <w:tc>
          <w:tcPr>
            <w:tcW w:w="0" w:type="dxa"/>
            <w:vAlign w:val="bottom"/>
          </w:tcPr>
          <w:p>
            <w:pPr>
              <w:spacing w:after="0"/>
              <w:rPr>
                <w:sz w:val="1"/>
                <w:szCs w:val="1"/>
                <w:color w:val="auto"/>
              </w:rPr>
            </w:pPr>
          </w:p>
        </w:tc>
      </w:tr>
      <w:tr>
        <w:trPr>
          <w:trHeight w:val="297"/>
        </w:trPr>
        <w:tc>
          <w:tcPr>
            <w:tcW w:w="1760" w:type="dxa"/>
            <w:vAlign w:val="bottom"/>
          </w:tcPr>
          <w:p>
            <w:pPr>
              <w:spacing w:after="0"/>
              <w:rPr>
                <w:sz w:val="20"/>
                <w:szCs w:val="20"/>
                <w:color w:val="auto"/>
              </w:rPr>
            </w:pPr>
            <w:r>
              <w:rPr>
                <w:rFonts w:ascii="Arial" w:cs="Arial" w:eastAsia="Arial" w:hAnsi="Arial"/>
                <w:sz w:val="20"/>
                <w:szCs w:val="20"/>
                <w:color w:val="auto"/>
                <w:w w:val="92"/>
              </w:rPr>
              <w:t xml:space="preserve">2029 </w:t>
            </w:r>
            <w:r>
              <w:rPr>
                <w:rFonts w:ascii="Arial" w:cs="Arial" w:eastAsia="Arial" w:hAnsi="Arial"/>
                <w:sz w:val="20"/>
                <w:szCs w:val="20"/>
                <w:color w:val="B4B4B4"/>
                <w:w w:val="92"/>
              </w:rPr>
              <w:t>. . . . . . . . . . . . .</w:t>
            </w:r>
          </w:p>
        </w:tc>
        <w:tc>
          <w:tcPr>
            <w:tcW w:w="840" w:type="dxa"/>
            <w:vAlign w:val="bottom"/>
          </w:tcPr>
          <w:p>
            <w:pPr>
              <w:jc w:val="right"/>
              <w:spacing w:after="0"/>
              <w:rPr>
                <w:sz w:val="20"/>
                <w:szCs w:val="20"/>
                <w:color w:val="auto"/>
              </w:rPr>
            </w:pPr>
            <w:r>
              <w:rPr>
                <w:rFonts w:ascii="Arial" w:cs="Arial" w:eastAsia="Arial" w:hAnsi="Arial"/>
                <w:sz w:val="20"/>
                <w:szCs w:val="20"/>
                <w:color w:val="B4B4B4"/>
                <w:w w:val="91"/>
              </w:rPr>
              <w:t>. . . . . . . .</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137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-947420</wp:posOffset>
            </wp:positionV>
            <wp:extent cx="6475095" cy="9683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9">
                      <a:extLst>
                        <a:ext uri="{28A0092B-C50C-407E-A947-70E740481C1C}"/>
                      </a:extLst>
                    </a:blip>
                    <a:srcRect/>
                    <a:stretch>
                      <a:fillRect/>
                    </a:stretch>
                  </pic:blipFill>
                  <pic:spPr bwMode="auto">
                    <a:xfrm>
                      <a:off x="0" y="0"/>
                      <a:ext cx="6475095" cy="968375"/>
                    </a:xfrm>
                    <a:prstGeom prst="rect">
                      <a:avLst/>
                    </a:prstGeom>
                    <a:noFill/>
                  </pic:spPr>
                </pic:pic>
              </a:graphicData>
            </a:graphic>
          </wp:anchor>
        </w:drawing>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ectPr>
          <w:pgSz w:w="11880" w:h="15480" w:orient="portrait"/>
          <w:cols w:equalWidth="0" w:num="1">
            <w:col w:w="10160"/>
          </w:cols>
          <w:pgMar w:left="860" w:top="512" w:right="860" w:bottom="0" w:gutter="0" w:footer="0" w:header="0"/>
          <w:type w:val="continuous"/>
        </w:sectPr>
      </w:pPr>
    </w:p>
    <w:bookmarkStart w:id="130" w:name="page131"/>
    <w:bookmarkEnd w:id="130"/>
    <w:p>
      <w:pPr>
        <w:spacing w:after="0"/>
        <w:rPr>
          <w:sz w:val="20"/>
          <w:szCs w:val="20"/>
          <w:color w:val="auto"/>
        </w:rPr>
      </w:pPr>
      <w:r>
        <w:rPr>
          <w:rFonts w:ascii="Arial" w:cs="Arial" w:eastAsia="Arial" w:hAnsi="Arial"/>
          <w:sz w:val="20"/>
          <w:szCs w:val="20"/>
          <w:b w:val="1"/>
          <w:bCs w:val="1"/>
          <w:color w:val="auto"/>
        </w:rPr>
        <w:t xml:space="preserve">Note 12 — </w:t>
      </w:r>
      <w:r>
        <w:rPr>
          <w:rFonts w:ascii="Arial" w:cs="Arial" w:eastAsia="Arial" w:hAnsi="Arial"/>
          <w:sz w:val="20"/>
          <w:szCs w:val="20"/>
          <w:b w:val="1"/>
          <w:bCs w:val="1"/>
          <w:i w:val="1"/>
          <w:iCs w:val="1"/>
          <w:color w:val="auto"/>
        </w:rPr>
        <w:t>Long-term Debt and Finance Leases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Long-term debt and finance leases consisted of the following:</w:t>
      </w: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6"/>
                <w:szCs w:val="16"/>
                <w:b w:val="1"/>
                <w:bCs w:val="1"/>
                <w:color w:val="auto"/>
              </w:rPr>
              <w:t>As of December 31,</w:t>
            </w: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980" w:type="dxa"/>
            <w:vAlign w:val="bottom"/>
          </w:tcPr>
          <w:p>
            <w:pPr>
              <w:spacing w:after="0"/>
              <w:rPr>
                <w:sz w:val="20"/>
                <w:szCs w:val="20"/>
                <w:color w:val="auto"/>
              </w:rPr>
            </w:pPr>
            <w:r>
              <w:rPr>
                <w:rFonts w:ascii="Arial" w:cs="Arial" w:eastAsia="Arial" w:hAnsi="Arial"/>
                <w:sz w:val="16"/>
                <w:szCs w:val="16"/>
                <w:b w:val="1"/>
                <w:bCs w:val="1"/>
                <w:color w:val="auto"/>
              </w:rPr>
              <w:t>(In millions, except rates)</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Interest rate %</w:t>
            </w:r>
          </w:p>
        </w:tc>
        <w:tc>
          <w:tcPr>
            <w:tcW w:w="0" w:type="dxa"/>
            <w:vAlign w:val="bottom"/>
          </w:tcPr>
          <w:p>
            <w:pPr>
              <w:spacing w:after="0"/>
              <w:rPr>
                <w:sz w:val="1"/>
                <w:szCs w:val="1"/>
                <w:color w:val="auto"/>
              </w:rPr>
            </w:pPr>
          </w:p>
        </w:tc>
      </w:tr>
      <w:tr>
        <w:trPr>
          <w:trHeight w:val="260"/>
        </w:trPr>
        <w:tc>
          <w:tcPr>
            <w:tcW w:w="5980" w:type="dxa"/>
            <w:vAlign w:val="bottom"/>
          </w:tcPr>
          <w:p>
            <w:pPr>
              <w:spacing w:after="0"/>
              <w:rPr>
                <w:sz w:val="20"/>
                <w:szCs w:val="20"/>
                <w:color w:val="auto"/>
              </w:rPr>
            </w:pPr>
            <w:r>
              <w:rPr>
                <w:rFonts w:ascii="Arial" w:cs="Arial" w:eastAsia="Arial" w:hAnsi="Arial"/>
                <w:sz w:val="20"/>
                <w:szCs w:val="20"/>
                <w:b w:val="1"/>
                <w:bCs w:val="1"/>
                <w:color w:val="auto"/>
              </w:rPr>
              <w:t>Recourse debt:</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980" w:type="dxa"/>
            <w:vAlign w:val="bottom"/>
          </w:tcPr>
          <w:p>
            <w:pPr>
              <w:jc w:val="right"/>
              <w:spacing w:after="0"/>
              <w:rPr>
                <w:sz w:val="20"/>
                <w:szCs w:val="20"/>
                <w:color w:val="auto"/>
              </w:rPr>
            </w:pPr>
            <w:r>
              <w:rPr>
                <w:rFonts w:ascii="Arial" w:cs="Arial" w:eastAsia="Arial" w:hAnsi="Arial"/>
                <w:sz w:val="20"/>
                <w:szCs w:val="20"/>
                <w:color w:val="auto"/>
                <w:w w:val="90"/>
              </w:rPr>
              <w:t xml:space="preserve">Senior Notes, due 2027  </w:t>
            </w:r>
            <w:r>
              <w:rPr>
                <w:rFonts w:ascii="Arial" w:cs="Arial" w:eastAsia="Arial" w:hAnsi="Arial"/>
                <w:sz w:val="20"/>
                <w:szCs w:val="20"/>
                <w:color w:val="B4B4B4"/>
                <w:w w:val="90"/>
              </w:rPr>
              <w:t>. . . . . . . . . . . . . . . . . . . . . . . . . . . . . . . . . . . . . . .</w:t>
            </w: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375</w:t>
            </w:r>
          </w:p>
        </w:tc>
        <w:tc>
          <w:tcPr>
            <w:tcW w:w="1660" w:type="dxa"/>
            <w:vAlign w:val="bottom"/>
            <w:gridSpan w:val="2"/>
          </w:tcPr>
          <w:p>
            <w:pPr>
              <w:jc w:val="center"/>
              <w:ind w:left="1"/>
              <w:spacing w:after="0"/>
              <w:rPr>
                <w:sz w:val="20"/>
                <w:szCs w:val="20"/>
                <w:color w:val="auto"/>
              </w:rPr>
            </w:pPr>
            <w:r>
              <w:rPr>
                <w:rFonts w:ascii="Arial" w:cs="Arial" w:eastAsia="Arial" w:hAnsi="Arial"/>
                <w:sz w:val="20"/>
                <w:szCs w:val="20"/>
                <w:color w:val="auto"/>
                <w:w w:val="87"/>
              </w:rPr>
              <w:t>6.625</w:t>
            </w:r>
          </w:p>
        </w:tc>
        <w:tc>
          <w:tcPr>
            <w:tcW w:w="0" w:type="dxa"/>
            <w:vAlign w:val="bottom"/>
          </w:tcPr>
          <w:p>
            <w:pPr>
              <w:spacing w:after="0"/>
              <w:rPr>
                <w:sz w:val="1"/>
                <w:szCs w:val="1"/>
                <w:color w:val="auto"/>
              </w:rPr>
            </w:pPr>
          </w:p>
        </w:tc>
      </w:tr>
      <w:tr>
        <w:trPr>
          <w:trHeight w:val="297"/>
        </w:trPr>
        <w:tc>
          <w:tcPr>
            <w:tcW w:w="5980" w:type="dxa"/>
            <w:vAlign w:val="bottom"/>
          </w:tcPr>
          <w:p>
            <w:pPr>
              <w:jc w:val="right"/>
              <w:spacing w:after="0"/>
              <w:rPr>
                <w:sz w:val="20"/>
                <w:szCs w:val="20"/>
                <w:color w:val="auto"/>
              </w:rPr>
            </w:pPr>
            <w:r>
              <w:rPr>
                <w:rFonts w:ascii="Arial" w:cs="Arial" w:eastAsia="Arial" w:hAnsi="Arial"/>
                <w:sz w:val="20"/>
                <w:szCs w:val="20"/>
                <w:color w:val="auto"/>
                <w:w w:val="90"/>
              </w:rPr>
              <w:t xml:space="preserve">Senior Notes, due 2028  </w:t>
            </w:r>
            <w:r>
              <w:rPr>
                <w:rFonts w:ascii="Arial" w:cs="Arial" w:eastAsia="Arial" w:hAnsi="Arial"/>
                <w:sz w:val="20"/>
                <w:szCs w:val="20"/>
                <w:color w:val="B4B4B4"/>
                <w:w w:val="90"/>
              </w:rPr>
              <w:t>. . . . . . . . . . . . . . . . . . . . . . . . . . . . . . . . . . . . . .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821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821</w:t>
            </w:r>
          </w:p>
        </w:tc>
        <w:tc>
          <w:tcPr>
            <w:tcW w:w="1660" w:type="dxa"/>
            <w:vAlign w:val="bottom"/>
            <w:gridSpan w:val="2"/>
          </w:tcPr>
          <w:p>
            <w:pPr>
              <w:jc w:val="center"/>
              <w:ind w:left="1"/>
              <w:spacing w:after="0"/>
              <w:rPr>
                <w:sz w:val="20"/>
                <w:szCs w:val="20"/>
                <w:color w:val="auto"/>
              </w:rPr>
            </w:pPr>
            <w:r>
              <w:rPr>
                <w:rFonts w:ascii="Arial" w:cs="Arial" w:eastAsia="Arial" w:hAnsi="Arial"/>
                <w:sz w:val="20"/>
                <w:szCs w:val="20"/>
                <w:color w:val="auto"/>
                <w:w w:val="87"/>
              </w:rPr>
              <w:t>5.750</w:t>
            </w:r>
          </w:p>
        </w:tc>
        <w:tc>
          <w:tcPr>
            <w:tcW w:w="0" w:type="dxa"/>
            <w:vAlign w:val="bottom"/>
          </w:tcPr>
          <w:p>
            <w:pPr>
              <w:spacing w:after="0"/>
              <w:rPr>
                <w:sz w:val="1"/>
                <w:szCs w:val="1"/>
                <w:color w:val="auto"/>
              </w:rPr>
            </w:pPr>
          </w:p>
        </w:tc>
      </w:tr>
      <w:tr>
        <w:trPr>
          <w:trHeight w:val="297"/>
        </w:trPr>
        <w:tc>
          <w:tcPr>
            <w:tcW w:w="5980" w:type="dxa"/>
            <w:vAlign w:val="bottom"/>
          </w:tcPr>
          <w:p>
            <w:pPr>
              <w:jc w:val="right"/>
              <w:spacing w:after="0"/>
              <w:rPr>
                <w:sz w:val="20"/>
                <w:szCs w:val="20"/>
                <w:color w:val="auto"/>
              </w:rPr>
            </w:pPr>
            <w:r>
              <w:rPr>
                <w:rFonts w:ascii="Arial" w:cs="Arial" w:eastAsia="Arial" w:hAnsi="Arial"/>
                <w:sz w:val="20"/>
                <w:szCs w:val="20"/>
                <w:color w:val="auto"/>
                <w:w w:val="90"/>
              </w:rPr>
              <w:t xml:space="preserve">Senior Notes, due 2029  </w:t>
            </w:r>
            <w:r>
              <w:rPr>
                <w:rFonts w:ascii="Arial" w:cs="Arial" w:eastAsia="Arial" w:hAnsi="Arial"/>
                <w:sz w:val="20"/>
                <w:szCs w:val="20"/>
                <w:color w:val="B4B4B4"/>
                <w:w w:val="90"/>
              </w:rPr>
              <w:t>. . . . . . . . . . . . . . . . . . . . . . . . . . . . . . . . . . . . . .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733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733</w:t>
            </w:r>
          </w:p>
        </w:tc>
        <w:tc>
          <w:tcPr>
            <w:tcW w:w="1660" w:type="dxa"/>
            <w:vAlign w:val="bottom"/>
            <w:gridSpan w:val="2"/>
          </w:tcPr>
          <w:p>
            <w:pPr>
              <w:jc w:val="center"/>
              <w:ind w:left="1"/>
              <w:spacing w:after="0"/>
              <w:rPr>
                <w:sz w:val="20"/>
                <w:szCs w:val="20"/>
                <w:color w:val="auto"/>
              </w:rPr>
            </w:pPr>
            <w:r>
              <w:rPr>
                <w:rFonts w:ascii="Arial" w:cs="Arial" w:eastAsia="Arial" w:hAnsi="Arial"/>
                <w:sz w:val="20"/>
                <w:szCs w:val="20"/>
                <w:color w:val="auto"/>
                <w:w w:val="87"/>
              </w:rPr>
              <w:t>5.250</w:t>
            </w:r>
          </w:p>
        </w:tc>
        <w:tc>
          <w:tcPr>
            <w:tcW w:w="0" w:type="dxa"/>
            <w:vAlign w:val="bottom"/>
          </w:tcPr>
          <w:p>
            <w:pPr>
              <w:spacing w:after="0"/>
              <w:rPr>
                <w:sz w:val="1"/>
                <w:szCs w:val="1"/>
                <w:color w:val="auto"/>
              </w:rPr>
            </w:pPr>
          </w:p>
        </w:tc>
      </w:tr>
      <w:tr>
        <w:trPr>
          <w:trHeight w:val="297"/>
        </w:trPr>
        <w:tc>
          <w:tcPr>
            <w:tcW w:w="5980" w:type="dxa"/>
            <w:vAlign w:val="bottom"/>
          </w:tcPr>
          <w:p>
            <w:pPr>
              <w:jc w:val="right"/>
              <w:spacing w:after="0"/>
              <w:rPr>
                <w:sz w:val="20"/>
                <w:szCs w:val="20"/>
                <w:color w:val="auto"/>
              </w:rPr>
            </w:pPr>
            <w:r>
              <w:rPr>
                <w:rFonts w:ascii="Arial" w:cs="Arial" w:eastAsia="Arial" w:hAnsi="Arial"/>
                <w:sz w:val="20"/>
                <w:szCs w:val="20"/>
                <w:color w:val="auto"/>
                <w:w w:val="90"/>
              </w:rPr>
              <w:t xml:space="preserve">Senior Notes, due 2029  </w:t>
            </w:r>
            <w:r>
              <w:rPr>
                <w:rFonts w:ascii="Arial" w:cs="Arial" w:eastAsia="Arial" w:hAnsi="Arial"/>
                <w:sz w:val="20"/>
                <w:szCs w:val="20"/>
                <w:color w:val="B4B4B4"/>
                <w:w w:val="90"/>
              </w:rPr>
              <w:t>. . . . . . . . . . . . . . . . . . . . . . . . . . . . . . . . . . . . . .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500</w:t>
            </w:r>
          </w:p>
        </w:tc>
        <w:tc>
          <w:tcPr>
            <w:tcW w:w="1660" w:type="dxa"/>
            <w:vAlign w:val="bottom"/>
            <w:gridSpan w:val="2"/>
          </w:tcPr>
          <w:p>
            <w:pPr>
              <w:jc w:val="center"/>
              <w:ind w:left="1"/>
              <w:spacing w:after="0"/>
              <w:rPr>
                <w:sz w:val="20"/>
                <w:szCs w:val="20"/>
                <w:color w:val="auto"/>
              </w:rPr>
            </w:pPr>
            <w:r>
              <w:rPr>
                <w:rFonts w:ascii="Arial" w:cs="Arial" w:eastAsia="Arial" w:hAnsi="Arial"/>
                <w:sz w:val="20"/>
                <w:szCs w:val="20"/>
                <w:color w:val="auto"/>
                <w:w w:val="87"/>
              </w:rPr>
              <w:t>3.375</w:t>
            </w:r>
          </w:p>
        </w:tc>
        <w:tc>
          <w:tcPr>
            <w:tcW w:w="0" w:type="dxa"/>
            <w:vAlign w:val="bottom"/>
          </w:tcPr>
          <w:p>
            <w:pPr>
              <w:spacing w:after="0"/>
              <w:rPr>
                <w:sz w:val="1"/>
                <w:szCs w:val="1"/>
                <w:color w:val="auto"/>
              </w:rPr>
            </w:pPr>
          </w:p>
        </w:tc>
      </w:tr>
      <w:tr>
        <w:trPr>
          <w:trHeight w:val="297"/>
        </w:trPr>
        <w:tc>
          <w:tcPr>
            <w:tcW w:w="5980" w:type="dxa"/>
            <w:vAlign w:val="bottom"/>
          </w:tcPr>
          <w:p>
            <w:pPr>
              <w:jc w:val="right"/>
              <w:spacing w:after="0"/>
              <w:rPr>
                <w:sz w:val="20"/>
                <w:szCs w:val="20"/>
                <w:color w:val="auto"/>
              </w:rPr>
            </w:pPr>
            <w:r>
              <w:rPr>
                <w:rFonts w:ascii="Arial" w:cs="Arial" w:eastAsia="Arial" w:hAnsi="Arial"/>
                <w:sz w:val="20"/>
                <w:szCs w:val="20"/>
                <w:color w:val="auto"/>
                <w:w w:val="90"/>
              </w:rPr>
              <w:t xml:space="preserve">Senior Notes, due 2029  </w:t>
            </w:r>
            <w:r>
              <w:rPr>
                <w:rFonts w:ascii="Arial" w:cs="Arial" w:eastAsia="Arial" w:hAnsi="Arial"/>
                <w:sz w:val="20"/>
                <w:szCs w:val="20"/>
                <w:color w:val="B4B4B4"/>
                <w:w w:val="90"/>
              </w:rPr>
              <w:t>. . . . . . . . . . . . . . . . . . . . . . . . . . . . . . . . . . . . . .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798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gridSpan w:val="2"/>
          </w:tcPr>
          <w:p>
            <w:pPr>
              <w:jc w:val="center"/>
              <w:ind w:left="1"/>
              <w:spacing w:after="0"/>
              <w:rPr>
                <w:sz w:val="20"/>
                <w:szCs w:val="20"/>
                <w:color w:val="auto"/>
              </w:rPr>
            </w:pPr>
            <w:r>
              <w:rPr>
                <w:rFonts w:ascii="Arial" w:cs="Arial" w:eastAsia="Arial" w:hAnsi="Arial"/>
                <w:sz w:val="20"/>
                <w:szCs w:val="20"/>
                <w:color w:val="auto"/>
                <w:w w:val="87"/>
              </w:rPr>
              <w:t>5.750</w:t>
            </w:r>
          </w:p>
        </w:tc>
        <w:tc>
          <w:tcPr>
            <w:tcW w:w="0" w:type="dxa"/>
            <w:vAlign w:val="bottom"/>
          </w:tcPr>
          <w:p>
            <w:pPr>
              <w:spacing w:after="0"/>
              <w:rPr>
                <w:sz w:val="1"/>
                <w:szCs w:val="1"/>
                <w:color w:val="auto"/>
              </w:rPr>
            </w:pPr>
          </w:p>
        </w:tc>
      </w:tr>
      <w:tr>
        <w:trPr>
          <w:trHeight w:val="297"/>
        </w:trPr>
        <w:tc>
          <w:tcPr>
            <w:tcW w:w="5980" w:type="dxa"/>
            <w:vAlign w:val="bottom"/>
          </w:tcPr>
          <w:p>
            <w:pPr>
              <w:jc w:val="right"/>
              <w:spacing w:after="0"/>
              <w:rPr>
                <w:sz w:val="20"/>
                <w:szCs w:val="20"/>
                <w:color w:val="auto"/>
              </w:rPr>
            </w:pPr>
            <w:r>
              <w:rPr>
                <w:rFonts w:ascii="Arial" w:cs="Arial" w:eastAsia="Arial" w:hAnsi="Arial"/>
                <w:sz w:val="20"/>
                <w:szCs w:val="20"/>
                <w:color w:val="auto"/>
                <w:w w:val="90"/>
              </w:rPr>
              <w:t xml:space="preserve">Senior Notes, due 2031  </w:t>
            </w:r>
            <w:r>
              <w:rPr>
                <w:rFonts w:ascii="Arial" w:cs="Arial" w:eastAsia="Arial" w:hAnsi="Arial"/>
                <w:sz w:val="20"/>
                <w:szCs w:val="20"/>
                <w:color w:val="B4B4B4"/>
                <w:w w:val="90"/>
              </w:rPr>
              <w:t>. . . . . . . . . . . . . . . . . . . . . . . . . . . . . . . . . . . . . .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1,030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1,030</w:t>
            </w:r>
          </w:p>
        </w:tc>
        <w:tc>
          <w:tcPr>
            <w:tcW w:w="1660" w:type="dxa"/>
            <w:vAlign w:val="bottom"/>
            <w:gridSpan w:val="2"/>
          </w:tcPr>
          <w:p>
            <w:pPr>
              <w:jc w:val="center"/>
              <w:ind w:left="1"/>
              <w:spacing w:after="0"/>
              <w:rPr>
                <w:sz w:val="20"/>
                <w:szCs w:val="20"/>
                <w:color w:val="auto"/>
              </w:rPr>
            </w:pPr>
            <w:r>
              <w:rPr>
                <w:rFonts w:ascii="Arial" w:cs="Arial" w:eastAsia="Arial" w:hAnsi="Arial"/>
                <w:sz w:val="20"/>
                <w:szCs w:val="20"/>
                <w:color w:val="auto"/>
                <w:w w:val="87"/>
              </w:rPr>
              <w:t>3.625</w:t>
            </w:r>
          </w:p>
        </w:tc>
        <w:tc>
          <w:tcPr>
            <w:tcW w:w="0" w:type="dxa"/>
            <w:vAlign w:val="bottom"/>
          </w:tcPr>
          <w:p>
            <w:pPr>
              <w:spacing w:after="0"/>
              <w:rPr>
                <w:sz w:val="1"/>
                <w:szCs w:val="1"/>
                <w:color w:val="auto"/>
              </w:rPr>
            </w:pPr>
          </w:p>
        </w:tc>
      </w:tr>
      <w:tr>
        <w:trPr>
          <w:trHeight w:val="297"/>
        </w:trPr>
        <w:tc>
          <w:tcPr>
            <w:tcW w:w="5980" w:type="dxa"/>
            <w:vAlign w:val="bottom"/>
          </w:tcPr>
          <w:p>
            <w:pPr>
              <w:jc w:val="right"/>
              <w:spacing w:after="0"/>
              <w:rPr>
                <w:sz w:val="20"/>
                <w:szCs w:val="20"/>
                <w:color w:val="auto"/>
              </w:rPr>
            </w:pPr>
            <w:r>
              <w:rPr>
                <w:rFonts w:ascii="Arial" w:cs="Arial" w:eastAsia="Arial" w:hAnsi="Arial"/>
                <w:sz w:val="20"/>
                <w:szCs w:val="20"/>
                <w:color w:val="auto"/>
                <w:w w:val="90"/>
              </w:rPr>
              <w:t xml:space="preserve">Senior Notes, due 2032  </w:t>
            </w:r>
            <w:r>
              <w:rPr>
                <w:rFonts w:ascii="Arial" w:cs="Arial" w:eastAsia="Arial" w:hAnsi="Arial"/>
                <w:sz w:val="20"/>
                <w:szCs w:val="20"/>
                <w:color w:val="B4B4B4"/>
                <w:w w:val="90"/>
              </w:rPr>
              <w:t>. . . . . . . . . . . . . . . . . . . . . . . . . . . . . . . . . . . . . .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480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480</w:t>
            </w:r>
          </w:p>
        </w:tc>
        <w:tc>
          <w:tcPr>
            <w:tcW w:w="1660" w:type="dxa"/>
            <w:vAlign w:val="bottom"/>
            <w:gridSpan w:val="2"/>
          </w:tcPr>
          <w:p>
            <w:pPr>
              <w:jc w:val="center"/>
              <w:ind w:left="1"/>
              <w:spacing w:after="0"/>
              <w:rPr>
                <w:sz w:val="20"/>
                <w:szCs w:val="20"/>
                <w:color w:val="auto"/>
              </w:rPr>
            </w:pPr>
            <w:r>
              <w:rPr>
                <w:rFonts w:ascii="Arial" w:cs="Arial" w:eastAsia="Arial" w:hAnsi="Arial"/>
                <w:sz w:val="20"/>
                <w:szCs w:val="20"/>
                <w:color w:val="auto"/>
                <w:w w:val="87"/>
              </w:rPr>
              <w:t>3.875</w:t>
            </w:r>
          </w:p>
        </w:tc>
        <w:tc>
          <w:tcPr>
            <w:tcW w:w="0" w:type="dxa"/>
            <w:vAlign w:val="bottom"/>
          </w:tcPr>
          <w:p>
            <w:pPr>
              <w:spacing w:after="0"/>
              <w:rPr>
                <w:sz w:val="1"/>
                <w:szCs w:val="1"/>
                <w:color w:val="auto"/>
              </w:rPr>
            </w:pPr>
          </w:p>
        </w:tc>
      </w:tr>
      <w:tr>
        <w:trPr>
          <w:trHeight w:val="297"/>
        </w:trPr>
        <w:tc>
          <w:tcPr>
            <w:tcW w:w="5980" w:type="dxa"/>
            <w:vAlign w:val="bottom"/>
          </w:tcPr>
          <w:p>
            <w:pPr>
              <w:jc w:val="right"/>
              <w:spacing w:after="0"/>
              <w:rPr>
                <w:sz w:val="20"/>
                <w:szCs w:val="20"/>
                <w:color w:val="auto"/>
              </w:rPr>
            </w:pPr>
            <w:r>
              <w:rPr>
                <w:rFonts w:ascii="Arial" w:cs="Arial" w:eastAsia="Arial" w:hAnsi="Arial"/>
                <w:sz w:val="20"/>
                <w:szCs w:val="20"/>
                <w:color w:val="auto"/>
                <w:w w:val="90"/>
              </w:rPr>
              <w:t xml:space="preserve">Senior Notes, due 2033  </w:t>
            </w:r>
            <w:r>
              <w:rPr>
                <w:rFonts w:ascii="Arial" w:cs="Arial" w:eastAsia="Arial" w:hAnsi="Arial"/>
                <w:sz w:val="20"/>
                <w:szCs w:val="20"/>
                <w:color w:val="B4B4B4"/>
                <w:w w:val="90"/>
              </w:rPr>
              <w:t>. . . . . . . . . . . . . . . . . . . . . . . . . . . . . . . . . . . . . .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gridSpan w:val="2"/>
          </w:tcPr>
          <w:p>
            <w:pPr>
              <w:jc w:val="center"/>
              <w:ind w:left="1"/>
              <w:spacing w:after="0"/>
              <w:rPr>
                <w:sz w:val="20"/>
                <w:szCs w:val="20"/>
                <w:color w:val="auto"/>
              </w:rPr>
            </w:pPr>
            <w:r>
              <w:rPr>
                <w:rFonts w:ascii="Arial" w:cs="Arial" w:eastAsia="Arial" w:hAnsi="Arial"/>
                <w:sz w:val="20"/>
                <w:szCs w:val="20"/>
                <w:color w:val="auto"/>
                <w:w w:val="87"/>
              </w:rPr>
              <w:t>6.000</w:t>
            </w:r>
          </w:p>
        </w:tc>
        <w:tc>
          <w:tcPr>
            <w:tcW w:w="0" w:type="dxa"/>
            <w:vAlign w:val="bottom"/>
          </w:tcPr>
          <w:p>
            <w:pPr>
              <w:spacing w:after="0"/>
              <w:rPr>
                <w:sz w:val="1"/>
                <w:szCs w:val="1"/>
                <w:color w:val="auto"/>
              </w:rPr>
            </w:pPr>
          </w:p>
        </w:tc>
      </w:tr>
      <w:tr>
        <w:trPr>
          <w:trHeight w:val="297"/>
        </w:trPr>
        <w:tc>
          <w:tcPr>
            <w:tcW w:w="5980" w:type="dxa"/>
            <w:vAlign w:val="bottom"/>
          </w:tcPr>
          <w:p>
            <w:pPr>
              <w:jc w:val="right"/>
              <w:spacing w:after="0"/>
              <w:rPr>
                <w:sz w:val="20"/>
                <w:szCs w:val="20"/>
                <w:color w:val="auto"/>
              </w:rPr>
            </w:pPr>
            <w:r>
              <w:rPr>
                <w:rFonts w:ascii="Arial" w:cs="Arial" w:eastAsia="Arial" w:hAnsi="Arial"/>
                <w:sz w:val="20"/>
                <w:szCs w:val="20"/>
                <w:color w:val="auto"/>
                <w:w w:val="90"/>
              </w:rPr>
              <w:t xml:space="preserve">Senior Notes, due 2034  </w:t>
            </w:r>
            <w:r>
              <w:rPr>
                <w:rFonts w:ascii="Arial" w:cs="Arial" w:eastAsia="Arial" w:hAnsi="Arial"/>
                <w:sz w:val="20"/>
                <w:szCs w:val="20"/>
                <w:color w:val="B4B4B4"/>
                <w:w w:val="90"/>
              </w:rPr>
              <w:t>. . . . . . . . . . . . . . . . . . . . . . . . . . . . . . . . . . . . . .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950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gridSpan w:val="2"/>
          </w:tcPr>
          <w:p>
            <w:pPr>
              <w:jc w:val="center"/>
              <w:ind w:left="1"/>
              <w:spacing w:after="0"/>
              <w:rPr>
                <w:sz w:val="20"/>
                <w:szCs w:val="20"/>
                <w:color w:val="auto"/>
              </w:rPr>
            </w:pPr>
            <w:r>
              <w:rPr>
                <w:rFonts w:ascii="Arial" w:cs="Arial" w:eastAsia="Arial" w:hAnsi="Arial"/>
                <w:sz w:val="20"/>
                <w:szCs w:val="20"/>
                <w:color w:val="auto"/>
                <w:w w:val="87"/>
              </w:rPr>
              <w:t>6.250</w:t>
            </w:r>
          </w:p>
        </w:tc>
        <w:tc>
          <w:tcPr>
            <w:tcW w:w="0" w:type="dxa"/>
            <w:vAlign w:val="bottom"/>
          </w:tcPr>
          <w:p>
            <w:pPr>
              <w:spacing w:after="0"/>
              <w:rPr>
                <w:sz w:val="1"/>
                <w:szCs w:val="1"/>
                <w:color w:val="auto"/>
              </w:rPr>
            </w:pPr>
          </w:p>
        </w:tc>
      </w:tr>
      <w:tr>
        <w:trPr>
          <w:trHeight w:val="336"/>
        </w:trPr>
        <w:tc>
          <w:tcPr>
            <w:tcW w:w="5980" w:type="dxa"/>
            <w:vAlign w:val="bottom"/>
          </w:tcPr>
          <w:p>
            <w:pPr>
              <w:jc w:val="right"/>
              <w:spacing w:after="0"/>
              <w:rPr>
                <w:sz w:val="20"/>
                <w:szCs w:val="20"/>
                <w:color w:val="auto"/>
              </w:rPr>
            </w:pPr>
            <w:r>
              <w:rPr>
                <w:rFonts w:ascii="Arial" w:cs="Arial" w:eastAsia="Arial" w:hAnsi="Arial"/>
                <w:sz w:val="20"/>
                <w:szCs w:val="20"/>
                <w:color w:val="auto"/>
                <w:w w:val="90"/>
              </w:rPr>
              <w:t>Convertible Senior Notes, due 2048</w:t>
            </w:r>
            <w:r>
              <w:rPr>
                <w:rFonts w:ascii="Arial" w:cs="Arial" w:eastAsia="Arial" w:hAnsi="Arial"/>
                <w:sz w:val="25"/>
                <w:szCs w:val="25"/>
                <w:color w:val="auto"/>
                <w:w w:val="90"/>
                <w:vertAlign w:val="superscript"/>
              </w:rPr>
              <w:t>(a)</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232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575</w:t>
            </w:r>
          </w:p>
        </w:tc>
        <w:tc>
          <w:tcPr>
            <w:tcW w:w="1660" w:type="dxa"/>
            <w:vAlign w:val="bottom"/>
            <w:gridSpan w:val="2"/>
          </w:tcPr>
          <w:p>
            <w:pPr>
              <w:jc w:val="center"/>
              <w:ind w:left="1"/>
              <w:spacing w:after="0"/>
              <w:rPr>
                <w:sz w:val="20"/>
                <w:szCs w:val="20"/>
                <w:color w:val="auto"/>
              </w:rPr>
            </w:pPr>
            <w:r>
              <w:rPr>
                <w:rFonts w:ascii="Arial" w:cs="Arial" w:eastAsia="Arial" w:hAnsi="Arial"/>
                <w:sz w:val="20"/>
                <w:szCs w:val="20"/>
                <w:color w:val="auto"/>
                <w:w w:val="87"/>
              </w:rPr>
              <w:t>2.750</w:t>
            </w:r>
          </w:p>
        </w:tc>
        <w:tc>
          <w:tcPr>
            <w:tcW w:w="0" w:type="dxa"/>
            <w:vAlign w:val="bottom"/>
          </w:tcPr>
          <w:p>
            <w:pPr>
              <w:spacing w:after="0"/>
              <w:rPr>
                <w:sz w:val="1"/>
                <w:szCs w:val="1"/>
                <w:color w:val="auto"/>
              </w:rPr>
            </w:pPr>
          </w:p>
        </w:tc>
      </w:tr>
      <w:tr>
        <w:trPr>
          <w:trHeight w:val="258"/>
        </w:trPr>
        <w:tc>
          <w:tcPr>
            <w:tcW w:w="5980" w:type="dxa"/>
            <w:vAlign w:val="bottom"/>
          </w:tcPr>
          <w:p>
            <w:pPr>
              <w:jc w:val="right"/>
              <w:spacing w:after="0"/>
              <w:rPr>
                <w:sz w:val="20"/>
                <w:szCs w:val="20"/>
                <w:color w:val="auto"/>
              </w:rPr>
            </w:pPr>
            <w:r>
              <w:rPr>
                <w:rFonts w:ascii="Arial" w:cs="Arial" w:eastAsia="Arial" w:hAnsi="Arial"/>
                <w:sz w:val="20"/>
                <w:szCs w:val="20"/>
                <w:color w:val="auto"/>
                <w:w w:val="91"/>
              </w:rPr>
              <w:t xml:space="preserve">Senior Secured First Lien Notes, due 2024 </w:t>
            </w:r>
            <w:r>
              <w:rPr>
                <w:rFonts w:ascii="Arial" w:cs="Arial" w:eastAsia="Arial" w:hAnsi="Arial"/>
                <w:sz w:val="20"/>
                <w:szCs w:val="20"/>
                <w:color w:val="B4B4B4"/>
                <w:w w:val="91"/>
              </w:rPr>
              <w:t>. . . . . . . . . . . . . . . . . . . . . . . .</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600</w:t>
            </w:r>
          </w:p>
        </w:tc>
        <w:tc>
          <w:tcPr>
            <w:tcW w:w="1660" w:type="dxa"/>
            <w:vAlign w:val="bottom"/>
            <w:gridSpan w:val="2"/>
          </w:tcPr>
          <w:p>
            <w:pPr>
              <w:jc w:val="center"/>
              <w:ind w:left="1"/>
              <w:spacing w:after="0"/>
              <w:rPr>
                <w:sz w:val="20"/>
                <w:szCs w:val="20"/>
                <w:color w:val="auto"/>
              </w:rPr>
            </w:pPr>
            <w:r>
              <w:rPr>
                <w:rFonts w:ascii="Arial" w:cs="Arial" w:eastAsia="Arial" w:hAnsi="Arial"/>
                <w:sz w:val="20"/>
                <w:szCs w:val="20"/>
                <w:color w:val="auto"/>
                <w:w w:val="87"/>
              </w:rPr>
              <w:t>3.750</w:t>
            </w:r>
          </w:p>
        </w:tc>
        <w:tc>
          <w:tcPr>
            <w:tcW w:w="0" w:type="dxa"/>
            <w:vAlign w:val="bottom"/>
          </w:tcPr>
          <w:p>
            <w:pPr>
              <w:spacing w:after="0"/>
              <w:rPr>
                <w:sz w:val="1"/>
                <w:szCs w:val="1"/>
                <w:color w:val="auto"/>
              </w:rPr>
            </w:pPr>
          </w:p>
        </w:tc>
      </w:tr>
      <w:tr>
        <w:trPr>
          <w:trHeight w:val="297"/>
        </w:trPr>
        <w:tc>
          <w:tcPr>
            <w:tcW w:w="5980" w:type="dxa"/>
            <w:vAlign w:val="bottom"/>
          </w:tcPr>
          <w:p>
            <w:pPr>
              <w:jc w:val="right"/>
              <w:spacing w:after="0"/>
              <w:rPr>
                <w:sz w:val="20"/>
                <w:szCs w:val="20"/>
                <w:color w:val="auto"/>
              </w:rPr>
            </w:pPr>
            <w:r>
              <w:rPr>
                <w:rFonts w:ascii="Arial" w:cs="Arial" w:eastAsia="Arial" w:hAnsi="Arial"/>
                <w:sz w:val="20"/>
                <w:szCs w:val="20"/>
                <w:color w:val="auto"/>
                <w:w w:val="91"/>
              </w:rPr>
              <w:t xml:space="preserve">Senior Secured First Lien Notes, due 2025 </w:t>
            </w:r>
            <w:r>
              <w:rPr>
                <w:rFonts w:ascii="Arial" w:cs="Arial" w:eastAsia="Arial" w:hAnsi="Arial"/>
                <w:sz w:val="20"/>
                <w:szCs w:val="20"/>
                <w:color w:val="B4B4B4"/>
                <w:w w:val="91"/>
              </w:rPr>
              <w:t>. . . . . . . . . . . . . . . . . . . . . . .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500</w:t>
            </w:r>
          </w:p>
        </w:tc>
        <w:tc>
          <w:tcPr>
            <w:tcW w:w="1660" w:type="dxa"/>
            <w:vAlign w:val="bottom"/>
            <w:gridSpan w:val="2"/>
          </w:tcPr>
          <w:p>
            <w:pPr>
              <w:jc w:val="center"/>
              <w:ind w:left="1"/>
              <w:spacing w:after="0"/>
              <w:rPr>
                <w:sz w:val="20"/>
                <w:szCs w:val="20"/>
                <w:color w:val="auto"/>
              </w:rPr>
            </w:pPr>
            <w:r>
              <w:rPr>
                <w:rFonts w:ascii="Arial" w:cs="Arial" w:eastAsia="Arial" w:hAnsi="Arial"/>
                <w:sz w:val="20"/>
                <w:szCs w:val="20"/>
                <w:color w:val="auto"/>
                <w:w w:val="87"/>
              </w:rPr>
              <w:t>2.000</w:t>
            </w:r>
          </w:p>
        </w:tc>
        <w:tc>
          <w:tcPr>
            <w:tcW w:w="0" w:type="dxa"/>
            <w:vAlign w:val="bottom"/>
          </w:tcPr>
          <w:p>
            <w:pPr>
              <w:spacing w:after="0"/>
              <w:rPr>
                <w:sz w:val="1"/>
                <w:szCs w:val="1"/>
                <w:color w:val="auto"/>
              </w:rPr>
            </w:pPr>
          </w:p>
        </w:tc>
      </w:tr>
      <w:tr>
        <w:trPr>
          <w:trHeight w:val="297"/>
        </w:trPr>
        <w:tc>
          <w:tcPr>
            <w:tcW w:w="5980" w:type="dxa"/>
            <w:vAlign w:val="bottom"/>
          </w:tcPr>
          <w:p>
            <w:pPr>
              <w:jc w:val="right"/>
              <w:spacing w:after="0"/>
              <w:rPr>
                <w:sz w:val="20"/>
                <w:szCs w:val="20"/>
                <w:color w:val="auto"/>
              </w:rPr>
            </w:pPr>
            <w:r>
              <w:rPr>
                <w:rFonts w:ascii="Arial" w:cs="Arial" w:eastAsia="Arial" w:hAnsi="Arial"/>
                <w:sz w:val="20"/>
                <w:szCs w:val="20"/>
                <w:color w:val="auto"/>
                <w:w w:val="91"/>
              </w:rPr>
              <w:t xml:space="preserve">Senior Secured First Lien Notes, due 2027 </w:t>
            </w:r>
            <w:r>
              <w:rPr>
                <w:rFonts w:ascii="Arial" w:cs="Arial" w:eastAsia="Arial" w:hAnsi="Arial"/>
                <w:sz w:val="20"/>
                <w:szCs w:val="20"/>
                <w:color w:val="B4B4B4"/>
                <w:w w:val="91"/>
              </w:rPr>
              <w:t>. . . . . . . . . . . . . . . . . . . . . . .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900</w:t>
            </w:r>
          </w:p>
        </w:tc>
        <w:tc>
          <w:tcPr>
            <w:tcW w:w="1660" w:type="dxa"/>
            <w:vAlign w:val="bottom"/>
            <w:gridSpan w:val="2"/>
          </w:tcPr>
          <w:p>
            <w:pPr>
              <w:jc w:val="center"/>
              <w:ind w:left="1"/>
              <w:spacing w:after="0"/>
              <w:rPr>
                <w:sz w:val="20"/>
                <w:szCs w:val="20"/>
                <w:color w:val="auto"/>
              </w:rPr>
            </w:pPr>
            <w:r>
              <w:rPr>
                <w:rFonts w:ascii="Arial" w:cs="Arial" w:eastAsia="Arial" w:hAnsi="Arial"/>
                <w:sz w:val="20"/>
                <w:szCs w:val="20"/>
                <w:color w:val="auto"/>
                <w:w w:val="87"/>
              </w:rPr>
              <w:t>2.450</w:t>
            </w:r>
          </w:p>
        </w:tc>
        <w:tc>
          <w:tcPr>
            <w:tcW w:w="0" w:type="dxa"/>
            <w:vAlign w:val="bottom"/>
          </w:tcPr>
          <w:p>
            <w:pPr>
              <w:spacing w:after="0"/>
              <w:rPr>
                <w:sz w:val="1"/>
                <w:szCs w:val="1"/>
                <w:color w:val="auto"/>
              </w:rPr>
            </w:pPr>
          </w:p>
        </w:tc>
      </w:tr>
      <w:tr>
        <w:trPr>
          <w:trHeight w:val="297"/>
        </w:trPr>
        <w:tc>
          <w:tcPr>
            <w:tcW w:w="5980" w:type="dxa"/>
            <w:vAlign w:val="bottom"/>
          </w:tcPr>
          <w:p>
            <w:pPr>
              <w:jc w:val="right"/>
              <w:spacing w:after="0"/>
              <w:rPr>
                <w:sz w:val="20"/>
                <w:szCs w:val="20"/>
                <w:color w:val="auto"/>
              </w:rPr>
            </w:pPr>
            <w:r>
              <w:rPr>
                <w:rFonts w:ascii="Arial" w:cs="Arial" w:eastAsia="Arial" w:hAnsi="Arial"/>
                <w:sz w:val="20"/>
                <w:szCs w:val="20"/>
                <w:color w:val="auto"/>
                <w:w w:val="91"/>
              </w:rPr>
              <w:t xml:space="preserve">Senior Secured First Lien Notes, due 2029 </w:t>
            </w:r>
            <w:r>
              <w:rPr>
                <w:rFonts w:ascii="Arial" w:cs="Arial" w:eastAsia="Arial" w:hAnsi="Arial"/>
                <w:sz w:val="20"/>
                <w:szCs w:val="20"/>
                <w:color w:val="B4B4B4"/>
                <w:w w:val="91"/>
              </w:rPr>
              <w:t>. . . . . . . . . . . . . . . . . . . . . . .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500</w:t>
            </w:r>
          </w:p>
        </w:tc>
        <w:tc>
          <w:tcPr>
            <w:tcW w:w="1660" w:type="dxa"/>
            <w:vAlign w:val="bottom"/>
            <w:gridSpan w:val="2"/>
          </w:tcPr>
          <w:p>
            <w:pPr>
              <w:jc w:val="center"/>
              <w:ind w:left="1"/>
              <w:spacing w:after="0"/>
              <w:rPr>
                <w:sz w:val="20"/>
                <w:szCs w:val="20"/>
                <w:color w:val="auto"/>
              </w:rPr>
            </w:pPr>
            <w:r>
              <w:rPr>
                <w:rFonts w:ascii="Arial" w:cs="Arial" w:eastAsia="Arial" w:hAnsi="Arial"/>
                <w:sz w:val="20"/>
                <w:szCs w:val="20"/>
                <w:color w:val="auto"/>
                <w:w w:val="87"/>
              </w:rPr>
              <w:t>4.450</w:t>
            </w:r>
          </w:p>
        </w:tc>
        <w:tc>
          <w:tcPr>
            <w:tcW w:w="0" w:type="dxa"/>
            <w:vAlign w:val="bottom"/>
          </w:tcPr>
          <w:p>
            <w:pPr>
              <w:spacing w:after="0"/>
              <w:rPr>
                <w:sz w:val="1"/>
                <w:szCs w:val="1"/>
                <w:color w:val="auto"/>
              </w:rPr>
            </w:pPr>
          </w:p>
        </w:tc>
      </w:tr>
      <w:tr>
        <w:trPr>
          <w:trHeight w:val="297"/>
        </w:trPr>
        <w:tc>
          <w:tcPr>
            <w:tcW w:w="5980" w:type="dxa"/>
            <w:vAlign w:val="bottom"/>
          </w:tcPr>
          <w:p>
            <w:pPr>
              <w:jc w:val="right"/>
              <w:spacing w:after="0"/>
              <w:rPr>
                <w:sz w:val="20"/>
                <w:szCs w:val="20"/>
                <w:color w:val="auto"/>
              </w:rPr>
            </w:pPr>
            <w:r>
              <w:rPr>
                <w:rFonts w:ascii="Arial" w:cs="Arial" w:eastAsia="Arial" w:hAnsi="Arial"/>
                <w:sz w:val="20"/>
                <w:szCs w:val="20"/>
                <w:color w:val="auto"/>
                <w:w w:val="91"/>
              </w:rPr>
              <w:t xml:space="preserve">Senior Secured First Lien Notes, due 2033 </w:t>
            </w:r>
            <w:r>
              <w:rPr>
                <w:rFonts w:ascii="Arial" w:cs="Arial" w:eastAsia="Arial" w:hAnsi="Arial"/>
                <w:sz w:val="20"/>
                <w:szCs w:val="20"/>
                <w:color w:val="B4B4B4"/>
                <w:w w:val="91"/>
              </w:rPr>
              <w:t>. . . . . . . . . . . . . . . . . . . . . . .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740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740</w:t>
            </w:r>
          </w:p>
        </w:tc>
        <w:tc>
          <w:tcPr>
            <w:tcW w:w="1660" w:type="dxa"/>
            <w:vAlign w:val="bottom"/>
            <w:gridSpan w:val="2"/>
          </w:tcPr>
          <w:p>
            <w:pPr>
              <w:jc w:val="center"/>
              <w:ind w:left="1"/>
              <w:spacing w:after="0"/>
              <w:rPr>
                <w:sz w:val="20"/>
                <w:szCs w:val="20"/>
                <w:color w:val="auto"/>
              </w:rPr>
            </w:pPr>
            <w:r>
              <w:rPr>
                <w:rFonts w:ascii="Arial" w:cs="Arial" w:eastAsia="Arial" w:hAnsi="Arial"/>
                <w:sz w:val="20"/>
                <w:szCs w:val="20"/>
                <w:color w:val="auto"/>
                <w:w w:val="87"/>
              </w:rPr>
              <w:t>7.000</w:t>
            </w:r>
          </w:p>
        </w:tc>
        <w:tc>
          <w:tcPr>
            <w:tcW w:w="0" w:type="dxa"/>
            <w:vAlign w:val="bottom"/>
          </w:tcPr>
          <w:p>
            <w:pPr>
              <w:spacing w:after="0"/>
              <w:rPr>
                <w:sz w:val="1"/>
                <w:szCs w:val="1"/>
                <w:color w:val="auto"/>
              </w:rPr>
            </w:pPr>
          </w:p>
        </w:tc>
      </w:tr>
      <w:tr>
        <w:trPr>
          <w:trHeight w:val="297"/>
        </w:trPr>
        <w:tc>
          <w:tcPr>
            <w:tcW w:w="5980" w:type="dxa"/>
            <w:vAlign w:val="bottom"/>
          </w:tcPr>
          <w:p>
            <w:pPr>
              <w:jc w:val="right"/>
              <w:spacing w:after="0"/>
              <w:rPr>
                <w:sz w:val="20"/>
                <w:szCs w:val="20"/>
                <w:color w:val="auto"/>
              </w:rPr>
            </w:pPr>
            <w:r>
              <w:rPr>
                <w:rFonts w:ascii="Arial" w:cs="Arial" w:eastAsia="Arial" w:hAnsi="Arial"/>
                <w:sz w:val="20"/>
                <w:szCs w:val="20"/>
                <w:color w:val="auto"/>
                <w:w w:val="91"/>
              </w:rPr>
              <w:t xml:space="preserve">Term Loan B, due 2031 </w:t>
            </w:r>
            <w:r>
              <w:rPr>
                <w:rFonts w:ascii="Arial" w:cs="Arial" w:eastAsia="Arial" w:hAnsi="Arial"/>
                <w:sz w:val="20"/>
                <w:szCs w:val="20"/>
                <w:color w:val="B4B4B4"/>
                <w:w w:val="91"/>
              </w:rPr>
              <w:t>. . . . . . . . . . . . . . . . . . . . . . . . . . . . . . . . . . . . . .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1,317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0"/>
              </w:rPr>
              <w:t>SOFR + 1.750</w:t>
            </w:r>
          </w:p>
        </w:tc>
        <w:tc>
          <w:tcPr>
            <w:tcW w:w="0" w:type="dxa"/>
            <w:vAlign w:val="bottom"/>
          </w:tcPr>
          <w:p>
            <w:pPr>
              <w:spacing w:after="0"/>
              <w:rPr>
                <w:sz w:val="1"/>
                <w:szCs w:val="1"/>
                <w:color w:val="auto"/>
              </w:rPr>
            </w:pPr>
          </w:p>
        </w:tc>
      </w:tr>
      <w:tr>
        <w:trPr>
          <w:trHeight w:val="299"/>
        </w:trPr>
        <w:tc>
          <w:tcPr>
            <w:tcW w:w="5980" w:type="dxa"/>
            <w:vAlign w:val="bottom"/>
          </w:tcPr>
          <w:p>
            <w:pPr>
              <w:jc w:val="right"/>
              <w:spacing w:after="0"/>
              <w:rPr>
                <w:sz w:val="20"/>
                <w:szCs w:val="20"/>
                <w:color w:val="auto"/>
              </w:rPr>
            </w:pPr>
            <w:r>
              <w:rPr>
                <w:rFonts w:ascii="Arial" w:cs="Arial" w:eastAsia="Arial" w:hAnsi="Arial"/>
                <w:sz w:val="20"/>
                <w:szCs w:val="20"/>
                <w:color w:val="auto"/>
                <w:w w:val="91"/>
              </w:rPr>
              <w:t xml:space="preserve">Tax-exempt bonds </w:t>
            </w:r>
            <w:r>
              <w:rPr>
                <w:rFonts w:ascii="Arial" w:cs="Arial" w:eastAsia="Arial" w:hAnsi="Arial"/>
                <w:sz w:val="20"/>
                <w:szCs w:val="20"/>
                <w:color w:val="B4B4B4"/>
                <w:w w:val="91"/>
              </w:rPr>
              <w:t>. . . . . . . . . . . . . . . . . . . . . . . . . . . . . . . . . . . . . . . . . . .</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466</w:t>
            </w:r>
          </w:p>
        </w:tc>
        <w:tc>
          <w:tcPr>
            <w:tcW w:w="1660" w:type="dxa"/>
            <w:vAlign w:val="bottom"/>
            <w:gridSpan w:val="2"/>
          </w:tcPr>
          <w:p>
            <w:pPr>
              <w:jc w:val="center"/>
              <w:spacing w:after="0"/>
              <w:rPr>
                <w:sz w:val="20"/>
                <w:szCs w:val="20"/>
                <w:color w:val="auto"/>
              </w:rPr>
            </w:pPr>
            <w:r>
              <w:rPr>
                <w:rFonts w:ascii="Arial" w:cs="Arial" w:eastAsia="Arial" w:hAnsi="Arial"/>
                <w:sz w:val="20"/>
                <w:szCs w:val="20"/>
                <w:color w:val="auto"/>
                <w:w w:val="89"/>
              </w:rPr>
              <w:t>1.250 - 4.750</w:t>
            </w:r>
          </w:p>
        </w:tc>
        <w:tc>
          <w:tcPr>
            <w:tcW w:w="0" w:type="dxa"/>
            <w:vAlign w:val="bottom"/>
          </w:tcPr>
          <w:p>
            <w:pPr>
              <w:spacing w:after="0"/>
              <w:rPr>
                <w:sz w:val="1"/>
                <w:szCs w:val="1"/>
                <w:color w:val="auto"/>
              </w:rPr>
            </w:pPr>
          </w:p>
        </w:tc>
      </w:tr>
      <w:tr>
        <w:trPr>
          <w:trHeight w:val="277"/>
        </w:trPr>
        <w:tc>
          <w:tcPr>
            <w:tcW w:w="5980" w:type="dxa"/>
            <w:vAlign w:val="bottom"/>
          </w:tcPr>
          <w:p>
            <w:pPr>
              <w:jc w:val="right"/>
              <w:spacing w:after="0"/>
              <w:rPr>
                <w:sz w:val="20"/>
                <w:szCs w:val="20"/>
                <w:color w:val="auto"/>
              </w:rPr>
            </w:pPr>
            <w:r>
              <w:rPr>
                <w:rFonts w:ascii="Arial" w:cs="Arial" w:eastAsia="Arial" w:hAnsi="Arial"/>
                <w:sz w:val="20"/>
                <w:szCs w:val="20"/>
                <w:color w:val="auto"/>
              </w:rPr>
              <w:t xml:space="preserve">Subtotal recourse debt  </w:t>
            </w:r>
            <w:r>
              <w:rPr>
                <w:rFonts w:ascii="Arial" w:cs="Arial" w:eastAsia="Arial" w:hAnsi="Arial"/>
                <w:sz w:val="20"/>
                <w:szCs w:val="20"/>
                <w:color w:val="B4B4B4"/>
              </w:rPr>
              <w:t>. . . . . . . . . . . . . . . . . . . . . . . . . . . . . . . . . .</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10,892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8,220</w:t>
            </w: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980" w:type="dxa"/>
            <w:vAlign w:val="bottom"/>
          </w:tcPr>
          <w:p>
            <w:pPr>
              <w:spacing w:after="0"/>
              <w:rPr>
                <w:sz w:val="20"/>
                <w:szCs w:val="20"/>
                <w:color w:val="auto"/>
              </w:rPr>
            </w:pPr>
            <w:r>
              <w:rPr>
                <w:rFonts w:ascii="Arial" w:cs="Arial" w:eastAsia="Arial" w:hAnsi="Arial"/>
                <w:sz w:val="20"/>
                <w:szCs w:val="20"/>
                <w:b w:val="1"/>
                <w:bCs w:val="1"/>
                <w:color w:val="auto"/>
              </w:rPr>
              <w:t>Non-recourse debt:</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980" w:type="dxa"/>
            <w:vAlign w:val="bottom"/>
          </w:tcPr>
          <w:p>
            <w:pPr>
              <w:jc w:val="right"/>
              <w:spacing w:after="0"/>
              <w:rPr>
                <w:sz w:val="20"/>
                <w:szCs w:val="20"/>
                <w:color w:val="auto"/>
              </w:rPr>
            </w:pPr>
            <w:r>
              <w:rPr>
                <w:rFonts w:ascii="Arial" w:cs="Arial" w:eastAsia="Arial" w:hAnsi="Arial"/>
                <w:sz w:val="20"/>
                <w:szCs w:val="20"/>
                <w:color w:val="auto"/>
                <w:w w:val="92"/>
              </w:rPr>
              <w:t xml:space="preserve">Vivint Senior Notes, due 2029 </w:t>
            </w:r>
            <w:r>
              <w:rPr>
                <w:rFonts w:ascii="Arial" w:cs="Arial" w:eastAsia="Arial" w:hAnsi="Arial"/>
                <w:sz w:val="20"/>
                <w:szCs w:val="20"/>
                <w:color w:val="B4B4B4"/>
                <w:w w:val="92"/>
              </w:rPr>
              <w:t>. . . . . . . . . . . . . . . . . . . . . . . . . . . . . . . . .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800</w:t>
            </w:r>
          </w:p>
        </w:tc>
        <w:tc>
          <w:tcPr>
            <w:tcW w:w="1660" w:type="dxa"/>
            <w:vAlign w:val="bottom"/>
            <w:gridSpan w:val="2"/>
          </w:tcPr>
          <w:p>
            <w:pPr>
              <w:jc w:val="center"/>
              <w:ind w:left="1"/>
              <w:spacing w:after="0"/>
              <w:rPr>
                <w:sz w:val="20"/>
                <w:szCs w:val="20"/>
                <w:color w:val="auto"/>
              </w:rPr>
            </w:pPr>
            <w:r>
              <w:rPr>
                <w:rFonts w:ascii="Arial" w:cs="Arial" w:eastAsia="Arial" w:hAnsi="Arial"/>
                <w:sz w:val="20"/>
                <w:szCs w:val="20"/>
                <w:color w:val="auto"/>
                <w:w w:val="87"/>
              </w:rPr>
              <w:t>5.750</w:t>
            </w:r>
          </w:p>
        </w:tc>
        <w:tc>
          <w:tcPr>
            <w:tcW w:w="0" w:type="dxa"/>
            <w:vAlign w:val="bottom"/>
          </w:tcPr>
          <w:p>
            <w:pPr>
              <w:spacing w:after="0"/>
              <w:rPr>
                <w:sz w:val="1"/>
                <w:szCs w:val="1"/>
                <w:color w:val="auto"/>
              </w:rPr>
            </w:pPr>
          </w:p>
        </w:tc>
      </w:tr>
      <w:tr>
        <w:trPr>
          <w:trHeight w:val="297"/>
        </w:trPr>
        <w:tc>
          <w:tcPr>
            <w:tcW w:w="5980" w:type="dxa"/>
            <w:vAlign w:val="bottom"/>
          </w:tcPr>
          <w:p>
            <w:pPr>
              <w:jc w:val="right"/>
              <w:spacing w:after="0"/>
              <w:rPr>
                <w:sz w:val="20"/>
                <w:szCs w:val="20"/>
                <w:color w:val="auto"/>
              </w:rPr>
            </w:pPr>
            <w:r>
              <w:rPr>
                <w:rFonts w:ascii="Arial" w:cs="Arial" w:eastAsia="Arial" w:hAnsi="Arial"/>
                <w:sz w:val="20"/>
                <w:szCs w:val="20"/>
                <w:color w:val="auto"/>
                <w:w w:val="91"/>
              </w:rPr>
              <w:t xml:space="preserve">Vivint Senior Secured Notes, due 2027 </w:t>
            </w:r>
            <w:r>
              <w:rPr>
                <w:rFonts w:ascii="Arial" w:cs="Arial" w:eastAsia="Arial" w:hAnsi="Arial"/>
                <w:sz w:val="20"/>
                <w:szCs w:val="20"/>
                <w:color w:val="B4B4B4"/>
                <w:w w:val="91"/>
              </w:rPr>
              <w:t>. . . . . . . . . . . . . . . . . . . . . . . . . .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600</w:t>
            </w:r>
          </w:p>
        </w:tc>
        <w:tc>
          <w:tcPr>
            <w:tcW w:w="1660" w:type="dxa"/>
            <w:vAlign w:val="bottom"/>
            <w:gridSpan w:val="2"/>
          </w:tcPr>
          <w:p>
            <w:pPr>
              <w:jc w:val="center"/>
              <w:ind w:left="1"/>
              <w:spacing w:after="0"/>
              <w:rPr>
                <w:sz w:val="20"/>
                <w:szCs w:val="20"/>
                <w:color w:val="auto"/>
              </w:rPr>
            </w:pPr>
            <w:r>
              <w:rPr>
                <w:rFonts w:ascii="Arial" w:cs="Arial" w:eastAsia="Arial" w:hAnsi="Arial"/>
                <w:sz w:val="20"/>
                <w:szCs w:val="20"/>
                <w:color w:val="auto"/>
                <w:w w:val="87"/>
              </w:rPr>
              <w:t>6.750</w:t>
            </w:r>
          </w:p>
        </w:tc>
        <w:tc>
          <w:tcPr>
            <w:tcW w:w="0" w:type="dxa"/>
            <w:vAlign w:val="bottom"/>
          </w:tcPr>
          <w:p>
            <w:pPr>
              <w:spacing w:after="0"/>
              <w:rPr>
                <w:sz w:val="1"/>
                <w:szCs w:val="1"/>
                <w:color w:val="auto"/>
              </w:rPr>
            </w:pPr>
          </w:p>
        </w:tc>
      </w:tr>
      <w:tr>
        <w:trPr>
          <w:trHeight w:val="299"/>
        </w:trPr>
        <w:tc>
          <w:tcPr>
            <w:tcW w:w="5980" w:type="dxa"/>
            <w:vAlign w:val="bottom"/>
          </w:tcPr>
          <w:p>
            <w:pPr>
              <w:jc w:val="right"/>
              <w:spacing w:after="0"/>
              <w:rPr>
                <w:sz w:val="20"/>
                <w:szCs w:val="20"/>
                <w:color w:val="auto"/>
              </w:rPr>
            </w:pPr>
            <w:r>
              <w:rPr>
                <w:rFonts w:ascii="Arial" w:cs="Arial" w:eastAsia="Arial" w:hAnsi="Arial"/>
                <w:sz w:val="20"/>
                <w:szCs w:val="20"/>
                <w:color w:val="auto"/>
                <w:w w:val="91"/>
              </w:rPr>
              <w:t xml:space="preserve">Vivint Senior Secured Term Loan, due 2028 </w:t>
            </w:r>
            <w:r>
              <w:rPr>
                <w:rFonts w:ascii="Arial" w:cs="Arial" w:eastAsia="Arial" w:hAnsi="Arial"/>
                <w:sz w:val="20"/>
                <w:szCs w:val="20"/>
                <w:color w:val="B4B4B4"/>
                <w:w w:val="91"/>
              </w:rPr>
              <w:t>. . . . . . . . . . . . . . . . . . . . . . .</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1,320</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0"/>
              </w:rPr>
              <w:t>SOFR + 3.510</w:t>
            </w:r>
          </w:p>
        </w:tc>
        <w:tc>
          <w:tcPr>
            <w:tcW w:w="0" w:type="dxa"/>
            <w:vAlign w:val="bottom"/>
          </w:tcPr>
          <w:p>
            <w:pPr>
              <w:spacing w:after="0"/>
              <w:rPr>
                <w:sz w:val="1"/>
                <w:szCs w:val="1"/>
                <w:color w:val="auto"/>
              </w:rPr>
            </w:pPr>
          </w:p>
        </w:tc>
      </w:tr>
      <w:tr>
        <w:trPr>
          <w:trHeight w:val="277"/>
        </w:trPr>
        <w:tc>
          <w:tcPr>
            <w:tcW w:w="5980" w:type="dxa"/>
            <w:vAlign w:val="bottom"/>
          </w:tcPr>
          <w:p>
            <w:pPr>
              <w:jc w:val="right"/>
              <w:spacing w:after="0"/>
              <w:rPr>
                <w:sz w:val="20"/>
                <w:szCs w:val="20"/>
                <w:color w:val="auto"/>
              </w:rPr>
            </w:pPr>
            <w:r>
              <w:rPr>
                <w:rFonts w:ascii="Arial" w:cs="Arial" w:eastAsia="Arial" w:hAnsi="Arial"/>
                <w:sz w:val="20"/>
                <w:szCs w:val="20"/>
                <w:color w:val="auto"/>
              </w:rPr>
              <w:t xml:space="preserve">Subtotal all Vivint non-recourse debt </w:t>
            </w:r>
            <w:r>
              <w:rPr>
                <w:rFonts w:ascii="Arial" w:cs="Arial" w:eastAsia="Arial" w:hAnsi="Arial"/>
                <w:sz w:val="20"/>
                <w:szCs w:val="20"/>
                <w:color w:val="B4B4B4"/>
              </w:rPr>
              <w:t>. . . . . . . . . . . . . . . . . . . . . . .</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2,720</w:t>
            </w: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980" w:type="dxa"/>
            <w:vAlign w:val="bottom"/>
          </w:tcPr>
          <w:p>
            <w:pPr>
              <w:jc w:val="right"/>
              <w:spacing w:after="0"/>
              <w:rPr>
                <w:sz w:val="20"/>
                <w:szCs w:val="20"/>
                <w:color w:val="auto"/>
              </w:rPr>
            </w:pPr>
            <w:r>
              <w:rPr>
                <w:rFonts w:ascii="Arial" w:cs="Arial" w:eastAsia="Arial" w:hAnsi="Arial"/>
                <w:sz w:val="20"/>
                <w:szCs w:val="20"/>
                <w:color w:val="auto"/>
              </w:rPr>
              <w:t xml:space="preserve">Subtotal long-term debt (including current maturities) </w:t>
            </w:r>
            <w:r>
              <w:rPr>
                <w:rFonts w:ascii="Arial" w:cs="Arial" w:eastAsia="Arial" w:hAnsi="Arial"/>
                <w:sz w:val="20"/>
                <w:szCs w:val="20"/>
                <w:color w:val="B4B4B4"/>
              </w:rPr>
              <w:t>. . . . . . .</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10,892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10,940</w:t>
            </w: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980" w:type="dxa"/>
            <w:vAlign w:val="bottom"/>
          </w:tcPr>
          <w:p>
            <w:pPr>
              <w:jc w:val="right"/>
              <w:spacing w:after="0"/>
              <w:rPr>
                <w:sz w:val="20"/>
                <w:szCs w:val="20"/>
                <w:color w:val="auto"/>
              </w:rPr>
            </w:pPr>
            <w:r>
              <w:rPr>
                <w:rFonts w:ascii="Arial" w:cs="Arial" w:eastAsia="Arial" w:hAnsi="Arial"/>
                <w:sz w:val="20"/>
                <w:szCs w:val="20"/>
                <w:b w:val="1"/>
                <w:bCs w:val="1"/>
                <w:color w:val="auto"/>
                <w:w w:val="88"/>
              </w:rPr>
              <w:t xml:space="preserve">Finance leases </w:t>
            </w:r>
            <w:r>
              <w:rPr>
                <w:rFonts w:ascii="Arial" w:cs="Arial" w:eastAsia="Arial" w:hAnsi="Arial"/>
                <w:sz w:val="20"/>
                <w:szCs w:val="20"/>
                <w:b w:val="1"/>
                <w:bCs w:val="1"/>
                <w:color w:val="B4B4B4"/>
                <w:w w:val="88"/>
              </w:rPr>
              <w:t>. . . . . . . . . . . . . . . . . . . . . . . . . . . . . . . . . . . . . . . . . . . . . . .</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9"/>
              </w:rPr>
              <w:t>various</w:t>
            </w:r>
          </w:p>
        </w:tc>
        <w:tc>
          <w:tcPr>
            <w:tcW w:w="0" w:type="dxa"/>
            <w:vAlign w:val="bottom"/>
          </w:tcPr>
          <w:p>
            <w:pPr>
              <w:spacing w:after="0"/>
              <w:rPr>
                <w:sz w:val="1"/>
                <w:szCs w:val="1"/>
                <w:color w:val="auto"/>
              </w:rPr>
            </w:pPr>
          </w:p>
        </w:tc>
      </w:tr>
      <w:tr>
        <w:trPr>
          <w:trHeight w:val="210"/>
        </w:trPr>
        <w:tc>
          <w:tcPr>
            <w:tcW w:w="5980" w:type="dxa"/>
            <w:vAlign w:val="bottom"/>
          </w:tcPr>
          <w:p>
            <w:pPr>
              <w:jc w:val="right"/>
              <w:ind w:right="342"/>
              <w:spacing w:after="0" w:line="209" w:lineRule="exact"/>
              <w:rPr>
                <w:sz w:val="20"/>
                <w:szCs w:val="20"/>
                <w:color w:val="auto"/>
              </w:rPr>
            </w:pPr>
            <w:r>
              <w:rPr>
                <w:rFonts w:ascii="Arial" w:cs="Arial" w:eastAsia="Arial" w:hAnsi="Arial"/>
                <w:sz w:val="20"/>
                <w:szCs w:val="20"/>
                <w:color w:val="auto"/>
              </w:rPr>
              <w:t>Subtotal long-term debt and finance leases (including current</w:t>
            </w:r>
          </w:p>
        </w:tc>
        <w:tc>
          <w:tcPr>
            <w:tcW w:w="3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10,906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10,959</w:t>
            </w: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980" w:type="dxa"/>
            <w:vAlign w:val="bottom"/>
          </w:tcPr>
          <w:p>
            <w:pPr>
              <w:jc w:val="right"/>
              <w:spacing w:after="0"/>
              <w:rPr>
                <w:sz w:val="20"/>
                <w:szCs w:val="20"/>
                <w:color w:val="auto"/>
              </w:rPr>
            </w:pPr>
            <w:r>
              <w:rPr>
                <w:rFonts w:ascii="Arial" w:cs="Arial" w:eastAsia="Arial" w:hAnsi="Arial"/>
                <w:sz w:val="20"/>
                <w:szCs w:val="20"/>
                <w:color w:val="auto"/>
              </w:rPr>
              <w:t xml:space="preserve">maturities) </w:t>
            </w:r>
            <w:r>
              <w:rPr>
                <w:rFonts w:ascii="Arial" w:cs="Arial" w:eastAsia="Arial" w:hAnsi="Arial"/>
                <w:sz w:val="20"/>
                <w:szCs w:val="20"/>
                <w:color w:val="B4B4B4"/>
              </w:rPr>
              <w:t>. . . . . . . . . . . . . . . . . . . . . . . . . . . . . . . . . . . . . . . . . . . .</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980" w:type="dxa"/>
            <w:vAlign w:val="bottom"/>
          </w:tcPr>
          <w:p>
            <w:pPr>
              <w:jc w:val="right"/>
              <w:spacing w:after="0"/>
              <w:rPr>
                <w:sz w:val="20"/>
                <w:szCs w:val="20"/>
                <w:color w:val="auto"/>
              </w:rPr>
            </w:pPr>
            <w:r>
              <w:rPr>
                <w:rFonts w:ascii="Arial" w:cs="Arial" w:eastAsia="Arial" w:hAnsi="Arial"/>
                <w:sz w:val="20"/>
                <w:szCs w:val="20"/>
                <w:color w:val="auto"/>
              </w:rPr>
              <w:t xml:space="preserve">Less current maturities </w:t>
            </w:r>
            <w:r>
              <w:rPr>
                <w:rFonts w:ascii="Arial" w:cs="Arial" w:eastAsia="Arial" w:hAnsi="Arial"/>
                <w:sz w:val="20"/>
                <w:szCs w:val="20"/>
                <w:color w:val="B4B4B4"/>
              </w:rPr>
              <w:t>. . . . . . . . . . . . . . . . . . . . . . . . . . . . . . . . . .</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(996)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(620)</w:t>
            </w:r>
          </w:p>
        </w:tc>
        <w:tc>
          <w:tcPr>
            <w:tcW w:w="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980" w:type="dxa"/>
            <w:vAlign w:val="bottom"/>
          </w:tcPr>
          <w:p>
            <w:pPr>
              <w:jc w:val="right"/>
              <w:spacing w:after="0"/>
              <w:rPr>
                <w:sz w:val="20"/>
                <w:szCs w:val="20"/>
                <w:color w:val="auto"/>
              </w:rPr>
            </w:pPr>
            <w:r>
              <w:rPr>
                <w:rFonts w:ascii="Arial" w:cs="Arial" w:eastAsia="Arial" w:hAnsi="Arial"/>
                <w:sz w:val="20"/>
                <w:szCs w:val="20"/>
                <w:color w:val="auto"/>
                <w:w w:val="99"/>
              </w:rPr>
              <w:t xml:space="preserve">Less debt issuance costs </w:t>
            </w:r>
            <w:r>
              <w:rPr>
                <w:rFonts w:ascii="Arial" w:cs="Arial" w:eastAsia="Arial" w:hAnsi="Arial"/>
                <w:sz w:val="20"/>
                <w:szCs w:val="20"/>
                <w:color w:val="B4B4B4"/>
                <w:w w:val="99"/>
              </w:rPr>
              <w:t>. . . . . . . . . . . . . . . . . . . . . . . . . . . . . . . .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(60)</w:t>
            </w: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980" w:type="dxa"/>
            <w:vAlign w:val="bottom"/>
          </w:tcPr>
          <w:p>
            <w:pPr>
              <w:jc w:val="right"/>
              <w:spacing w:after="0"/>
              <w:rPr>
                <w:sz w:val="20"/>
                <w:szCs w:val="20"/>
                <w:color w:val="auto"/>
              </w:rPr>
            </w:pPr>
            <w:r>
              <w:rPr>
                <w:rFonts w:ascii="Arial" w:cs="Arial" w:eastAsia="Arial" w:hAnsi="Arial"/>
                <w:sz w:val="20"/>
                <w:szCs w:val="20"/>
                <w:color w:val="auto"/>
              </w:rPr>
              <w:t xml:space="preserve">Discounts </w:t>
            </w:r>
            <w:r>
              <w:rPr>
                <w:rFonts w:ascii="Arial" w:cs="Arial" w:eastAsia="Arial" w:hAnsi="Arial"/>
                <w:sz w:val="20"/>
                <w:szCs w:val="20"/>
                <w:color w:val="B4B4B4"/>
              </w:rPr>
              <w:t>. . . . . . . . . . . . . . . . . . . . . . . . . . . . . . . . . . . . . . . . . . . .</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w:t>
            </w: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980" w:type="dxa"/>
            <w:vAlign w:val="bottom"/>
          </w:tcPr>
          <w:p>
            <w:pPr>
              <w:jc w:val="right"/>
              <w:spacing w:after="0"/>
              <w:rPr>
                <w:sz w:val="20"/>
                <w:szCs w:val="20"/>
                <w:color w:val="auto"/>
              </w:rPr>
            </w:pPr>
            <w:r>
              <w:rPr>
                <w:rFonts w:ascii="Arial" w:cs="Arial" w:eastAsia="Arial" w:hAnsi="Arial"/>
                <w:sz w:val="20"/>
                <w:szCs w:val="20"/>
                <w:color w:val="auto"/>
              </w:rPr>
              <w:t xml:space="preserve">Total long-term debt and finance leases </w:t>
            </w:r>
            <w:r>
              <w:rPr>
                <w:rFonts w:ascii="Arial" w:cs="Arial" w:eastAsia="Arial" w:hAnsi="Arial"/>
                <w:sz w:val="20"/>
                <w:szCs w:val="20"/>
                <w:color w:val="B4B4B4"/>
              </w:rPr>
              <w:t>. . . . . . . . . . . . . . . .</w:t>
            </w: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9,812</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10,133</w:t>
            </w: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-5981065</wp:posOffset>
            </wp:positionV>
            <wp:extent cx="6475095" cy="5988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0">
                      <a:extLst>
                        <a:ext uri="{28A0092B-C50C-407E-A947-70E740481C1C}"/>
                      </a:extLst>
                    </a:blip>
                    <a:srcRect/>
                    <a:stretch>
                      <a:fillRect/>
                    </a:stretch>
                  </pic:blipFill>
                  <pic:spPr bwMode="auto">
                    <a:xfrm>
                      <a:off x="0" y="0"/>
                      <a:ext cx="6475095" cy="5988050"/>
                    </a:xfrm>
                    <a:prstGeom prst="rect">
                      <a:avLst/>
                    </a:prstGeom>
                    <a:noFill/>
                  </pic:spPr>
                </pic:pic>
              </a:graphicData>
            </a:graphic>
          </wp:anchor>
        </w:drawing>
      </w:r>
    </w:p>
    <w:p>
      <w:pPr>
        <w:ind w:left="440" w:hanging="439"/>
        <w:spacing w:after="0" w:line="278" w:lineRule="auto"/>
        <w:tabs>
          <w:tab w:leader="none" w:pos="4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As of the ex-dividend date of February 3, 2025, the Convertible Senior Notes were convertible at a price of $40.78, which is equivalent to a conversion rate of approximately 24.5222 shares of common stock per $1,000 principal amount of Convertible Senior Notes</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Debt includes the following discounts:</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484"/>
              <w:spacing w:after="0"/>
              <w:rPr>
                <w:sz w:val="20"/>
                <w:szCs w:val="20"/>
                <w:color w:val="auto"/>
              </w:rPr>
            </w:pPr>
            <w:r>
              <w:rPr>
                <w:rFonts w:ascii="Arial" w:cs="Arial" w:eastAsia="Arial" w:hAnsi="Arial"/>
                <w:sz w:val="16"/>
                <w:szCs w:val="16"/>
                <w:b w:val="1"/>
                <w:bCs w:val="1"/>
                <w:color w:val="auto"/>
              </w:rPr>
              <w:t>As of December 31,</w:t>
            </w:r>
          </w:p>
        </w:tc>
      </w:tr>
      <w:tr>
        <w:trPr>
          <w:trHeight w:val="232"/>
        </w:trPr>
        <w:tc>
          <w:tcPr>
            <w:tcW w:w="764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b w:val="1"/>
                <w:bCs w:val="1"/>
                <w:color w:val="auto"/>
              </w:rPr>
              <w:t>2023</w:t>
            </w:r>
          </w:p>
        </w:tc>
      </w:tr>
      <w:tr>
        <w:trPr>
          <w:trHeight w:val="275"/>
        </w:trPr>
        <w:tc>
          <w:tcPr>
            <w:tcW w:w="7640" w:type="dxa"/>
            <w:vAlign w:val="bottom"/>
          </w:tcPr>
          <w:p>
            <w:pPr>
              <w:spacing w:after="0"/>
              <w:rPr>
                <w:sz w:val="20"/>
                <w:szCs w:val="20"/>
                <w:color w:val="auto"/>
              </w:rPr>
            </w:pPr>
            <w:r>
              <w:rPr>
                <w:rFonts w:ascii="Arial" w:cs="Arial" w:eastAsia="Arial" w:hAnsi="Arial"/>
                <w:sz w:val="20"/>
                <w:szCs w:val="20"/>
                <w:color w:val="auto"/>
                <w:w w:val="90"/>
              </w:rPr>
              <w:t xml:space="preserve">Senior Secured First Lien Notes, due 2025, 2027, 2029 and 2033 </w:t>
            </w:r>
            <w:r>
              <w:rPr>
                <w:rFonts w:ascii="Arial" w:cs="Arial" w:eastAsia="Arial" w:hAnsi="Arial"/>
                <w:sz w:val="20"/>
                <w:szCs w:val="20"/>
                <w:color w:val="B4B4B4"/>
                <w:w w:val="90"/>
              </w:rPr>
              <w:t>. . . . . . . . . . . . . . . . . . . . . . . .</w:t>
            </w: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(10)</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97"/>
        </w:trPr>
        <w:tc>
          <w:tcPr>
            <w:tcW w:w="7640" w:type="dxa"/>
            <w:vAlign w:val="bottom"/>
          </w:tcPr>
          <w:p>
            <w:pPr>
              <w:spacing w:after="0"/>
              <w:rPr>
                <w:sz w:val="20"/>
                <w:szCs w:val="20"/>
                <w:color w:val="auto"/>
              </w:rPr>
            </w:pPr>
            <w:r>
              <w:rPr>
                <w:rFonts w:ascii="Arial" w:cs="Arial" w:eastAsia="Arial" w:hAnsi="Arial"/>
                <w:sz w:val="20"/>
                <w:szCs w:val="20"/>
                <w:color w:val="auto"/>
                <w:w w:val="90"/>
              </w:rPr>
              <w:t xml:space="preserve">Term Loan B, due 2031  </w:t>
            </w:r>
            <w:r>
              <w:rPr>
                <w:rFonts w:ascii="Arial" w:cs="Arial" w:eastAsia="Arial" w:hAnsi="Arial"/>
                <w:sz w:val="20"/>
                <w:szCs w:val="20"/>
                <w:color w:val="B4B4B4"/>
                <w:w w:val="90"/>
              </w:rPr>
              <w:t>. . . . . . . . . . . . . . . . . . . . . . . . . . . . . . . . . . . . . . . . . . . . . . . . . . . . . . .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7"/>
        </w:trPr>
        <w:tc>
          <w:tcPr>
            <w:tcW w:w="7640" w:type="dxa"/>
            <w:vAlign w:val="bottom"/>
          </w:tcPr>
          <w:p>
            <w:pPr>
              <w:spacing w:after="0"/>
              <w:rPr>
                <w:sz w:val="20"/>
                <w:szCs w:val="20"/>
                <w:color w:val="auto"/>
              </w:rPr>
            </w:pPr>
            <w:r>
              <w:rPr>
                <w:rFonts w:ascii="Arial" w:cs="Arial" w:eastAsia="Arial" w:hAnsi="Arial"/>
                <w:sz w:val="20"/>
                <w:szCs w:val="20"/>
                <w:color w:val="auto"/>
                <w:w w:val="91"/>
              </w:rPr>
              <w:t xml:space="preserve">Vivint Senior Notes, due 2029 </w:t>
            </w:r>
            <w:r>
              <w:rPr>
                <w:rFonts w:ascii="Arial" w:cs="Arial" w:eastAsia="Arial" w:hAnsi="Arial"/>
                <w:sz w:val="20"/>
                <w:szCs w:val="20"/>
                <w:color w:val="B4B4B4"/>
                <w:w w:val="91"/>
              </w:rPr>
              <w:t>. . . . . . . . . . . . . . . . . . . . . . . . . . . . . . . . . . . . . . . . . . . . . . . . . .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(103)</w:t>
            </w:r>
          </w:p>
        </w:tc>
      </w:tr>
      <w:tr>
        <w:trPr>
          <w:trHeight w:val="297"/>
        </w:trPr>
        <w:tc>
          <w:tcPr>
            <w:tcW w:w="7640" w:type="dxa"/>
            <w:vAlign w:val="bottom"/>
          </w:tcPr>
          <w:p>
            <w:pPr>
              <w:spacing w:after="0"/>
              <w:rPr>
                <w:sz w:val="20"/>
                <w:szCs w:val="20"/>
                <w:color w:val="auto"/>
              </w:rPr>
            </w:pPr>
            <w:r>
              <w:rPr>
                <w:rFonts w:ascii="Arial" w:cs="Arial" w:eastAsia="Arial" w:hAnsi="Arial"/>
                <w:sz w:val="20"/>
                <w:szCs w:val="20"/>
                <w:color w:val="auto"/>
                <w:w w:val="91"/>
              </w:rPr>
              <w:t xml:space="preserve">Vivint Senior Secured Notes, due 2027 </w:t>
            </w:r>
            <w:r>
              <w:rPr>
                <w:rFonts w:ascii="Arial" w:cs="Arial" w:eastAsia="Arial" w:hAnsi="Arial"/>
                <w:sz w:val="20"/>
                <w:szCs w:val="20"/>
                <w:color w:val="B4B4B4"/>
                <w:w w:val="91"/>
              </w:rPr>
              <w:t>. . . . . . . . . . . . . . . . . . . . . . . . . . . . . . . . . . . . . . . . . . .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99"/>
        </w:trPr>
        <w:tc>
          <w:tcPr>
            <w:tcW w:w="7640" w:type="dxa"/>
            <w:vAlign w:val="bottom"/>
          </w:tcPr>
          <w:p>
            <w:pPr>
              <w:spacing w:after="0"/>
              <w:rPr>
                <w:sz w:val="20"/>
                <w:szCs w:val="20"/>
                <w:color w:val="auto"/>
              </w:rPr>
            </w:pPr>
            <w:r>
              <w:rPr>
                <w:rFonts w:ascii="Arial" w:cs="Arial" w:eastAsia="Arial" w:hAnsi="Arial"/>
                <w:sz w:val="20"/>
                <w:szCs w:val="20"/>
                <w:color w:val="auto"/>
                <w:w w:val="91"/>
              </w:rPr>
              <w:t xml:space="preserve">Vivint Senior Secured Term Loan, due 2028 </w:t>
            </w:r>
            <w:r>
              <w:rPr>
                <w:rFonts w:ascii="Arial" w:cs="Arial" w:eastAsia="Arial" w:hAnsi="Arial"/>
                <w:sz w:val="20"/>
                <w:szCs w:val="20"/>
                <w:color w:val="B4B4B4"/>
                <w:w w:val="91"/>
              </w:rPr>
              <w:t>. . . . . . . . . . . . . . . . . . . . . . . . . . . . . . . . . . . . . . . .</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w:t>
            </w:r>
          </w:p>
        </w:tc>
      </w:tr>
      <w:tr>
        <w:trPr>
          <w:trHeight w:val="257"/>
        </w:trPr>
        <w:tc>
          <w:tcPr>
            <w:tcW w:w="7640" w:type="dxa"/>
            <w:vAlign w:val="bottom"/>
          </w:tcPr>
          <w:p>
            <w:pPr>
              <w:ind w:left="340"/>
              <w:spacing w:after="0"/>
              <w:rPr>
                <w:sz w:val="20"/>
                <w:szCs w:val="20"/>
                <w:color w:val="auto"/>
              </w:rPr>
            </w:pPr>
            <w:r>
              <w:rPr>
                <w:rFonts w:ascii="Arial" w:cs="Arial" w:eastAsia="Arial" w:hAnsi="Arial"/>
                <w:sz w:val="20"/>
                <w:szCs w:val="20"/>
                <w:color w:val="auto"/>
                <w:w w:val="90"/>
              </w:rPr>
              <w:t xml:space="preserve">Total discounts </w:t>
            </w:r>
            <w:r>
              <w:rPr>
                <w:rFonts w:ascii="Arial" w:cs="Arial" w:eastAsia="Arial" w:hAnsi="Arial"/>
                <w:sz w:val="20"/>
                <w:szCs w:val="20"/>
                <w:color w:val="B4B4B4"/>
                <w:w w:val="90"/>
              </w:rPr>
              <w:t>. . . . . . . . . . . . . . . . . . . . . . . . . . . . . . . . . . . . . . . . . . . . . . . . . . . . . . . . . . . .</w:t>
            </w: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(12)</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(146)</w:t>
            </w:r>
          </w:p>
        </w:tc>
      </w:tr>
      <w:tr>
        <w:trPr>
          <w:trHeight w:val="20"/>
        </w:trPr>
        <w:tc>
          <w:tcPr>
            <w:tcW w:w="7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-1162685</wp:posOffset>
            </wp:positionV>
            <wp:extent cx="6475095" cy="11696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1">
                      <a:extLst>
                        <a:ext uri="{28A0092B-C50C-407E-A947-70E740481C1C}"/>
                      </a:extLst>
                    </a:blip>
                    <a:srcRect/>
                    <a:stretch>
                      <a:fillRect/>
                    </a:stretch>
                  </pic:blipFill>
                  <pic:spPr bwMode="auto">
                    <a:xfrm>
                      <a:off x="0" y="0"/>
                      <a:ext cx="6475095" cy="1169670"/>
                    </a:xfrm>
                    <a:prstGeom prst="rect">
                      <a:avLst/>
                    </a:prstGeom>
                    <a:noFill/>
                  </pic:spPr>
                </pic:pic>
              </a:graphicData>
            </a:graphic>
          </wp:anchor>
        </w:drawing>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ectPr>
          <w:pgSz w:w="11880" w:h="15480" w:orient="portrait"/>
          <w:cols w:equalWidth="0" w:num="1">
            <w:col w:w="10160"/>
          </w:cols>
          <w:pgMar w:left="860" w:top="505" w:right="860" w:bottom="0" w:gutter="0" w:footer="0" w:header="0"/>
          <w:type w:val="continuous"/>
        </w:sectPr>
      </w:pPr>
    </w:p>
    <w:bookmarkStart w:id="131" w:name="page132"/>
    <w:bookmarkEnd w:id="131"/>
    <w:p>
      <w:pPr>
        <w:ind w:left="440"/>
        <w:spacing w:after="0"/>
        <w:rPr>
          <w:sz w:val="20"/>
          <w:szCs w:val="20"/>
          <w:color w:val="auto"/>
        </w:rPr>
      </w:pPr>
      <w:r>
        <w:rPr>
          <w:rFonts w:ascii="Arial" w:cs="Arial" w:eastAsia="Arial" w:hAnsi="Arial"/>
          <w:sz w:val="20"/>
          <w:szCs w:val="20"/>
          <w:b w:val="1"/>
          <w:bCs w:val="1"/>
          <w:i w:val="1"/>
          <w:iCs w:val="1"/>
          <w:color w:val="auto"/>
        </w:rPr>
        <w:t>Consolidated Annual Maturities</w:t>
      </w:r>
    </w:p>
    <w:p>
      <w:pPr>
        <w:spacing w:after="0" w:line="134" w:lineRule="exact"/>
        <w:rPr>
          <w:sz w:val="20"/>
          <w:szCs w:val="20"/>
          <w:color w:val="auto"/>
        </w:rPr>
      </w:pPr>
    </w:p>
    <w:p>
      <w:pPr>
        <w:ind w:firstLine="445"/>
        <w:spacing w:after="0" w:line="277" w:lineRule="auto"/>
        <w:rPr>
          <w:sz w:val="20"/>
          <w:szCs w:val="20"/>
          <w:color w:val="auto"/>
        </w:rPr>
      </w:pPr>
      <w:r>
        <w:rPr>
          <w:rFonts w:ascii="Arial" w:cs="Arial" w:eastAsia="Arial" w:hAnsi="Arial"/>
          <w:sz w:val="20"/>
          <w:szCs w:val="20"/>
          <w:color w:val="auto"/>
        </w:rPr>
        <w:t>As of December 31, 2024, annual payments based on the maturities of NRG’s debt and finance leases are expected to be as follows:</w:t>
      </w:r>
    </w:p>
    <w:p>
      <w:pPr>
        <w:spacing w:after="0" w:line="6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8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w w:val="91"/>
              </w:rPr>
              <w:t>(In millions)</w:t>
            </w:r>
          </w:p>
        </w:tc>
      </w:tr>
      <w:tr>
        <w:trPr>
          <w:trHeight w:val="275"/>
        </w:trPr>
        <w:tc>
          <w:tcPr>
            <w:tcW w:w="8920" w:type="dxa"/>
            <w:vAlign w:val="bottom"/>
          </w:tcPr>
          <w:p>
            <w:pPr>
              <w:jc w:val="right"/>
              <w:spacing w:after="0"/>
              <w:rPr>
                <w:sz w:val="20"/>
                <w:szCs w:val="20"/>
                <w:color w:val="auto"/>
              </w:rPr>
            </w:pPr>
            <w:r>
              <w:rPr>
                <w:rFonts w:ascii="Arial" w:cs="Arial" w:eastAsia="Arial" w:hAnsi="Arial"/>
                <w:sz w:val="20"/>
                <w:szCs w:val="20"/>
                <w:color w:val="auto"/>
                <w:w w:val="89"/>
              </w:rPr>
              <w:t xml:space="preserve">2025 </w:t>
            </w:r>
            <w:r>
              <w:rPr>
                <w:rFonts w:ascii="Arial" w:cs="Arial" w:eastAsia="Arial" w:hAnsi="Arial"/>
                <w:sz w:val="20"/>
                <w:szCs w:val="20"/>
                <w:color w:val="B4B4B4"/>
                <w:w w:val="89"/>
              </w:rPr>
              <w:t>. . . . . . . . . . . . . . . . . . . . . . . . . . . . . . . . . . . . . . . . . . . . . . . . . . . . . . . . . . . . . . . .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996</w:t>
            </w:r>
          </w:p>
        </w:tc>
      </w:tr>
      <w:tr>
        <w:trPr>
          <w:trHeight w:val="297"/>
        </w:trPr>
        <w:tc>
          <w:tcPr>
            <w:tcW w:w="8920" w:type="dxa"/>
            <w:vAlign w:val="bottom"/>
          </w:tcPr>
          <w:p>
            <w:pPr>
              <w:jc w:val="right"/>
              <w:spacing w:after="0"/>
              <w:rPr>
                <w:sz w:val="20"/>
                <w:szCs w:val="20"/>
                <w:color w:val="auto"/>
              </w:rPr>
            </w:pPr>
            <w:r>
              <w:rPr>
                <w:rFonts w:ascii="Arial" w:cs="Arial" w:eastAsia="Arial" w:hAnsi="Arial"/>
                <w:sz w:val="20"/>
                <w:szCs w:val="20"/>
                <w:color w:val="auto"/>
                <w:w w:val="89"/>
              </w:rPr>
              <w:t xml:space="preserve">2026 </w:t>
            </w:r>
            <w:r>
              <w:rPr>
                <w:rFonts w:ascii="Arial" w:cs="Arial" w:eastAsia="Arial" w:hAnsi="Arial"/>
                <w:sz w:val="20"/>
                <w:szCs w:val="20"/>
                <w:color w:val="B4B4B4"/>
                <w:w w:val="89"/>
              </w:rPr>
              <w:t>. . . . . . . . . . . . . . . . . . . . . . . . . . . . . . . . . . . . . . . . . . . . . . . . . . . . . . . . . . . . . . . . . . . . . . . . . . . . . . . . . . . . .</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97"/>
        </w:trPr>
        <w:tc>
          <w:tcPr>
            <w:tcW w:w="8920" w:type="dxa"/>
            <w:vAlign w:val="bottom"/>
          </w:tcPr>
          <w:p>
            <w:pPr>
              <w:jc w:val="right"/>
              <w:spacing w:after="0"/>
              <w:rPr>
                <w:sz w:val="20"/>
                <w:szCs w:val="20"/>
                <w:color w:val="auto"/>
              </w:rPr>
            </w:pPr>
            <w:r>
              <w:rPr>
                <w:rFonts w:ascii="Arial" w:cs="Arial" w:eastAsia="Arial" w:hAnsi="Arial"/>
                <w:sz w:val="20"/>
                <w:szCs w:val="20"/>
                <w:color w:val="auto"/>
                <w:w w:val="89"/>
              </w:rPr>
              <w:t xml:space="preserve">2027 </w:t>
            </w:r>
            <w:r>
              <w:rPr>
                <w:rFonts w:ascii="Arial" w:cs="Arial" w:eastAsia="Arial" w:hAnsi="Arial"/>
                <w:sz w:val="20"/>
                <w:szCs w:val="20"/>
                <w:color w:val="B4B4B4"/>
                <w:w w:val="89"/>
              </w:rPr>
              <w:t>. . . . . . . . . . . . . . . . . . . . . . . . . . . . . . . . . . . . . . . . . . . . . . . . . . . . . . . . . . . . . . . . . . . . . . . . . . . . . . . . . . . . .</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916</w:t>
            </w:r>
          </w:p>
        </w:tc>
      </w:tr>
      <w:tr>
        <w:trPr>
          <w:trHeight w:val="297"/>
        </w:trPr>
        <w:tc>
          <w:tcPr>
            <w:tcW w:w="8920" w:type="dxa"/>
            <w:vAlign w:val="bottom"/>
          </w:tcPr>
          <w:p>
            <w:pPr>
              <w:jc w:val="right"/>
              <w:spacing w:after="0"/>
              <w:rPr>
                <w:sz w:val="20"/>
                <w:szCs w:val="20"/>
                <w:color w:val="auto"/>
              </w:rPr>
            </w:pPr>
            <w:r>
              <w:rPr>
                <w:rFonts w:ascii="Arial" w:cs="Arial" w:eastAsia="Arial" w:hAnsi="Arial"/>
                <w:sz w:val="20"/>
                <w:szCs w:val="20"/>
                <w:color w:val="auto"/>
                <w:w w:val="89"/>
              </w:rPr>
              <w:t xml:space="preserve">2028 </w:t>
            </w:r>
            <w:r>
              <w:rPr>
                <w:rFonts w:ascii="Arial" w:cs="Arial" w:eastAsia="Arial" w:hAnsi="Arial"/>
                <w:sz w:val="20"/>
                <w:szCs w:val="20"/>
                <w:color w:val="B4B4B4"/>
                <w:w w:val="89"/>
              </w:rPr>
              <w:t>. . . . . . . . . . . . . . . . . . . . . . . . . . . . . . . . . . . . . . . . . . . . . . . . . . . . . . . . . . . . . . . . . . . . . . . . . . . . . . . . . . . . .</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894</w:t>
            </w:r>
          </w:p>
        </w:tc>
      </w:tr>
      <w:tr>
        <w:trPr>
          <w:trHeight w:val="297"/>
        </w:trPr>
        <w:tc>
          <w:tcPr>
            <w:tcW w:w="8920" w:type="dxa"/>
            <w:vAlign w:val="bottom"/>
          </w:tcPr>
          <w:p>
            <w:pPr>
              <w:jc w:val="right"/>
              <w:spacing w:after="0"/>
              <w:rPr>
                <w:sz w:val="20"/>
                <w:szCs w:val="20"/>
                <w:color w:val="auto"/>
              </w:rPr>
            </w:pPr>
            <w:r>
              <w:rPr>
                <w:rFonts w:ascii="Arial" w:cs="Arial" w:eastAsia="Arial" w:hAnsi="Arial"/>
                <w:sz w:val="20"/>
                <w:szCs w:val="20"/>
                <w:color w:val="auto"/>
                <w:w w:val="89"/>
              </w:rPr>
              <w:t xml:space="preserve">2029 </w:t>
            </w:r>
            <w:r>
              <w:rPr>
                <w:rFonts w:ascii="Arial" w:cs="Arial" w:eastAsia="Arial" w:hAnsi="Arial"/>
                <w:sz w:val="20"/>
                <w:szCs w:val="20"/>
                <w:color w:val="B4B4B4"/>
                <w:w w:val="89"/>
              </w:rPr>
              <w:t>. . . . . . . . . . . . . . . . . . . . . . . . . . . . . . . . . . . . . . . . . . . . . . . . . . . . . . . . . . . . . . . . . . . . . . . . . . . . . . . . . . . . .</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2,544</w:t>
            </w:r>
          </w:p>
        </w:tc>
      </w:tr>
      <w:tr>
        <w:trPr>
          <w:trHeight w:val="299"/>
        </w:trPr>
        <w:tc>
          <w:tcPr>
            <w:tcW w:w="8920" w:type="dxa"/>
            <w:vAlign w:val="bottom"/>
          </w:tcPr>
          <w:p>
            <w:pPr>
              <w:jc w:val="right"/>
              <w:spacing w:after="0"/>
              <w:rPr>
                <w:sz w:val="20"/>
                <w:szCs w:val="20"/>
                <w:color w:val="auto"/>
              </w:rPr>
            </w:pPr>
            <w:r>
              <w:rPr>
                <w:rFonts w:ascii="Arial" w:cs="Arial" w:eastAsia="Arial" w:hAnsi="Arial"/>
                <w:sz w:val="20"/>
                <w:szCs w:val="20"/>
                <w:color w:val="auto"/>
                <w:w w:val="89"/>
              </w:rPr>
              <w:t xml:space="preserve">Thereafter </w:t>
            </w:r>
            <w:r>
              <w:rPr>
                <w:rFonts w:ascii="Arial" w:cs="Arial" w:eastAsia="Arial" w:hAnsi="Arial"/>
                <w:sz w:val="20"/>
                <w:szCs w:val="20"/>
                <w:color w:val="B4B4B4"/>
                <w:w w:val="89"/>
              </w:rPr>
              <w:t>. . . . . . . . . . . . . . . . . . . . . . . . . . . . . . . . . . . . . . . . . . . . . . . . . . . . . . . . . . . . . . . . . . . . . . . . . . . . . . . . .</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5,538</w:t>
            </w:r>
          </w:p>
        </w:tc>
      </w:tr>
      <w:tr>
        <w:trPr>
          <w:trHeight w:val="257"/>
        </w:trPr>
        <w:tc>
          <w:tcPr>
            <w:tcW w:w="8920" w:type="dxa"/>
            <w:vAlign w:val="bottom"/>
          </w:tcPr>
          <w:p>
            <w:pPr>
              <w:jc w:val="right"/>
              <w:spacing w:after="0"/>
              <w:rPr>
                <w:sz w:val="20"/>
                <w:szCs w:val="20"/>
                <w:color w:val="auto"/>
              </w:rPr>
            </w:pPr>
            <w:r>
              <w:rPr>
                <w:rFonts w:ascii="Arial" w:cs="Arial" w:eastAsia="Arial" w:hAnsi="Arial"/>
                <w:sz w:val="20"/>
                <w:szCs w:val="20"/>
                <w:color w:val="auto"/>
                <w:w w:val="91"/>
              </w:rPr>
              <w:t xml:space="preserve">Total  </w:t>
            </w:r>
            <w:r>
              <w:rPr>
                <w:rFonts w:ascii="Arial" w:cs="Arial" w:eastAsia="Arial" w:hAnsi="Arial"/>
                <w:sz w:val="20"/>
                <w:szCs w:val="20"/>
                <w:color w:val="B4B4B4"/>
                <w:w w:val="91"/>
              </w:rPr>
              <w:t>. . . . . . . . . . . . . . . . . . . . . . . . . . . . . . . . . . . . . . . . . . . . . . . . . . . . . . . . . . . . . . . . . . . . . . . . . . . . . . . . . .</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10,906</w:t>
            </w:r>
          </w:p>
        </w:tc>
      </w:tr>
      <w:tr>
        <w:trPr>
          <w:trHeight w:val="20"/>
        </w:trPr>
        <w:tc>
          <w:tcPr>
            <w:tcW w:w="8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-1351280</wp:posOffset>
            </wp:positionV>
            <wp:extent cx="6475095" cy="13582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2">
                      <a:extLst>
                        <a:ext uri="{28A0092B-C50C-407E-A947-70E740481C1C}"/>
                      </a:extLst>
                    </a:blip>
                    <a:srcRect/>
                    <a:stretch>
                      <a:fillRect/>
                    </a:stretch>
                  </pic:blipFill>
                  <pic:spPr bwMode="auto">
                    <a:xfrm>
                      <a:off x="0" y="0"/>
                      <a:ext cx="6475095" cy="1358265"/>
                    </a:xfrm>
                    <a:prstGeom prst="rect">
                      <a:avLst/>
                    </a:prstGeom>
                    <a:noFill/>
                  </pic:spPr>
                </pic:pic>
              </a:graphicData>
            </a:graphic>
          </wp:anchor>
        </w:drawing>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Recourse Debt</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Senior Notes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Issuance of 2029 Senior Notes, 2033 Senior Notes and 2034 Senior Notes</w:t>
      </w:r>
    </w:p>
    <w:p>
      <w:pPr>
        <w:spacing w:after="0" w:line="130"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On October 30, 2024, the Company issued $1.9 billion in aggregate principal amount of senior unsecured notes, consisting of (i) $925 million aggregate principal amount of 6.000% senior unsecured notes due 2033 (the “2033 Notes”) and</w:t>
      </w:r>
    </w:p>
    <w:p>
      <w:pPr>
        <w:spacing w:after="0" w:line="1" w:lineRule="exact"/>
        <w:rPr>
          <w:sz w:val="20"/>
          <w:szCs w:val="20"/>
          <w:color w:val="auto"/>
        </w:rPr>
      </w:pPr>
    </w:p>
    <w:p>
      <w:pPr>
        <w:jc w:val="both"/>
        <w:ind w:firstLine="1"/>
        <w:spacing w:after="0" w:line="263" w:lineRule="auto"/>
        <w:tabs>
          <w:tab w:leader="none" w:pos="3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$950 million aggregate principal amount of 6.250% senior unsecured notes due 2034 (the “2034 Notes” and, together with the 2033 Notes, the “Notes”). In addition, on October 30, 2024, the Company issued $798 million aggregate principal amount of 5.750% senior unsecured notes due 2029 (the “New NRG 5.750% Senior Notes due 2029”) in connection with the Company’s previously announced offer to exchange. The Notes and the New NRG 5.750% Senior Notes due 2029 are senior unsecured obligations of the Company and are guaranteed by certain of its subsidiaries that guarantee indebtedness under the Senior Credit Facility. Interest on the New NRG 5.750% Senior Notes due 2029 is paid semi-annually beginning on January 15, 2025 until the maturity date of July 15, 2029. Interest on the 2033 Notes is paid semi-annually beginning on February 1, 2025 until the maturity date of February 1, 2033. Interest on the 2034 Notes is paid semi-annually beginning on May 1, 2025 until the maturity date of November 1, 2034.</w:t>
      </w:r>
    </w:p>
    <w:p>
      <w:pPr>
        <w:spacing w:after="0" w:line="82"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9"/>
          <w:szCs w:val="19"/>
          <w:color w:val="auto"/>
        </w:rPr>
        <w:t>On October 30, 2024, the Company used the net proceeds from the offering of the Notes, together with the net proceeds of its new incremental term loan B in an aggregate principal amount of $450 million, to pay the cash tender price for any and all of APX Group, Inc.’s 6.750% Senior Secured Notes due 2027 and to repay APX Group, Inc.’s secured term loans in an outstanding aggregate principal amount of approximately $1.3 billion under its senior secured credit agreement. In addition, on October 31, 2024, the Company used the net proceeds from the offering of the Notes and cash on hand to redeem all of its outstanding 6.625% Senior Notes due 2027, of which $375 million aggregate principal amount was outstanding. Any remaining net proceeds from the offering was used to pay the transaction fees, expenses and premiums, to refinance outstanding debt and for general corporate purposes.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Senior Note Redemptions</w:t>
      </w:r>
    </w:p>
    <w:p>
      <w:pPr>
        <w:spacing w:after="0" w:line="13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During the year ended December 31, 2024, the Company redeemed $375 million in aggregate principal amount of its 6.625% Senior Notes due 2027, at a redemption price equal to 100.000% for $382 million, which included the payment of $7 million of accrued interest, using the net proceeds from the offering of the Notes and cash on hand. In connection with the redemption, the Company wrote-off $1 million of previously deferred financing costs and other fees, which was recorded to loss on debt extinguishment.</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3.750% Senior Secured First Lien Note due 2024 Repayment</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On June 17, 2024, the Company repaid $600 million in aggregate principal amount of its 3.750% Senior Secured First Lien Notes due 2024.</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Senior Credit Facility</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Term Loan B Incurrence</w:t>
      </w:r>
    </w:p>
    <w:p>
      <w:pPr>
        <w:spacing w:after="0" w:line="130"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On April 16, 2024, the Company, as borrower, and certain of its subsidiaries, as guarantors, entered into the Eighth Amendment to the Credit Agreement in order to (i) establish the Existing Term Loan B Facility with borrowings of $875 million in aggregate principal amount and the Existing Term Loans and (ii) make certain other modifications to the Credit Agreement as set forth therein. The proceeds from the Existing Term Loans were used to repay a portion of the Company’s Convertible Senior Notes, all of the Company’s 3.750% senior secured first lien notes due 2024 and for general corporate purposes.</w:t>
      </w:r>
    </w:p>
    <w:p>
      <w:pPr>
        <w:sectPr>
          <w:pgSz w:w="11880" w:h="15480" w:orient="portrait"/>
          <w:cols w:equalWidth="0" w:num="1">
            <w:col w:w="10160"/>
          </w:cols>
          <w:pgMar w:left="860" w:top="505" w:right="860" w:bottom="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ectPr>
          <w:pgSz w:w="11880" w:h="15480" w:orient="portrait"/>
          <w:cols w:equalWidth="0" w:num="1">
            <w:col w:w="10160"/>
          </w:cols>
          <w:pgMar w:left="860" w:top="505" w:right="860" w:bottom="0" w:gutter="0" w:footer="0" w:header="0"/>
          <w:type w:val="continuous"/>
        </w:sectPr>
      </w:pPr>
    </w:p>
    <w:bookmarkStart w:id="132" w:name="page133"/>
    <w:bookmarkEnd w:id="132"/>
    <w:p>
      <w:pPr>
        <w:jc w:val="both"/>
        <w:ind w:firstLine="445"/>
        <w:spacing w:after="0" w:line="284" w:lineRule="auto"/>
        <w:rPr>
          <w:sz w:val="20"/>
          <w:szCs w:val="20"/>
          <w:color w:val="auto"/>
        </w:rPr>
      </w:pPr>
      <w:r>
        <w:rPr>
          <w:rFonts w:ascii="Arial" w:cs="Arial" w:eastAsia="Arial" w:hAnsi="Arial"/>
          <w:sz w:val="18"/>
          <w:szCs w:val="18"/>
          <w:color w:val="auto"/>
        </w:rPr>
        <w:t>On October 30, 2024, the Company, as borrower, and certain of its subsidiaries, as guarantors, entered into the Eleventh Amendment to the Credit Agreement in order to include the Incremental Term Loan B Facility in an aggregate principal amount of $450 million and the Incremental Term Loans, which Incremental Term Loan B Facility is fungible for U.S. federal tax purposes with the Existing Term Loan B Facility. The proceeds from the Incremental Term Loans, together with the proceeds of the Notes, were used to repay all loans and other amounts outstanding under APX’s senior secured credit agreement and to pay the cash tender price for any and all of APX Group, Inc.’s 6.750% Senior Secured Notes due 2027. The terms of the Incremental Term Loan B Facility (including pricing) are identical to those applicable to the Existing Term Loan B Facility, and the Incremental Term Loans constitute the same class of term loans as the Company’s Existing Term Loans.</w:t>
      </w:r>
    </w:p>
    <w:p>
      <w:pPr>
        <w:spacing w:after="0" w:line="60"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On November 26, 2024, the Company, as borrower, entered into the Twelfth Amendment to the Credit Agreement in order to (i) reprice both the Existing Term Loan B Facility and the Incremental Term Loan B Facility and (ii) make certain other modifications to the Credit Agreement as set forth therein.</w:t>
      </w:r>
    </w:p>
    <w:p>
      <w:pPr>
        <w:spacing w:after="0" w:line="78"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9"/>
          <w:szCs w:val="19"/>
          <w:color w:val="auto"/>
        </w:rPr>
        <w:t>Following the effectiveness of the Twelfth Amendment, at the Company’s election, the Existing Term Loans and the Incremental Term Loans bear interest at a rate per annum equal to either (1) a fluctuating rate equal to the highest of (A) the rate published by the Federal Reserve Bank of New York in effect on such day, plus 0.50%, (B) the rate of interest per annum publicly announced from time to time by The Wall Street Journal as the “Prime Rate” in the United States, and (C) a rate of one-month Term SOFR (as defined in the Credit Agreement) (after giving effect to any floor applicable to Term SOFR) plus 1.00%, in each case, plus a margin of 0.75% or (2) Term SOFR (as defined in the Credit Agreement) (which shall not be less than 0.00%) for a one-, three- or six-month interest period (or such other period as agreed to by the Agent and the lenders, as selected by the Company), plus a margin of 1.75%.</w:t>
      </w:r>
    </w:p>
    <w:p>
      <w:pPr>
        <w:spacing w:after="0" w:line="7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The Existing Term Loan B Facility and the Incremental Term Loan B Facility are guaranteed by each of the Company’s subsidiaries that guarantee the Company’s Revolving Credit Facility and are secured on a first lien basis by substantially all of the Company’s and such subsidiaries’ assets, in each case, subject to certain customary exceptions and limitations set forth in the Credit Agreement.</w:t>
      </w:r>
    </w:p>
    <w:p>
      <w:pPr>
        <w:spacing w:after="0" w:line="84" w:lineRule="exact"/>
        <w:rPr>
          <w:sz w:val="20"/>
          <w:szCs w:val="20"/>
          <w:color w:val="auto"/>
        </w:rPr>
      </w:pPr>
    </w:p>
    <w:p>
      <w:pPr>
        <w:jc w:val="both"/>
        <w:ind w:firstLine="445"/>
        <w:spacing w:after="0" w:line="266" w:lineRule="auto"/>
        <w:rPr>
          <w:sz w:val="20"/>
          <w:szCs w:val="20"/>
          <w:color w:val="auto"/>
        </w:rPr>
      </w:pPr>
      <w:r>
        <w:rPr>
          <w:rFonts w:ascii="Arial" w:cs="Arial" w:eastAsia="Arial" w:hAnsi="Arial"/>
          <w:sz w:val="19"/>
          <w:szCs w:val="19"/>
          <w:color w:val="auto"/>
        </w:rPr>
        <w:t>The Existing Term Loans and the Incremental Term Loans have a final maturity date of April 16, 2031 and amortize at a rate of 1% per annum in equal quarterly installments (subject to any adjustments to such amortization payments to ensure that such Incremental Term Loans are fungible for U.S. federal tax purposes with the Existing Term Loans). If an event of default occurs under the Existing Term Loan B Facility or the Incremental Term Loan B Facility, the entire principal amount outstanding thereunder, together with all accrued unpaid interest and other amounts owing in respect thereof, may be declared immediately due and payable, subject, in certain instances, to the expiration of applicable cure periods. The Existing Term Loan B Facility and the Incremental Term Loan B Facility also provide for customary asset sale mandatory prepayments, reporting covenants and negative covenants governing dividends, investments, indebtedness, and other matters that are customary for similar term loan B facilities.</w:t>
      </w:r>
    </w:p>
    <w:p>
      <w:pPr>
        <w:spacing w:after="0" w:line="78"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9"/>
          <w:szCs w:val="19"/>
          <w:color w:val="auto"/>
        </w:rPr>
        <w:t>On December 20, 2024, the Company, as borrower, entered into the Thirteenth Amendment to the Credit Agreement to (i) add APX Group, Inc. as an additional borrower of the loans under the Credit Agreement on a joint and several basis with the Company and (ii) make certain other modifications to the Credit Agreement as set forth therein.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Revolving Credit Facility</w:t>
      </w:r>
    </w:p>
    <w:p>
      <w:pPr>
        <w:spacing w:after="0" w:line="130" w:lineRule="exact"/>
        <w:rPr>
          <w:sz w:val="20"/>
          <w:szCs w:val="20"/>
          <w:color w:val="auto"/>
        </w:rPr>
      </w:pPr>
    </w:p>
    <w:p>
      <w:pPr>
        <w:jc w:val="both"/>
        <w:ind w:firstLine="445"/>
        <w:spacing w:after="0" w:line="304" w:lineRule="auto"/>
        <w:rPr>
          <w:sz w:val="20"/>
          <w:szCs w:val="20"/>
          <w:color w:val="auto"/>
        </w:rPr>
      </w:pPr>
      <w:r>
        <w:rPr>
          <w:rFonts w:ascii="Arial" w:cs="Arial" w:eastAsia="Arial" w:hAnsi="Arial"/>
          <w:sz w:val="19"/>
          <w:szCs w:val="19"/>
          <w:color w:val="auto"/>
        </w:rPr>
        <w:t>On April 22, 2024, the Company, as borrower, and certain of its subsidiaries, as guarantors, entered into the Ninth Amendment to extend the maturity date of a portion of the revolving commitments thereunder to February 14, 2028.</w:t>
      </w:r>
    </w:p>
    <w:p>
      <w:pPr>
        <w:spacing w:after="0" w:line="40"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On October 30, 2024, the Company, as borrower, and certain of its subsidiaries, as guarantors, entered into the Tenth Amendment to (i) extend the maturity date of its revolving credit facility to October 30, 2029 and (ii) make certain other amendments to the Credit Agreement as set forth therein.</w:t>
      </w:r>
    </w:p>
    <w:p>
      <w:pPr>
        <w:spacing w:after="0" w:line="7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As of December 31, 2024, there were no outstanding borrowings and there were $477 million in letters of credit issued under the Revolving Credit Facility.</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2048 Convertible Senior Notes</w:t>
      </w:r>
    </w:p>
    <w:p>
      <w:pPr>
        <w:spacing w:after="0" w:line="13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20"/>
          <w:szCs w:val="20"/>
          <w:b w:val="1"/>
          <w:bCs w:val="1"/>
          <w:i w:val="1"/>
          <w:iCs w:val="1"/>
          <w:color w:val="auto"/>
        </w:rPr>
        <w:t xml:space="preserve">Accounting for Convertible Senior Notes — </w:t>
      </w:r>
      <w:r>
        <w:rPr>
          <w:rFonts w:ascii="Arial" w:cs="Arial" w:eastAsia="Arial" w:hAnsi="Arial"/>
          <w:sz w:val="20"/>
          <w:szCs w:val="20"/>
          <w:color w:val="auto"/>
        </w:rPr>
        <w:t>Beginning in 2022, the Company no longer records the conversion feature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its convertible senior notes in equity. Instead, the Company combined the previously separated equity component with the liability component, which together is now classified as debt, thereby eliminating the subsequent amortization of the debt discount as interest expense.</w:t>
      </w:r>
    </w:p>
    <w:p>
      <w:pPr>
        <w:spacing w:after="0" w:line="76"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8"/>
          <w:szCs w:val="18"/>
          <w:b w:val="1"/>
          <w:bCs w:val="1"/>
          <w:i w:val="1"/>
          <w:iCs w:val="1"/>
          <w:color w:val="auto"/>
        </w:rPr>
        <w:t xml:space="preserve">Modification to Convertible Senior Notes </w:t>
      </w:r>
      <w:r>
        <w:rPr>
          <w:rFonts w:ascii="Arial" w:cs="Arial" w:eastAsia="Arial" w:hAnsi="Arial"/>
          <w:sz w:val="18"/>
          <w:szCs w:val="18"/>
          <w:color w:val="auto"/>
        </w:rPr>
        <w:t>— In 2022, the Company irrevocably elected to eliminate the right to settle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conversions only in shares of the Company's common stock, such that any conversion after such date, the Company will pay cash per $1,000 principal amount and will settle in cash or a combination of cash and the Company’s common stock for the remainder, if any, of the Company’s conversion obligation in excess of the aggregate principal amount.</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ectPr>
          <w:pgSz w:w="11880" w:h="15480" w:orient="portrait"/>
          <w:cols w:equalWidth="0" w:num="1">
            <w:col w:w="10160"/>
          </w:cols>
          <w:pgMar w:left="860" w:top="512" w:right="860" w:bottom="0" w:gutter="0" w:footer="0" w:header="0"/>
          <w:type w:val="continuous"/>
        </w:sectPr>
      </w:pPr>
    </w:p>
    <w:bookmarkStart w:id="133" w:name="page134"/>
    <w:bookmarkEnd w:id="133"/>
    <w:p>
      <w:pPr>
        <w:jc w:val="both"/>
        <w:ind w:firstLine="445"/>
        <w:spacing w:after="0" w:line="267" w:lineRule="auto"/>
        <w:rPr>
          <w:sz w:val="20"/>
          <w:szCs w:val="20"/>
          <w:color w:val="auto"/>
        </w:rPr>
      </w:pPr>
      <w:r>
        <w:rPr>
          <w:rFonts w:ascii="Arial" w:cs="Arial" w:eastAsia="Arial" w:hAnsi="Arial"/>
          <w:sz w:val="19"/>
          <w:szCs w:val="19"/>
          <w:b w:val="1"/>
          <w:bCs w:val="1"/>
          <w:i w:val="1"/>
          <w:iCs w:val="1"/>
          <w:color w:val="auto"/>
        </w:rPr>
        <w:t xml:space="preserve">Convertible Senior Notes Features </w:t>
      </w:r>
      <w:r>
        <w:rPr>
          <w:rFonts w:ascii="Arial" w:cs="Arial" w:eastAsia="Arial" w:hAnsi="Arial"/>
          <w:sz w:val="19"/>
          <w:szCs w:val="19"/>
          <w:color w:val="auto"/>
        </w:rPr>
        <w:t>— As of December 31, 2024, the Convertible Senior Notes are convertible, under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certain circumstances, into cash or a combination of cash and the Company’s common stock at a price of $40.94 per common share, which is the equivalent to a conversion rate of approximately 24.4241 shares of common stock per $1,000 principal amount of Convertible Senior Notes. As of December 31, 2023, the Convertible Senior Notes were convertible at a price of $41.83 per common share, which is equivalent to a conversion rate of approximately 23.9079 shares of common stock per $1,000 principal amount of Convertible Senior Notes. The settlement method is at the Company’s election. The net carrying amounts of the Convertible Senior Notes as of December 31, 2024 and December 31, 2023 were $231 million and $572 million, respectively. The Convertible Senior Notes mature on June 1, 2048, unless earlier repurchased, redeemed or converted in accordance with their terms.</w:t>
      </w:r>
    </w:p>
    <w:p>
      <w:pPr>
        <w:spacing w:after="0" w:line="73"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20"/>
          <w:szCs w:val="20"/>
          <w:color w:val="auto"/>
        </w:rPr>
        <w:t>The Convertible Senior Notes are convertible at the option of the holders only upon the occurrence of certain events and during certain periods, including, among others, during any calendar quarter (and only during such calendar quarter) if the last reported sales price per share of the Company’s common stock exceeded 130% of the conversion price for each of at least 20 trading days, whether or not consecutive, during the 30 consecutive trading days ending on, and including, the last trading day of the immediately preceding calendar quarter (the “Common Stock Sale Price Condition”). As of January 1, 2025, the Company’s Convertible Senior Notes are convertible during the quarterly period ending March 31, 2025 due to the satisfaction of the Common Stock Sale Price Condition. In addition, the Convertible Senior Notes are also convertible during specified periods as follows:</w:t>
      </w:r>
    </w:p>
    <w:p>
      <w:pPr>
        <w:spacing w:after="0" w:line="88" w:lineRule="exact"/>
        <w:rPr>
          <w:sz w:val="20"/>
          <w:szCs w:val="20"/>
          <w:color w:val="auto"/>
        </w:rPr>
      </w:pPr>
    </w:p>
    <w:p>
      <w:pPr>
        <w:ind w:left="720" w:hanging="273"/>
        <w:spacing w:after="0" w:line="258" w:lineRule="auto"/>
        <w:tabs>
          <w:tab w:leader="none" w:pos="7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from December 1, 2024 until the close of business on the second scheduled trading day immediately before June 1, 2025; and</w:t>
      </w:r>
    </w:p>
    <w:p>
      <w:pPr>
        <w:spacing w:after="0" w:line="1" w:lineRule="exact"/>
        <w:rPr>
          <w:rFonts w:ascii="Arial" w:cs="Arial" w:eastAsia="Arial" w:hAnsi="Arial"/>
          <w:sz w:val="20"/>
          <w:szCs w:val="20"/>
          <w:color w:val="auto"/>
        </w:rPr>
      </w:pPr>
    </w:p>
    <w:p>
      <w:pPr>
        <w:ind w:left="720" w:hanging="273"/>
        <w:spacing w:after="0" w:line="255" w:lineRule="auto"/>
        <w:tabs>
          <w:tab w:leader="none" w:pos="7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from December 1, 2047 until the close of business on the second scheduled trading day immediately before the maturity date.</w:t>
      </w:r>
    </w:p>
    <w:p>
      <w:pPr>
        <w:spacing w:after="0" w:line="8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All conversions with a conversion date that occurs within the specific periods above will be settled after such period pursuant to the terms of the Convertible Senior Notes indenture.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details the interest expense recorded in connection with the Convertible Senior Notes:</w:t>
      </w:r>
    </w:p>
    <w:p>
      <w:pPr>
        <w:spacing w:after="0" w:line="189"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3687445</wp:posOffset>
                </wp:positionH>
                <wp:positionV relativeFrom="paragraph">
                  <wp:posOffset>27305</wp:posOffset>
                </wp:positionV>
                <wp:extent cx="181991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99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0.35pt,2.15pt" to="433.65pt,2.1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5573395</wp:posOffset>
                </wp:positionH>
                <wp:positionV relativeFrom="paragraph">
                  <wp:posOffset>27305</wp:posOffset>
                </wp:positionV>
                <wp:extent cx="87693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69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85pt,2.15pt" to="507.9pt,2.15pt" o:allowincell="f" strokecolor="#000000" strokeweight="1pt"/>
            </w:pict>
          </mc:Fallback>
        </mc:AlternateContent>
      </w:r>
    </w:p>
    <w:p>
      <w:pPr>
        <w:spacing w:after="0" w:line="85"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r>
              <w:rPr>
                <w:rFonts w:ascii="Arial" w:cs="Arial" w:eastAsia="Arial" w:hAnsi="Arial"/>
                <w:sz w:val="16"/>
                <w:szCs w:val="16"/>
                <w:b w:val="1"/>
                <w:bCs w:val="1"/>
                <w:color w:val="auto"/>
              </w:rPr>
              <w:t>(In millions, except percentages)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3"/>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3"/>
              <w:spacing w:after="0"/>
              <w:rPr>
                <w:sz w:val="20"/>
                <w:szCs w:val="20"/>
                <w:color w:val="auto"/>
              </w:rPr>
            </w:pPr>
            <w:r>
              <w:rPr>
                <w:rFonts w:ascii="Arial" w:cs="Arial" w:eastAsia="Arial" w:hAnsi="Arial"/>
                <w:sz w:val="18"/>
                <w:szCs w:val="18"/>
                <w:b w:val="1"/>
                <w:bCs w:val="1"/>
                <w:color w:val="auto"/>
              </w:rPr>
              <w:t>2022</w:t>
            </w:r>
          </w:p>
        </w:tc>
      </w:tr>
      <w:tr>
        <w:trPr>
          <w:trHeight w:val="290"/>
        </w:trPr>
        <w:tc>
          <w:tcPr>
            <w:tcW w:w="5740" w:type="dxa"/>
            <w:vAlign w:val="bottom"/>
          </w:tcPr>
          <w:p>
            <w:pPr>
              <w:spacing w:after="0"/>
              <w:rPr>
                <w:sz w:val="20"/>
                <w:szCs w:val="20"/>
                <w:color w:val="auto"/>
              </w:rPr>
            </w:pPr>
            <w:r>
              <w:rPr>
                <w:rFonts w:ascii="Arial" w:cs="Arial" w:eastAsia="Arial" w:hAnsi="Arial"/>
                <w:sz w:val="20"/>
                <w:szCs w:val="20"/>
                <w:color w:val="auto"/>
                <w:w w:val="89"/>
              </w:rPr>
              <w:t xml:space="preserve">Contractual interest expense  </w:t>
            </w:r>
            <w:r>
              <w:rPr>
                <w:rFonts w:ascii="Arial" w:cs="Arial" w:eastAsia="Arial" w:hAnsi="Arial"/>
                <w:sz w:val="20"/>
                <w:szCs w:val="20"/>
                <w:color w:val="B4B4B4"/>
                <w:w w:val="89"/>
              </w:rPr>
              <w:t>. . . . . . . . . . . . . . . . . . . . . . . . . . . . . . . . . .</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43"/>
              <w:spacing w:after="0"/>
              <w:rPr>
                <w:sz w:val="20"/>
                <w:szCs w:val="20"/>
                <w:color w:val="auto"/>
              </w:rPr>
            </w:pPr>
            <w:r>
              <w:rPr>
                <w:rFonts w:ascii="Arial" w:cs="Arial" w:eastAsia="Arial" w:hAnsi="Arial"/>
                <w:sz w:val="20"/>
                <w:szCs w:val="20"/>
                <w:color w:val="auto"/>
              </w:rPr>
              <w:t>9</w:t>
            </w:r>
          </w:p>
        </w:tc>
        <w:tc>
          <w:tcPr>
            <w:tcW w:w="4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63"/>
              <w:spacing w:after="0"/>
              <w:rPr>
                <w:sz w:val="20"/>
                <w:szCs w:val="20"/>
                <w:color w:val="auto"/>
              </w:rPr>
            </w:pPr>
            <w:r>
              <w:rPr>
                <w:rFonts w:ascii="Arial" w:cs="Arial" w:eastAsia="Arial" w:hAnsi="Arial"/>
                <w:sz w:val="20"/>
                <w:szCs w:val="20"/>
                <w:color w:val="auto"/>
              </w:rPr>
              <w:t>16</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43"/>
              <w:spacing w:after="0"/>
              <w:rPr>
                <w:sz w:val="20"/>
                <w:szCs w:val="20"/>
                <w:color w:val="auto"/>
              </w:rPr>
            </w:pPr>
            <w:r>
              <w:rPr>
                <w:rFonts w:ascii="Arial" w:cs="Arial" w:eastAsia="Arial" w:hAnsi="Arial"/>
                <w:sz w:val="20"/>
                <w:szCs w:val="20"/>
                <w:color w:val="auto"/>
              </w:rPr>
              <w:t>16</w:t>
            </w:r>
          </w:p>
        </w:tc>
      </w:tr>
      <w:tr>
        <w:trPr>
          <w:trHeight w:val="314"/>
        </w:trPr>
        <w:tc>
          <w:tcPr>
            <w:tcW w:w="5740" w:type="dxa"/>
            <w:vAlign w:val="bottom"/>
          </w:tcPr>
          <w:p>
            <w:pPr>
              <w:spacing w:after="0"/>
              <w:rPr>
                <w:sz w:val="20"/>
                <w:szCs w:val="20"/>
                <w:color w:val="auto"/>
              </w:rPr>
            </w:pPr>
            <w:r>
              <w:rPr>
                <w:rFonts w:ascii="Arial" w:cs="Arial" w:eastAsia="Arial" w:hAnsi="Arial"/>
                <w:sz w:val="20"/>
                <w:szCs w:val="20"/>
                <w:color w:val="auto"/>
                <w:w w:val="90"/>
              </w:rPr>
              <w:t xml:space="preserve">Amortization of discount and deferred finance costs </w:t>
            </w:r>
            <w:r>
              <w:rPr>
                <w:rFonts w:ascii="Arial" w:cs="Arial" w:eastAsia="Arial" w:hAnsi="Arial"/>
                <w:sz w:val="20"/>
                <w:szCs w:val="20"/>
                <w:color w:val="B4B4B4"/>
                <w:w w:val="90"/>
              </w:rPr>
              <w:t>. . . . . . . . . . . . . . . .</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43"/>
              <w:spacing w:after="0"/>
              <w:rPr>
                <w:sz w:val="20"/>
                <w:szCs w:val="20"/>
                <w:color w:val="auto"/>
              </w:rPr>
            </w:pPr>
            <w:r>
              <w:rPr>
                <w:rFonts w:ascii="Arial" w:cs="Arial" w:eastAsia="Arial" w:hAnsi="Arial"/>
                <w:sz w:val="20"/>
                <w:szCs w:val="20"/>
                <w:color w:val="auto"/>
              </w:rPr>
              <w:t>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63"/>
              <w:spacing w:after="0"/>
              <w:rPr>
                <w:sz w:val="20"/>
                <w:szCs w:val="20"/>
                <w:color w:val="auto"/>
              </w:rPr>
            </w:pPr>
            <w:r>
              <w:rPr>
                <w:rFonts w:ascii="Arial" w:cs="Arial" w:eastAsia="Arial" w:hAnsi="Arial"/>
                <w:sz w:val="20"/>
                <w:szCs w:val="20"/>
                <w:color w:val="auto"/>
              </w:rPr>
              <w:t>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3"/>
              <w:spacing w:after="0"/>
              <w:rPr>
                <w:sz w:val="20"/>
                <w:szCs w:val="20"/>
                <w:color w:val="auto"/>
              </w:rPr>
            </w:pPr>
            <w:r>
              <w:rPr>
                <w:rFonts w:ascii="Arial" w:cs="Arial" w:eastAsia="Arial" w:hAnsi="Arial"/>
                <w:sz w:val="20"/>
                <w:szCs w:val="20"/>
                <w:color w:val="auto"/>
              </w:rPr>
              <w:t>1</w:t>
            </w:r>
          </w:p>
        </w:tc>
      </w:tr>
      <w:tr>
        <w:trPr>
          <w:trHeight w:val="272"/>
        </w:trPr>
        <w:tc>
          <w:tcPr>
            <w:tcW w:w="5740" w:type="dxa"/>
            <w:vAlign w:val="bottom"/>
          </w:tcPr>
          <w:p>
            <w:pPr>
              <w:ind w:left="240"/>
              <w:spacing w:after="0"/>
              <w:rPr>
                <w:sz w:val="20"/>
                <w:szCs w:val="20"/>
                <w:color w:val="auto"/>
              </w:rPr>
            </w:pPr>
            <w:r>
              <w:rPr>
                <w:rFonts w:ascii="Arial" w:cs="Arial" w:eastAsia="Arial" w:hAnsi="Arial"/>
                <w:sz w:val="20"/>
                <w:szCs w:val="20"/>
                <w:color w:val="auto"/>
                <w:w w:val="90"/>
              </w:rPr>
              <w:t xml:space="preserve">Total  </w:t>
            </w:r>
            <w:r>
              <w:rPr>
                <w:rFonts w:ascii="Arial" w:cs="Arial" w:eastAsia="Arial" w:hAnsi="Arial"/>
                <w:sz w:val="20"/>
                <w:szCs w:val="20"/>
                <w:color w:val="B4B4B4"/>
                <w:w w:val="90"/>
              </w:rPr>
              <w:t>. . . . . . . . . . . . . . . . . . . . . . . . . . . . . . . . . . . . . . . . . . . . . . . . . .</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43"/>
              <w:spacing w:after="0"/>
              <w:rPr>
                <w:sz w:val="20"/>
                <w:szCs w:val="20"/>
                <w:color w:val="auto"/>
              </w:rPr>
            </w:pPr>
            <w:r>
              <w:rPr>
                <w:rFonts w:ascii="Arial" w:cs="Arial" w:eastAsia="Arial" w:hAnsi="Arial"/>
                <w:sz w:val="20"/>
                <w:szCs w:val="20"/>
                <w:color w:val="auto"/>
              </w:rPr>
              <w:t>10</w:t>
            </w:r>
          </w:p>
        </w:tc>
        <w:tc>
          <w:tcPr>
            <w:tcW w:w="4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63"/>
              <w:spacing w:after="0"/>
              <w:rPr>
                <w:sz w:val="20"/>
                <w:szCs w:val="20"/>
                <w:color w:val="auto"/>
              </w:rPr>
            </w:pPr>
            <w:r>
              <w:rPr>
                <w:rFonts w:ascii="Arial" w:cs="Arial" w:eastAsia="Arial" w:hAnsi="Arial"/>
                <w:sz w:val="20"/>
                <w:szCs w:val="20"/>
                <w:color w:val="auto"/>
              </w:rPr>
              <w:t>18</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43"/>
              <w:spacing w:after="0"/>
              <w:rPr>
                <w:sz w:val="20"/>
                <w:szCs w:val="20"/>
                <w:color w:val="auto"/>
              </w:rPr>
            </w:pPr>
            <w:r>
              <w:rPr>
                <w:rFonts w:ascii="Arial" w:cs="Arial" w:eastAsia="Arial" w:hAnsi="Arial"/>
                <w:sz w:val="20"/>
                <w:szCs w:val="20"/>
                <w:color w:val="auto"/>
              </w:rPr>
              <w:t>17</w:t>
            </w:r>
          </w:p>
        </w:tc>
      </w:tr>
      <w:tr>
        <w:trPr>
          <w:trHeight w:val="20"/>
        </w:trPr>
        <w:tc>
          <w:tcPr>
            <w:tcW w:w="5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581"/>
        </w:trPr>
        <w:tc>
          <w:tcPr>
            <w:tcW w:w="5740" w:type="dxa"/>
            <w:vAlign w:val="bottom"/>
          </w:tcPr>
          <w:p>
            <w:pPr>
              <w:spacing w:after="0"/>
              <w:rPr>
                <w:sz w:val="20"/>
                <w:szCs w:val="20"/>
                <w:color w:val="auto"/>
              </w:rPr>
            </w:pPr>
            <w:r>
              <w:rPr>
                <w:rFonts w:ascii="Arial" w:cs="Arial" w:eastAsia="Arial" w:hAnsi="Arial"/>
                <w:sz w:val="20"/>
                <w:szCs w:val="20"/>
                <w:color w:val="auto"/>
                <w:w w:val="90"/>
              </w:rPr>
              <w:t xml:space="preserve">Effective Interest Rate </w:t>
            </w:r>
            <w:r>
              <w:rPr>
                <w:rFonts w:ascii="Arial" w:cs="Arial" w:eastAsia="Arial" w:hAnsi="Arial"/>
                <w:sz w:val="20"/>
                <w:szCs w:val="20"/>
                <w:color w:val="B4B4B4"/>
                <w:w w:val="90"/>
              </w:rPr>
              <w:t>.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3.08 %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3.18 %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3.01 %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-994410</wp:posOffset>
            </wp:positionV>
            <wp:extent cx="6475095" cy="10153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3">
                      <a:extLst>
                        <a:ext uri="{28A0092B-C50C-407E-A947-70E740481C1C}"/>
                      </a:extLst>
                    </a:blip>
                    <a:srcRect/>
                    <a:stretch>
                      <a:fillRect/>
                    </a:stretch>
                  </pic:blipFill>
                  <pic:spPr bwMode="auto">
                    <a:xfrm>
                      <a:off x="0" y="0"/>
                      <a:ext cx="6475095" cy="1015365"/>
                    </a:xfrm>
                    <a:prstGeom prst="rect">
                      <a:avLst/>
                    </a:prstGeom>
                    <a:noFill/>
                  </pic:spPr>
                </pic:pic>
              </a:graphicData>
            </a:graphic>
          </wp:anchor>
        </w:drawing>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Convertible Senior Notes Repurchases</w:t>
      </w:r>
    </w:p>
    <w:p>
      <w:pPr>
        <w:spacing w:after="0" w:line="130" w:lineRule="exact"/>
        <w:rPr>
          <w:sz w:val="20"/>
          <w:szCs w:val="20"/>
          <w:color w:val="auto"/>
        </w:rPr>
      </w:pPr>
    </w:p>
    <w:p>
      <w:pPr>
        <w:jc w:val="both"/>
        <w:ind w:firstLine="445"/>
        <w:spacing w:after="0" w:line="305" w:lineRule="auto"/>
        <w:rPr>
          <w:sz w:val="20"/>
          <w:szCs w:val="20"/>
          <w:color w:val="auto"/>
        </w:rPr>
      </w:pPr>
      <w:r>
        <w:rPr>
          <w:rFonts w:ascii="Arial" w:cs="Arial" w:eastAsia="Arial" w:hAnsi="Arial"/>
          <w:sz w:val="18"/>
          <w:szCs w:val="18"/>
          <w:color w:val="auto"/>
        </w:rPr>
        <w:t>During the year ended December 31, 2024, the Company completed repurchases of a portion of the Convertible Senior Notes using cash on hand and a portion of the proceeds from the Term Loans, as detailed in the table below. For the year ended December 31, 2024, a $260 million loss on debt extinguishment was recorded in connection with the repurchases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20" w:type="dxa"/>
            <w:vAlign w:val="bottom"/>
          </w:tcPr>
          <w:p>
            <w:pPr>
              <w:ind w:left="60"/>
              <w:spacing w:after="0"/>
              <w:rPr>
                <w:sz w:val="20"/>
                <w:szCs w:val="20"/>
                <w:color w:val="auto"/>
              </w:rPr>
            </w:pPr>
            <w:r>
              <w:rPr>
                <w:rFonts w:ascii="Arial" w:cs="Arial" w:eastAsia="Arial" w:hAnsi="Arial"/>
                <w:sz w:val="16"/>
                <w:szCs w:val="16"/>
                <w:b w:val="1"/>
                <w:bCs w:val="1"/>
                <w:color w:val="auto"/>
              </w:rPr>
              <w:t>(In millions, except percentages)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Settlement Period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vMerge w:val="restart"/>
          </w:tcPr>
          <w:p>
            <w:pPr>
              <w:jc w:val="right"/>
              <w:ind w:right="266"/>
              <w:spacing w:after="0"/>
              <w:rPr>
                <w:sz w:val="20"/>
                <w:szCs w:val="20"/>
                <w:color w:val="auto"/>
              </w:rPr>
            </w:pPr>
            <w:r>
              <w:rPr>
                <w:rFonts w:ascii="Arial" w:cs="Arial" w:eastAsia="Arial" w:hAnsi="Arial"/>
                <w:sz w:val="16"/>
                <w:szCs w:val="16"/>
                <w:b w:val="1"/>
                <w:bCs w:val="1"/>
                <w:color w:val="auto"/>
                <w:w w:val="94"/>
              </w:rPr>
              <w:t>Principal Repurchased</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vMerge w:val="restart"/>
          </w:tcPr>
          <w:p>
            <w:pPr>
              <w:jc w:val="right"/>
              <w:ind w:right="646"/>
              <w:spacing w:after="0"/>
              <w:rPr>
                <w:sz w:val="20"/>
                <w:szCs w:val="20"/>
                <w:color w:val="auto"/>
              </w:rPr>
            </w:pPr>
            <w:r>
              <w:rPr>
                <w:rFonts w:ascii="Arial" w:cs="Arial" w:eastAsia="Arial" w:hAnsi="Arial"/>
                <w:sz w:val="16"/>
                <w:szCs w:val="16"/>
                <w:b w:val="1"/>
                <w:bCs w:val="1"/>
                <w:color w:val="auto"/>
              </w:rPr>
              <w:t>Cash Paid</w:t>
            </w:r>
            <w:r>
              <w:rPr>
                <w:rFonts w:ascii="Arial" w:cs="Arial" w:eastAsia="Arial" w:hAnsi="Arial"/>
                <w:sz w:val="20"/>
                <w:szCs w:val="20"/>
                <w:b w:val="1"/>
                <w:bCs w:val="1"/>
                <w:color w:val="auto"/>
                <w:vertAlign w:val="superscript"/>
              </w:rPr>
              <w:t>(a)</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87"/>
              </w:rPr>
              <w:t>Average Repurchase</w:t>
            </w:r>
          </w:p>
        </w:tc>
        <w:tc>
          <w:tcPr>
            <w:tcW w:w="0" w:type="dxa"/>
            <w:vAlign w:val="bottom"/>
          </w:tcPr>
          <w:p>
            <w:pPr>
              <w:spacing w:after="0"/>
              <w:rPr>
                <w:sz w:val="1"/>
                <w:szCs w:val="1"/>
                <w:color w:val="auto"/>
              </w:rPr>
            </w:pPr>
          </w:p>
        </w:tc>
      </w:tr>
      <w:tr>
        <w:trPr>
          <w:trHeight w:val="212"/>
        </w:trPr>
        <w:tc>
          <w:tcPr>
            <w:tcW w:w="33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Percentage</w:t>
            </w:r>
          </w:p>
        </w:tc>
        <w:tc>
          <w:tcPr>
            <w:tcW w:w="0" w:type="dxa"/>
            <w:vAlign w:val="bottom"/>
          </w:tcPr>
          <w:p>
            <w:pPr>
              <w:spacing w:after="0"/>
              <w:rPr>
                <w:sz w:val="1"/>
                <w:szCs w:val="1"/>
                <w:color w:val="auto"/>
              </w:rPr>
            </w:pPr>
          </w:p>
        </w:tc>
      </w:tr>
      <w:tr>
        <w:trPr>
          <w:trHeight w:val="275"/>
        </w:trPr>
        <w:tc>
          <w:tcPr>
            <w:tcW w:w="3320" w:type="dxa"/>
            <w:vAlign w:val="bottom"/>
          </w:tcPr>
          <w:p>
            <w:pPr>
              <w:ind w:left="60"/>
              <w:spacing w:after="0"/>
              <w:rPr>
                <w:sz w:val="20"/>
                <w:szCs w:val="20"/>
                <w:color w:val="auto"/>
              </w:rPr>
            </w:pPr>
            <w:r>
              <w:rPr>
                <w:rFonts w:ascii="Arial" w:cs="Arial" w:eastAsia="Arial" w:hAnsi="Arial"/>
                <w:sz w:val="20"/>
                <w:szCs w:val="20"/>
                <w:color w:val="auto"/>
                <w:w w:val="92"/>
              </w:rPr>
              <w:t xml:space="preserve">March 2024 </w:t>
            </w:r>
            <w:r>
              <w:rPr>
                <w:rFonts w:ascii="Arial" w:cs="Arial" w:eastAsia="Arial" w:hAnsi="Arial"/>
                <w:sz w:val="20"/>
                <w:szCs w:val="20"/>
                <w:color w:val="B4B4B4"/>
                <w:w w:val="92"/>
              </w:rPr>
              <w:t>. . . . . . . . . . . . . . . . . . . . . .</w:t>
            </w: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2020" w:type="dxa"/>
            <w:vAlign w:val="bottom"/>
          </w:tcPr>
          <w:p>
            <w:pPr>
              <w:jc w:val="right"/>
              <w:spacing w:after="0"/>
              <w:rPr>
                <w:sz w:val="20"/>
                <w:szCs w:val="20"/>
                <w:color w:val="auto"/>
              </w:rPr>
            </w:pPr>
            <w:r>
              <w:rPr>
                <w:rFonts w:ascii="Arial" w:cs="Arial" w:eastAsia="Arial" w:hAnsi="Arial"/>
                <w:sz w:val="20"/>
                <w:szCs w:val="20"/>
                <w:color w:val="auto"/>
              </w:rPr>
              <w:t>92</w:t>
            </w:r>
          </w:p>
        </w:tc>
        <w:tc>
          <w:tcPr>
            <w:tcW w:w="54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840" w:type="dxa"/>
            <w:vAlign w:val="bottom"/>
          </w:tcPr>
          <w:p>
            <w:pPr>
              <w:jc w:val="right"/>
              <w:spacing w:after="0"/>
              <w:rPr>
                <w:sz w:val="20"/>
                <w:szCs w:val="20"/>
                <w:color w:val="auto"/>
              </w:rPr>
            </w:pPr>
            <w:r>
              <w:rPr>
                <w:rFonts w:ascii="Arial" w:cs="Arial" w:eastAsia="Arial" w:hAnsi="Arial"/>
                <w:sz w:val="20"/>
                <w:szCs w:val="20"/>
                <w:color w:val="auto"/>
              </w:rPr>
              <w:t>151</w:t>
            </w:r>
          </w:p>
        </w:tc>
        <w:tc>
          <w:tcPr>
            <w:tcW w:w="2080" w:type="dxa"/>
            <w:vAlign w:val="bottom"/>
            <w:gridSpan w:val="2"/>
          </w:tcPr>
          <w:p>
            <w:pPr>
              <w:jc w:val="center"/>
              <w:ind w:left="41"/>
              <w:spacing w:after="0"/>
              <w:rPr>
                <w:sz w:val="20"/>
                <w:szCs w:val="20"/>
                <w:color w:val="auto"/>
              </w:rPr>
            </w:pPr>
            <w:r>
              <w:rPr>
                <w:rFonts w:ascii="Arial" w:cs="Arial" w:eastAsia="Arial" w:hAnsi="Arial"/>
                <w:sz w:val="20"/>
                <w:szCs w:val="20"/>
                <w:color w:val="auto"/>
                <w:w w:val="90"/>
              </w:rPr>
              <w:t>162.356%</w:t>
            </w:r>
          </w:p>
        </w:tc>
        <w:tc>
          <w:tcPr>
            <w:tcW w:w="0" w:type="dxa"/>
            <w:vAlign w:val="bottom"/>
          </w:tcPr>
          <w:p>
            <w:pPr>
              <w:spacing w:after="0"/>
              <w:rPr>
                <w:sz w:val="1"/>
                <w:szCs w:val="1"/>
                <w:color w:val="auto"/>
              </w:rPr>
            </w:pPr>
          </w:p>
        </w:tc>
      </w:tr>
      <w:tr>
        <w:trPr>
          <w:trHeight w:val="299"/>
        </w:trPr>
        <w:tc>
          <w:tcPr>
            <w:tcW w:w="3320" w:type="dxa"/>
            <w:vAlign w:val="bottom"/>
          </w:tcPr>
          <w:p>
            <w:pPr>
              <w:ind w:left="60"/>
              <w:spacing w:after="0"/>
              <w:rPr>
                <w:sz w:val="20"/>
                <w:szCs w:val="20"/>
                <w:color w:val="auto"/>
              </w:rPr>
            </w:pPr>
            <w:r>
              <w:rPr>
                <w:rFonts w:ascii="Arial" w:cs="Arial" w:eastAsia="Arial" w:hAnsi="Arial"/>
                <w:sz w:val="20"/>
                <w:szCs w:val="20"/>
                <w:color w:val="auto"/>
                <w:w w:val="93"/>
              </w:rPr>
              <w:t xml:space="preserve">April 2024 </w:t>
            </w:r>
            <w:r>
              <w:rPr>
                <w:rFonts w:ascii="Arial" w:cs="Arial" w:eastAsia="Arial" w:hAnsi="Arial"/>
                <w:sz w:val="20"/>
                <w:szCs w:val="20"/>
                <w:color w:val="B4B4B4"/>
                <w:w w:val="93"/>
              </w:rPr>
              <w:t>. . . . . . . . . . . . . . . . . . . . . . .</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452</w:t>
            </w:r>
          </w:p>
        </w:tc>
        <w:tc>
          <w:tcPr>
            <w:tcW w:w="2080" w:type="dxa"/>
            <w:vAlign w:val="bottom"/>
            <w:gridSpan w:val="2"/>
          </w:tcPr>
          <w:p>
            <w:pPr>
              <w:jc w:val="center"/>
              <w:ind w:left="41"/>
              <w:spacing w:after="0"/>
              <w:rPr>
                <w:sz w:val="20"/>
                <w:szCs w:val="20"/>
                <w:color w:val="auto"/>
              </w:rPr>
            </w:pPr>
            <w:r>
              <w:rPr>
                <w:rFonts w:ascii="Arial" w:cs="Arial" w:eastAsia="Arial" w:hAnsi="Arial"/>
                <w:sz w:val="20"/>
                <w:szCs w:val="20"/>
                <w:color w:val="auto"/>
                <w:w w:val="90"/>
              </w:rPr>
              <w:t>179.454%</w:t>
            </w:r>
          </w:p>
        </w:tc>
        <w:tc>
          <w:tcPr>
            <w:tcW w:w="0" w:type="dxa"/>
            <w:vAlign w:val="bottom"/>
          </w:tcPr>
          <w:p>
            <w:pPr>
              <w:spacing w:after="0"/>
              <w:rPr>
                <w:sz w:val="1"/>
                <w:szCs w:val="1"/>
                <w:color w:val="auto"/>
              </w:rPr>
            </w:pPr>
          </w:p>
        </w:tc>
      </w:tr>
      <w:tr>
        <w:trPr>
          <w:trHeight w:val="257"/>
        </w:trPr>
        <w:tc>
          <w:tcPr>
            <w:tcW w:w="3320" w:type="dxa"/>
            <w:vAlign w:val="bottom"/>
          </w:tcPr>
          <w:p>
            <w:pPr>
              <w:ind w:left="300"/>
              <w:spacing w:after="0"/>
              <w:rPr>
                <w:sz w:val="20"/>
                <w:szCs w:val="20"/>
                <w:color w:val="auto"/>
              </w:rPr>
            </w:pPr>
            <w:r>
              <w:rPr>
                <w:rFonts w:ascii="Arial" w:cs="Arial" w:eastAsia="Arial" w:hAnsi="Arial"/>
                <w:sz w:val="20"/>
                <w:szCs w:val="20"/>
                <w:b w:val="1"/>
                <w:bCs w:val="1"/>
                <w:color w:val="auto"/>
                <w:w w:val="89"/>
              </w:rPr>
              <w:t xml:space="preserve">Total Repurchases </w:t>
            </w:r>
            <w:r>
              <w:rPr>
                <w:rFonts w:ascii="Arial" w:cs="Arial" w:eastAsia="Arial" w:hAnsi="Arial"/>
                <w:sz w:val="20"/>
                <w:szCs w:val="20"/>
                <w:b w:val="1"/>
                <w:bCs w:val="1"/>
                <w:color w:val="B4B4B4"/>
                <w:w w:val="89"/>
              </w:rPr>
              <w:t>. . . . . . . . . . . . . .</w:t>
            </w: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2020" w:type="dxa"/>
            <w:vAlign w:val="bottom"/>
          </w:tcPr>
          <w:p>
            <w:pPr>
              <w:jc w:val="right"/>
              <w:spacing w:after="0"/>
              <w:rPr>
                <w:sz w:val="20"/>
                <w:szCs w:val="20"/>
                <w:color w:val="auto"/>
              </w:rPr>
            </w:pPr>
            <w:r>
              <w:rPr>
                <w:rFonts w:ascii="Arial" w:cs="Arial" w:eastAsia="Arial" w:hAnsi="Arial"/>
                <w:sz w:val="20"/>
                <w:szCs w:val="20"/>
                <w:color w:val="auto"/>
              </w:rPr>
              <w:t>343</w:t>
            </w:r>
          </w:p>
        </w:tc>
        <w:tc>
          <w:tcPr>
            <w:tcW w:w="54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840" w:type="dxa"/>
            <w:vAlign w:val="bottom"/>
          </w:tcPr>
          <w:p>
            <w:pPr>
              <w:jc w:val="right"/>
              <w:spacing w:after="0"/>
              <w:rPr>
                <w:sz w:val="20"/>
                <w:szCs w:val="20"/>
                <w:color w:val="auto"/>
              </w:rPr>
            </w:pPr>
            <w:r>
              <w:rPr>
                <w:rFonts w:ascii="Arial" w:cs="Arial" w:eastAsia="Arial" w:hAnsi="Arial"/>
                <w:sz w:val="20"/>
                <w:szCs w:val="20"/>
                <w:color w:val="auto"/>
              </w:rPr>
              <w:t>603</w:t>
            </w: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-596900</wp:posOffset>
            </wp:positionV>
            <wp:extent cx="6475095" cy="6038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4">
                      <a:extLst>
                        <a:ext uri="{28A0092B-C50C-407E-A947-70E740481C1C}"/>
                      </a:extLst>
                    </a:blip>
                    <a:srcRect/>
                    <a:stretch>
                      <a:fillRect/>
                    </a:stretch>
                  </pic:blipFill>
                  <pic:spPr bwMode="auto">
                    <a:xfrm>
                      <a:off x="0" y="0"/>
                      <a:ext cx="6475095" cy="60388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6"/>
          <w:szCs w:val="16"/>
          <w:color w:val="auto"/>
        </w:rPr>
        <w:t>(a) Includes accrued interest of $1 million and $2 million for the March and April repurchases, respectively</w:t>
      </w:r>
    </w:p>
    <w:p>
      <w:pPr>
        <w:sectPr>
          <w:pgSz w:w="11880" w:h="15480" w:orient="portrait"/>
          <w:cols w:equalWidth="0" w:num="1">
            <w:col w:w="10160"/>
          </w:cols>
          <w:pgMar w:left="860" w:top="50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ectPr>
          <w:pgSz w:w="11880" w:h="15480" w:orient="portrait"/>
          <w:cols w:equalWidth="0" w:num="1">
            <w:col w:w="10160"/>
          </w:cols>
          <w:pgMar w:left="860" w:top="508" w:right="860" w:bottom="0" w:gutter="0" w:footer="0" w:header="0"/>
          <w:type w:val="continuous"/>
        </w:sectPr>
      </w:pPr>
    </w:p>
    <w:bookmarkStart w:id="134" w:name="page135"/>
    <w:bookmarkEnd w:id="134"/>
    <w:p>
      <w:pPr>
        <w:ind w:left="440"/>
        <w:spacing w:after="0"/>
        <w:rPr>
          <w:sz w:val="20"/>
          <w:szCs w:val="20"/>
          <w:color w:val="auto"/>
        </w:rPr>
      </w:pPr>
      <w:r>
        <w:rPr>
          <w:rFonts w:ascii="Arial" w:cs="Arial" w:eastAsia="Arial" w:hAnsi="Arial"/>
          <w:sz w:val="20"/>
          <w:szCs w:val="20"/>
          <w:b w:val="1"/>
          <w:bCs w:val="1"/>
          <w:i w:val="1"/>
          <w:iCs w:val="1"/>
          <w:color w:val="auto"/>
        </w:rPr>
        <w:t>Capped Call Options</w:t>
      </w:r>
    </w:p>
    <w:p>
      <w:pPr>
        <w:spacing w:after="0" w:line="13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 xml:space="preserve">During the second quarter of 2024, the Company entered into privately negotiated capped call transactions with certain counterparties (the “Capped Calls”) to effectively lock in a conversion premium of $257 million on the remaining $232 million in aggregate principal amount of the Convertible Senior Notes. The option price of $257 million was incurred when the Company entered into the Capped Calls, which will be payable upon the earlier of settlement and expiration of the applicable Capped Calls. For further discussion see Note 15, </w:t>
      </w:r>
      <w:r>
        <w:rPr>
          <w:rFonts w:ascii="Arial" w:cs="Arial" w:eastAsia="Arial" w:hAnsi="Arial"/>
          <w:sz w:val="20"/>
          <w:szCs w:val="20"/>
          <w:b w:val="1"/>
          <w:bCs w:val="1"/>
          <w:i w:val="1"/>
          <w:iCs w:val="1"/>
          <w:color w:val="auto"/>
        </w:rPr>
        <w:t>Capital Structure.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Senior Notes Early Redemption</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As of December 31, 2024, the Company had the following outstanding issuances of senior notes with an early redemption feature, or Senior Notes:</w:t>
      </w:r>
    </w:p>
    <w:p>
      <w:pPr>
        <w:spacing w:after="0" w:line="63" w:lineRule="exact"/>
        <w:rPr>
          <w:sz w:val="20"/>
          <w:szCs w:val="20"/>
          <w:color w:val="auto"/>
        </w:rPr>
      </w:pPr>
    </w:p>
    <w:p>
      <w:pPr>
        <w:ind w:left="1420" w:hanging="706"/>
        <w:spacing w:after="0"/>
        <w:tabs>
          <w:tab w:leader="none" w:pos="1420" w:val="left"/>
        </w:tabs>
        <w:numPr>
          <w:ilvl w:val="0"/>
          <w:numId w:val="83"/>
        </w:numPr>
        <w:rPr>
          <w:rFonts w:ascii="Arial" w:cs="Arial" w:eastAsia="Arial" w:hAnsi="Arial"/>
          <w:sz w:val="19"/>
          <w:szCs w:val="19"/>
          <w:color w:val="auto"/>
        </w:rPr>
      </w:pPr>
      <w:r>
        <w:rPr>
          <w:rFonts w:ascii="Arial" w:cs="Arial" w:eastAsia="Arial" w:hAnsi="Arial"/>
          <w:sz w:val="19"/>
          <w:szCs w:val="19"/>
          <w:color w:val="auto"/>
        </w:rPr>
        <w:t>5.750% senior notes, issued December 7, 2017 and due January 15, 2028, or the 2028 Senior Notes;</w:t>
      </w:r>
    </w:p>
    <w:p>
      <w:pPr>
        <w:spacing w:after="0" w:line="78" w:lineRule="exact"/>
        <w:rPr>
          <w:rFonts w:ascii="Arial" w:cs="Arial" w:eastAsia="Arial" w:hAnsi="Arial"/>
          <w:sz w:val="19"/>
          <w:szCs w:val="19"/>
          <w:color w:val="auto"/>
        </w:rPr>
      </w:pPr>
    </w:p>
    <w:p>
      <w:pPr>
        <w:ind w:left="1420" w:hanging="706"/>
        <w:spacing w:after="0"/>
        <w:tabs>
          <w:tab w:leader="none" w:pos="1420" w:val="left"/>
        </w:tabs>
        <w:numPr>
          <w:ilvl w:val="0"/>
          <w:numId w:val="83"/>
        </w:numPr>
        <w:rPr>
          <w:rFonts w:ascii="Arial" w:cs="Arial" w:eastAsia="Arial" w:hAnsi="Arial"/>
          <w:sz w:val="19"/>
          <w:szCs w:val="19"/>
          <w:color w:val="auto"/>
        </w:rPr>
      </w:pPr>
      <w:r>
        <w:rPr>
          <w:rFonts w:ascii="Arial" w:cs="Arial" w:eastAsia="Arial" w:hAnsi="Arial"/>
          <w:sz w:val="19"/>
          <w:szCs w:val="19"/>
          <w:color w:val="auto"/>
        </w:rPr>
        <w:t>5.250% senior notes, issued May 24, 2019 and due June 15, 2029, or the 5.250% 2029 Senior Notes;</w:t>
      </w:r>
    </w:p>
    <w:p>
      <w:pPr>
        <w:spacing w:after="0" w:line="78" w:lineRule="exact"/>
        <w:rPr>
          <w:rFonts w:ascii="Arial" w:cs="Arial" w:eastAsia="Arial" w:hAnsi="Arial"/>
          <w:sz w:val="19"/>
          <w:szCs w:val="19"/>
          <w:color w:val="auto"/>
        </w:rPr>
      </w:pPr>
    </w:p>
    <w:p>
      <w:pPr>
        <w:ind w:left="1420" w:hanging="706"/>
        <w:spacing w:after="0"/>
        <w:tabs>
          <w:tab w:leader="none" w:pos="14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3.375% senior notes, issued December 2, 2020 and due February 15, 2029, or the 3.375% 2029 Senior Notes;</w:t>
      </w:r>
    </w:p>
    <w:p>
      <w:pPr>
        <w:spacing w:after="0" w:line="113" w:lineRule="exact"/>
        <w:rPr>
          <w:rFonts w:ascii="Arial" w:cs="Arial" w:eastAsia="Arial" w:hAnsi="Arial"/>
          <w:sz w:val="16"/>
          <w:szCs w:val="16"/>
          <w:color w:val="auto"/>
        </w:rPr>
      </w:pPr>
    </w:p>
    <w:p>
      <w:pPr>
        <w:ind w:left="1420" w:hanging="706"/>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5.750% senior notes, issued October 30, 2024 and due July 15, 2029, or the 5.750% 2029 Senior Notes;</w:t>
      </w:r>
    </w:p>
    <w:p>
      <w:pPr>
        <w:spacing w:after="0" w:line="90" w:lineRule="exact"/>
        <w:rPr>
          <w:rFonts w:ascii="Arial" w:cs="Arial" w:eastAsia="Arial" w:hAnsi="Arial"/>
          <w:sz w:val="18"/>
          <w:szCs w:val="18"/>
          <w:color w:val="auto"/>
        </w:rPr>
      </w:pPr>
    </w:p>
    <w:p>
      <w:pPr>
        <w:ind w:left="1420" w:hanging="706"/>
        <w:spacing w:after="0"/>
        <w:tabs>
          <w:tab w:leader="none" w:pos="1420" w:val="left"/>
        </w:tabs>
        <w:numPr>
          <w:ilvl w:val="0"/>
          <w:numId w:val="83"/>
        </w:numPr>
        <w:rPr>
          <w:rFonts w:ascii="Arial" w:cs="Arial" w:eastAsia="Arial" w:hAnsi="Arial"/>
          <w:sz w:val="19"/>
          <w:szCs w:val="19"/>
          <w:color w:val="auto"/>
        </w:rPr>
      </w:pPr>
      <w:r>
        <w:rPr>
          <w:rFonts w:ascii="Arial" w:cs="Arial" w:eastAsia="Arial" w:hAnsi="Arial"/>
          <w:sz w:val="19"/>
          <w:szCs w:val="19"/>
          <w:color w:val="auto"/>
        </w:rPr>
        <w:t>3.625% senior notes, issued December 2, 2020 and due February 15, 2031, or the 2031 Senior Notes;</w:t>
      </w:r>
    </w:p>
    <w:p>
      <w:pPr>
        <w:spacing w:after="0" w:line="78" w:lineRule="exact"/>
        <w:rPr>
          <w:rFonts w:ascii="Arial" w:cs="Arial" w:eastAsia="Arial" w:hAnsi="Arial"/>
          <w:sz w:val="19"/>
          <w:szCs w:val="19"/>
          <w:color w:val="auto"/>
        </w:rPr>
      </w:pPr>
    </w:p>
    <w:p>
      <w:pPr>
        <w:ind w:left="1420" w:hanging="706"/>
        <w:spacing w:after="0"/>
        <w:tabs>
          <w:tab w:leader="none" w:pos="1420" w:val="left"/>
        </w:tabs>
        <w:numPr>
          <w:ilvl w:val="0"/>
          <w:numId w:val="83"/>
        </w:numPr>
        <w:rPr>
          <w:rFonts w:ascii="Arial" w:cs="Arial" w:eastAsia="Arial" w:hAnsi="Arial"/>
          <w:sz w:val="19"/>
          <w:szCs w:val="19"/>
          <w:color w:val="auto"/>
        </w:rPr>
      </w:pPr>
      <w:r>
        <w:rPr>
          <w:rFonts w:ascii="Arial" w:cs="Arial" w:eastAsia="Arial" w:hAnsi="Arial"/>
          <w:sz w:val="19"/>
          <w:szCs w:val="19"/>
          <w:color w:val="auto"/>
        </w:rPr>
        <w:t>3.875% senior notes, issued August 23, 2021 and due February 15, 2032, or the 2032 Senior Notes;</w:t>
      </w:r>
    </w:p>
    <w:p>
      <w:pPr>
        <w:spacing w:after="0" w:line="78" w:lineRule="exact"/>
        <w:rPr>
          <w:rFonts w:ascii="Arial" w:cs="Arial" w:eastAsia="Arial" w:hAnsi="Arial"/>
          <w:sz w:val="19"/>
          <w:szCs w:val="19"/>
          <w:color w:val="auto"/>
        </w:rPr>
      </w:pPr>
    </w:p>
    <w:p>
      <w:pPr>
        <w:ind w:left="1420" w:hanging="706"/>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6.000% senior notes, issued October 30, 2024 and due February 1, 2033, or the 2033 Senior Notes; and</w:t>
      </w:r>
    </w:p>
    <w:p>
      <w:pPr>
        <w:spacing w:after="0" w:line="90" w:lineRule="exact"/>
        <w:rPr>
          <w:rFonts w:ascii="Arial" w:cs="Arial" w:eastAsia="Arial" w:hAnsi="Arial"/>
          <w:sz w:val="18"/>
          <w:szCs w:val="18"/>
          <w:color w:val="auto"/>
        </w:rPr>
      </w:pPr>
    </w:p>
    <w:p>
      <w:pPr>
        <w:ind w:left="1420" w:hanging="706"/>
        <w:spacing w:after="0"/>
        <w:tabs>
          <w:tab w:leader="none" w:pos="1420" w:val="left"/>
        </w:tabs>
        <w:numPr>
          <w:ilvl w:val="0"/>
          <w:numId w:val="83"/>
        </w:numPr>
        <w:rPr>
          <w:rFonts w:ascii="Arial" w:cs="Arial" w:eastAsia="Arial" w:hAnsi="Arial"/>
          <w:sz w:val="19"/>
          <w:szCs w:val="19"/>
          <w:color w:val="auto"/>
        </w:rPr>
      </w:pPr>
      <w:r>
        <w:rPr>
          <w:rFonts w:ascii="Arial" w:cs="Arial" w:eastAsia="Arial" w:hAnsi="Arial"/>
          <w:sz w:val="19"/>
          <w:szCs w:val="19"/>
          <w:color w:val="auto"/>
        </w:rPr>
        <w:t>6.250% senior notes, issued October 30, 2024 and due November 1, 2034, or the 2034 Senior Notes.</w:t>
      </w:r>
    </w:p>
    <w:p>
      <w:pPr>
        <w:spacing w:after="0" w:line="138"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9"/>
          <w:szCs w:val="19"/>
          <w:color w:val="auto"/>
        </w:rPr>
        <w:t>The indentures and the forms of notes provide, among other things, that the Senior Notes will be senior unsecured obligations of the Company. The indentures also provide for customary events of default, which include, among others: nonpayment of principal or interest; breach of other covenants in the indentures; defaults in failure to pay certain other indebtedness; the rendering of judgments to pay certain amounts of money against the Company and certain of its subsidiaries; the failure of certain guarantees to be enforceable; and certain events of bankruptcy or insolvency. Generally, if an event of default occurs and continues, the trustee or the holders of at least 25% or 30% (depending on the series of Senior Notes) in principal amount of the then-outstanding series of Senior Notes may declare all of the Senior Notes of such series to be due and payable immediately. The terms of the indentures contain certain restrictions on incurring secured debt and consolidating, merging or transferring all or substantially all of the Company’s assets. Interest is payable semi-annually on the Senior Notes until their maturity dates.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2028 Senior Notes</w:t>
      </w:r>
    </w:p>
    <w:p>
      <w:pPr>
        <w:spacing w:after="0" w:line="130"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Company may redeem some or all of the 2028 Senior Notes at redemption prices expressed as percentages of principal amount as set forth in the following table, plus accrued and unpaid interest on the notes redeemed up to the redemption date:</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8"/>
              </w:rPr>
              <w:t>Redemption Period</w:t>
            </w:r>
          </w:p>
        </w:tc>
        <w:tc>
          <w:tcPr>
            <w:tcW w:w="7120" w:type="dxa"/>
            <w:vAlign w:val="bottom"/>
            <w:vMerge w:val="restart"/>
          </w:tcPr>
          <w:p>
            <w:pPr>
              <w:spacing w:after="0"/>
              <w:rPr>
                <w:sz w:val="18"/>
                <w:szCs w:val="18"/>
                <w:color w:val="auto"/>
              </w:rPr>
            </w:pPr>
          </w:p>
        </w:tc>
        <w:tc>
          <w:tcPr>
            <w:tcW w:w="1480" w:type="dxa"/>
            <w:vAlign w:val="bottom"/>
          </w:tcPr>
          <w:p>
            <w:pPr>
              <w:jc w:val="right"/>
              <w:ind w:right="186"/>
              <w:spacing w:after="0"/>
              <w:rPr>
                <w:sz w:val="20"/>
                <w:szCs w:val="20"/>
                <w:color w:val="auto"/>
              </w:rPr>
            </w:pPr>
            <w:r>
              <w:rPr>
                <w:rFonts w:ascii="Arial" w:cs="Arial" w:eastAsia="Arial" w:hAnsi="Arial"/>
                <w:sz w:val="18"/>
                <w:szCs w:val="18"/>
                <w:b w:val="1"/>
                <w:bCs w:val="1"/>
                <w:color w:val="auto"/>
              </w:rPr>
              <w:t>Redemption</w:t>
            </w:r>
          </w:p>
        </w:tc>
        <w:tc>
          <w:tcPr>
            <w:tcW w:w="0" w:type="dxa"/>
            <w:vAlign w:val="bottom"/>
          </w:tcPr>
          <w:p>
            <w:pPr>
              <w:spacing w:after="0"/>
              <w:rPr>
                <w:sz w:val="1"/>
                <w:szCs w:val="1"/>
                <w:color w:val="auto"/>
              </w:rPr>
            </w:pPr>
          </w:p>
        </w:tc>
      </w:tr>
      <w:tr>
        <w:trPr>
          <w:trHeight w:val="198"/>
        </w:trPr>
        <w:tc>
          <w:tcPr>
            <w:tcW w:w="1480" w:type="dxa"/>
            <w:vAlign w:val="bottom"/>
            <w:tcBorders>
              <w:bottom w:val="single" w:sz="8" w:color="auto"/>
            </w:tcBorders>
            <w:gridSpan w:val="2"/>
            <w:vMerge w:val="continue"/>
          </w:tcPr>
          <w:p>
            <w:pPr>
              <w:spacing w:after="0"/>
              <w:rPr>
                <w:sz w:val="16"/>
                <w:szCs w:val="16"/>
                <w:color w:val="auto"/>
              </w:rPr>
            </w:pPr>
          </w:p>
        </w:tc>
        <w:tc>
          <w:tcPr>
            <w:tcW w:w="7120" w:type="dxa"/>
            <w:vAlign w:val="bottom"/>
            <w:vMerge w:val="continue"/>
          </w:tcPr>
          <w:p>
            <w:pPr>
              <w:spacing w:after="0"/>
              <w:rPr>
                <w:sz w:val="16"/>
                <w:szCs w:val="16"/>
                <w:color w:val="auto"/>
              </w:rPr>
            </w:pPr>
          </w:p>
        </w:tc>
        <w:tc>
          <w:tcPr>
            <w:tcW w:w="1480" w:type="dxa"/>
            <w:vAlign w:val="bottom"/>
          </w:tcPr>
          <w:p>
            <w:pPr>
              <w:jc w:val="right"/>
              <w:ind w:right="226"/>
              <w:spacing w:after="0" w:line="193" w:lineRule="exact"/>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3"/>
        </w:trPr>
        <w:tc>
          <w:tcPr>
            <w:tcW w:w="940" w:type="dxa"/>
            <w:vAlign w:val="bottom"/>
          </w:tcPr>
          <w:p>
            <w:pPr>
              <w:spacing w:after="0"/>
              <w:rPr>
                <w:sz w:val="2"/>
                <w:szCs w:val="2"/>
                <w:color w:val="auto"/>
              </w:rPr>
            </w:pPr>
          </w:p>
        </w:tc>
        <w:tc>
          <w:tcPr>
            <w:tcW w:w="7660" w:type="dxa"/>
            <w:vAlign w:val="bottom"/>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940" w:type="dxa"/>
            <w:vAlign w:val="bottom"/>
          </w:tcPr>
          <w:p>
            <w:pPr>
              <w:spacing w:after="0"/>
              <w:rPr>
                <w:sz w:val="20"/>
                <w:szCs w:val="20"/>
                <w:color w:val="auto"/>
              </w:rPr>
            </w:pPr>
            <w:r>
              <w:rPr>
                <w:rFonts w:ascii="Arial" w:cs="Arial" w:eastAsia="Arial" w:hAnsi="Arial"/>
                <w:sz w:val="20"/>
                <w:szCs w:val="20"/>
                <w:color w:val="auto"/>
                <w:w w:val="87"/>
              </w:rPr>
              <w:t>January 15,</w:t>
            </w:r>
          </w:p>
        </w:tc>
        <w:tc>
          <w:tcPr>
            <w:tcW w:w="7660" w:type="dxa"/>
            <w:vAlign w:val="bottom"/>
            <w:gridSpan w:val="2"/>
          </w:tcPr>
          <w:p>
            <w:pPr>
              <w:ind w:left="20"/>
              <w:spacing w:after="0"/>
              <w:rPr>
                <w:sz w:val="20"/>
                <w:szCs w:val="20"/>
                <w:color w:val="auto"/>
              </w:rPr>
            </w:pPr>
            <w:r>
              <w:rPr>
                <w:rFonts w:ascii="Arial" w:cs="Arial" w:eastAsia="Arial" w:hAnsi="Arial"/>
                <w:sz w:val="20"/>
                <w:szCs w:val="20"/>
                <w:color w:val="auto"/>
                <w:w w:val="89"/>
              </w:rPr>
              <w:t xml:space="preserve">2025 to January 14, 2026 </w:t>
            </w:r>
            <w:r>
              <w:rPr>
                <w:rFonts w:ascii="Arial" w:cs="Arial" w:eastAsia="Arial" w:hAnsi="Arial"/>
                <w:sz w:val="20"/>
                <w:szCs w:val="20"/>
                <w:color w:val="B4B4B4"/>
                <w:w w:val="89"/>
              </w:rPr>
              <w:t>. . .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100.958 %</w:t>
            </w:r>
          </w:p>
        </w:tc>
        <w:tc>
          <w:tcPr>
            <w:tcW w:w="0" w:type="dxa"/>
            <w:vAlign w:val="bottom"/>
          </w:tcPr>
          <w:p>
            <w:pPr>
              <w:spacing w:after="0"/>
              <w:rPr>
                <w:sz w:val="1"/>
                <w:szCs w:val="1"/>
                <w:color w:val="auto"/>
              </w:rPr>
            </w:pPr>
          </w:p>
        </w:tc>
      </w:tr>
      <w:tr>
        <w:trPr>
          <w:trHeight w:val="297"/>
        </w:trPr>
        <w:tc>
          <w:tcPr>
            <w:tcW w:w="940" w:type="dxa"/>
            <w:vAlign w:val="bottom"/>
          </w:tcPr>
          <w:p>
            <w:pPr>
              <w:spacing w:after="0"/>
              <w:rPr>
                <w:sz w:val="20"/>
                <w:szCs w:val="20"/>
                <w:color w:val="auto"/>
              </w:rPr>
            </w:pPr>
            <w:r>
              <w:rPr>
                <w:rFonts w:ascii="Arial" w:cs="Arial" w:eastAsia="Arial" w:hAnsi="Arial"/>
                <w:sz w:val="20"/>
                <w:szCs w:val="20"/>
                <w:color w:val="auto"/>
                <w:w w:val="87"/>
              </w:rPr>
              <w:t>January 15,</w:t>
            </w:r>
          </w:p>
        </w:tc>
        <w:tc>
          <w:tcPr>
            <w:tcW w:w="7660" w:type="dxa"/>
            <w:vAlign w:val="bottom"/>
            <w:gridSpan w:val="2"/>
          </w:tcPr>
          <w:p>
            <w:pPr>
              <w:ind w:left="20"/>
              <w:spacing w:after="0"/>
              <w:rPr>
                <w:sz w:val="20"/>
                <w:szCs w:val="20"/>
                <w:color w:val="auto"/>
              </w:rPr>
            </w:pPr>
            <w:r>
              <w:rPr>
                <w:rFonts w:ascii="Arial" w:cs="Arial" w:eastAsia="Arial" w:hAnsi="Arial"/>
                <w:sz w:val="20"/>
                <w:szCs w:val="20"/>
                <w:color w:val="auto"/>
                <w:w w:val="89"/>
              </w:rPr>
              <w:t xml:space="preserve">2026 and thereafter </w:t>
            </w:r>
            <w:r>
              <w:rPr>
                <w:rFonts w:ascii="Arial" w:cs="Arial" w:eastAsia="Arial" w:hAnsi="Arial"/>
                <w:sz w:val="20"/>
                <w:szCs w:val="20"/>
                <w:color w:val="B4B4B4"/>
                <w:w w:val="89"/>
              </w:rPr>
              <w:t>. . . . . . . .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100.000 %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-381635</wp:posOffset>
            </wp:positionV>
            <wp:extent cx="6466205" cy="402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25">
                      <a:extLst>
                        <a:ext uri="{28A0092B-C50C-407E-A947-70E740481C1C}"/>
                      </a:extLst>
                    </a:blip>
                    <a:srcRect/>
                    <a:stretch>
                      <a:fillRect/>
                    </a:stretch>
                  </pic:blipFill>
                  <pic:spPr bwMode="auto">
                    <a:xfrm>
                      <a:off x="0" y="0"/>
                      <a:ext cx="6466205" cy="402590"/>
                    </a:xfrm>
                    <a:prstGeom prst="rect">
                      <a:avLst/>
                    </a:prstGeom>
                    <a:noFill/>
                  </pic:spPr>
                </pic:pic>
              </a:graphicData>
            </a:graphic>
          </wp:anchor>
        </w:drawing>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5.250% 2029 Senior Notes</w:t>
      </w:r>
    </w:p>
    <w:p>
      <w:pPr>
        <w:spacing w:after="0" w:line="130" w:lineRule="exact"/>
        <w:rPr>
          <w:sz w:val="20"/>
          <w:szCs w:val="20"/>
          <w:color w:val="auto"/>
        </w:rPr>
      </w:pPr>
    </w:p>
    <w:p>
      <w:pPr>
        <w:jc w:val="both"/>
        <w:ind w:firstLine="445"/>
        <w:spacing w:after="0" w:line="335" w:lineRule="auto"/>
        <w:rPr>
          <w:sz w:val="20"/>
          <w:szCs w:val="20"/>
          <w:color w:val="auto"/>
        </w:rPr>
      </w:pPr>
      <w:r>
        <w:rPr>
          <w:rFonts w:ascii="Arial" w:cs="Arial" w:eastAsia="Arial" w:hAnsi="Arial"/>
          <w:sz w:val="18"/>
          <w:szCs w:val="18"/>
          <w:color w:val="auto"/>
        </w:rPr>
        <w:t>The Company may redeem some or all of the notes at redemption prices expressed as percentages of principal amount as set forth in the following table, plus accrued and unpaid interest on the notes redeemed up to the redemption date:</w:t>
      </w:r>
    </w:p>
    <w:p>
      <w:pPr>
        <w:spacing w:after="0" w:line="2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80" w:type="dxa"/>
            <w:vAlign w:val="bottom"/>
            <w:vMerge w:val="restart"/>
          </w:tcPr>
          <w:p>
            <w:pPr>
              <w:spacing w:after="0"/>
              <w:rPr>
                <w:sz w:val="20"/>
                <w:szCs w:val="20"/>
                <w:color w:val="auto"/>
              </w:rPr>
            </w:pPr>
            <w:r>
              <w:rPr>
                <w:rFonts w:ascii="Arial" w:cs="Arial" w:eastAsia="Arial" w:hAnsi="Arial"/>
                <w:sz w:val="18"/>
                <w:szCs w:val="18"/>
                <w:b w:val="1"/>
                <w:bCs w:val="1"/>
                <w:color w:val="auto"/>
                <w:w w:val="88"/>
              </w:rPr>
              <w:t>Redemption Period</w:t>
            </w:r>
          </w:p>
        </w:tc>
        <w:tc>
          <w:tcPr>
            <w:tcW w:w="7120" w:type="dxa"/>
            <w:vAlign w:val="bottom"/>
            <w:vMerge w:val="restart"/>
          </w:tcPr>
          <w:p>
            <w:pPr>
              <w:spacing w:after="0"/>
              <w:rPr>
                <w:sz w:val="18"/>
                <w:szCs w:val="18"/>
                <w:color w:val="auto"/>
              </w:rPr>
            </w:pPr>
          </w:p>
        </w:tc>
        <w:tc>
          <w:tcPr>
            <w:tcW w:w="1480" w:type="dxa"/>
            <w:vAlign w:val="bottom"/>
          </w:tcPr>
          <w:p>
            <w:pPr>
              <w:jc w:val="right"/>
              <w:ind w:right="184"/>
              <w:spacing w:after="0"/>
              <w:rPr>
                <w:sz w:val="20"/>
                <w:szCs w:val="20"/>
                <w:color w:val="auto"/>
              </w:rPr>
            </w:pPr>
            <w:r>
              <w:rPr>
                <w:rFonts w:ascii="Arial" w:cs="Arial" w:eastAsia="Arial" w:hAnsi="Arial"/>
                <w:sz w:val="18"/>
                <w:szCs w:val="18"/>
                <w:b w:val="1"/>
                <w:bCs w:val="1"/>
                <w:color w:val="auto"/>
              </w:rPr>
              <w:t>Redemption</w:t>
            </w:r>
          </w:p>
        </w:tc>
        <w:tc>
          <w:tcPr>
            <w:tcW w:w="0" w:type="dxa"/>
            <w:vAlign w:val="bottom"/>
          </w:tcPr>
          <w:p>
            <w:pPr>
              <w:spacing w:after="0"/>
              <w:rPr>
                <w:sz w:val="1"/>
                <w:szCs w:val="1"/>
                <w:color w:val="auto"/>
              </w:rPr>
            </w:pPr>
          </w:p>
        </w:tc>
      </w:tr>
      <w:tr>
        <w:trPr>
          <w:trHeight w:val="198"/>
        </w:trPr>
        <w:tc>
          <w:tcPr>
            <w:tcW w:w="1480" w:type="dxa"/>
            <w:vAlign w:val="bottom"/>
            <w:tcBorders>
              <w:bottom w:val="single" w:sz="8" w:color="auto"/>
            </w:tcBorders>
            <w:vMerge w:val="continue"/>
          </w:tcPr>
          <w:p>
            <w:pPr>
              <w:spacing w:after="0"/>
              <w:rPr>
                <w:sz w:val="16"/>
                <w:szCs w:val="16"/>
                <w:color w:val="auto"/>
              </w:rPr>
            </w:pPr>
          </w:p>
        </w:tc>
        <w:tc>
          <w:tcPr>
            <w:tcW w:w="7120" w:type="dxa"/>
            <w:vAlign w:val="bottom"/>
            <w:vMerge w:val="continue"/>
          </w:tcPr>
          <w:p>
            <w:pPr>
              <w:spacing w:after="0"/>
              <w:rPr>
                <w:sz w:val="16"/>
                <w:szCs w:val="16"/>
                <w:color w:val="auto"/>
              </w:rPr>
            </w:pPr>
          </w:p>
        </w:tc>
        <w:tc>
          <w:tcPr>
            <w:tcW w:w="1480" w:type="dxa"/>
            <w:vAlign w:val="bottom"/>
          </w:tcPr>
          <w:p>
            <w:pPr>
              <w:jc w:val="right"/>
              <w:ind w:right="224"/>
              <w:spacing w:after="0" w:line="193" w:lineRule="exact"/>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3"/>
        </w:trPr>
        <w:tc>
          <w:tcPr>
            <w:tcW w:w="8600" w:type="dxa"/>
            <w:vAlign w:val="bottom"/>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600" w:type="dxa"/>
            <w:vAlign w:val="bottom"/>
            <w:gridSpan w:val="2"/>
          </w:tcPr>
          <w:p>
            <w:pPr>
              <w:spacing w:after="0"/>
              <w:rPr>
                <w:sz w:val="20"/>
                <w:szCs w:val="20"/>
                <w:color w:val="auto"/>
              </w:rPr>
            </w:pPr>
            <w:r>
              <w:rPr>
                <w:rFonts w:ascii="Arial" w:cs="Arial" w:eastAsia="Arial" w:hAnsi="Arial"/>
                <w:sz w:val="20"/>
                <w:szCs w:val="20"/>
                <w:color w:val="auto"/>
                <w:w w:val="89"/>
              </w:rPr>
              <w:t xml:space="preserve">June 15, 2024 to June 14, 2025 </w:t>
            </w:r>
            <w:r>
              <w:rPr>
                <w:rFonts w:ascii="Arial" w:cs="Arial" w:eastAsia="Arial" w:hAnsi="Arial"/>
                <w:sz w:val="20"/>
                <w:szCs w:val="20"/>
                <w:color w:val="B4B4B4"/>
                <w:w w:val="89"/>
              </w:rPr>
              <w:t>. . . . . . . .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102.625 %</w:t>
            </w:r>
          </w:p>
        </w:tc>
        <w:tc>
          <w:tcPr>
            <w:tcW w:w="0" w:type="dxa"/>
            <w:vAlign w:val="bottom"/>
          </w:tcPr>
          <w:p>
            <w:pPr>
              <w:spacing w:after="0"/>
              <w:rPr>
                <w:sz w:val="1"/>
                <w:szCs w:val="1"/>
                <w:color w:val="auto"/>
              </w:rPr>
            </w:pPr>
          </w:p>
        </w:tc>
      </w:tr>
      <w:tr>
        <w:trPr>
          <w:trHeight w:val="297"/>
        </w:trPr>
        <w:tc>
          <w:tcPr>
            <w:tcW w:w="8600" w:type="dxa"/>
            <w:vAlign w:val="bottom"/>
            <w:gridSpan w:val="2"/>
          </w:tcPr>
          <w:p>
            <w:pPr>
              <w:spacing w:after="0"/>
              <w:rPr>
                <w:sz w:val="20"/>
                <w:szCs w:val="20"/>
                <w:color w:val="auto"/>
              </w:rPr>
            </w:pPr>
            <w:r>
              <w:rPr>
                <w:rFonts w:ascii="Arial" w:cs="Arial" w:eastAsia="Arial" w:hAnsi="Arial"/>
                <w:sz w:val="20"/>
                <w:szCs w:val="20"/>
                <w:color w:val="auto"/>
                <w:w w:val="89"/>
              </w:rPr>
              <w:t xml:space="preserve">June 15, 2025 to June 14, 2026 </w:t>
            </w:r>
            <w:r>
              <w:rPr>
                <w:rFonts w:ascii="Arial" w:cs="Arial" w:eastAsia="Arial" w:hAnsi="Arial"/>
                <w:sz w:val="20"/>
                <w:szCs w:val="20"/>
                <w:color w:val="B4B4B4"/>
                <w:w w:val="89"/>
              </w:rPr>
              <w:t>. . . . . . . .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101.750 %</w:t>
            </w:r>
          </w:p>
        </w:tc>
        <w:tc>
          <w:tcPr>
            <w:tcW w:w="0" w:type="dxa"/>
            <w:vAlign w:val="bottom"/>
          </w:tcPr>
          <w:p>
            <w:pPr>
              <w:spacing w:after="0"/>
              <w:rPr>
                <w:sz w:val="1"/>
                <w:szCs w:val="1"/>
                <w:color w:val="auto"/>
              </w:rPr>
            </w:pPr>
          </w:p>
        </w:tc>
      </w:tr>
      <w:tr>
        <w:trPr>
          <w:trHeight w:val="297"/>
        </w:trPr>
        <w:tc>
          <w:tcPr>
            <w:tcW w:w="8600" w:type="dxa"/>
            <w:vAlign w:val="bottom"/>
            <w:gridSpan w:val="2"/>
          </w:tcPr>
          <w:p>
            <w:pPr>
              <w:spacing w:after="0"/>
              <w:rPr>
                <w:sz w:val="20"/>
                <w:szCs w:val="20"/>
                <w:color w:val="auto"/>
              </w:rPr>
            </w:pPr>
            <w:r>
              <w:rPr>
                <w:rFonts w:ascii="Arial" w:cs="Arial" w:eastAsia="Arial" w:hAnsi="Arial"/>
                <w:sz w:val="20"/>
                <w:szCs w:val="20"/>
                <w:color w:val="auto"/>
                <w:w w:val="89"/>
              </w:rPr>
              <w:t xml:space="preserve">June 15, 2026 to June 14, 2027 </w:t>
            </w:r>
            <w:r>
              <w:rPr>
                <w:rFonts w:ascii="Arial" w:cs="Arial" w:eastAsia="Arial" w:hAnsi="Arial"/>
                <w:sz w:val="20"/>
                <w:szCs w:val="20"/>
                <w:color w:val="B4B4B4"/>
                <w:w w:val="89"/>
              </w:rPr>
              <w:t>. . . . . . . .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100.875 %</w:t>
            </w:r>
          </w:p>
        </w:tc>
        <w:tc>
          <w:tcPr>
            <w:tcW w:w="0" w:type="dxa"/>
            <w:vAlign w:val="bottom"/>
          </w:tcPr>
          <w:p>
            <w:pPr>
              <w:spacing w:after="0"/>
              <w:rPr>
                <w:sz w:val="1"/>
                <w:szCs w:val="1"/>
                <w:color w:val="auto"/>
              </w:rPr>
            </w:pPr>
          </w:p>
        </w:tc>
      </w:tr>
      <w:tr>
        <w:trPr>
          <w:trHeight w:val="297"/>
        </w:trPr>
        <w:tc>
          <w:tcPr>
            <w:tcW w:w="8600" w:type="dxa"/>
            <w:vAlign w:val="bottom"/>
            <w:gridSpan w:val="2"/>
          </w:tcPr>
          <w:p>
            <w:pPr>
              <w:spacing w:after="0"/>
              <w:rPr>
                <w:sz w:val="20"/>
                <w:szCs w:val="20"/>
                <w:color w:val="auto"/>
              </w:rPr>
            </w:pPr>
            <w:r>
              <w:rPr>
                <w:rFonts w:ascii="Arial" w:cs="Arial" w:eastAsia="Arial" w:hAnsi="Arial"/>
                <w:sz w:val="20"/>
                <w:szCs w:val="20"/>
                <w:color w:val="auto"/>
                <w:w w:val="89"/>
              </w:rPr>
              <w:t xml:space="preserve">June 15, 2027 and thereafter </w:t>
            </w:r>
            <w:r>
              <w:rPr>
                <w:rFonts w:ascii="Arial" w:cs="Arial" w:eastAsia="Arial" w:hAnsi="Arial"/>
                <w:sz w:val="20"/>
                <w:szCs w:val="20"/>
                <w:color w:val="B4B4B4"/>
                <w:w w:val="89"/>
              </w:rPr>
              <w:t>. . . . . . . . . .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100.000 %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-758825</wp:posOffset>
            </wp:positionV>
            <wp:extent cx="6466205" cy="7797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26">
                      <a:extLst>
                        <a:ext uri="{28A0092B-C50C-407E-A947-70E740481C1C}"/>
                      </a:extLst>
                    </a:blip>
                    <a:srcRect/>
                    <a:stretch>
                      <a:fillRect/>
                    </a:stretch>
                  </pic:blipFill>
                  <pic:spPr bwMode="auto">
                    <a:xfrm>
                      <a:off x="0" y="0"/>
                      <a:ext cx="6466205" cy="779780"/>
                    </a:xfrm>
                    <a:prstGeom prst="rect">
                      <a:avLst/>
                    </a:prstGeom>
                    <a:noFill/>
                  </pic:spPr>
                </pic:pic>
              </a:graphicData>
            </a:graphic>
          </wp:anchor>
        </w:drawing>
      </w:r>
    </w:p>
    <w:p>
      <w:pPr>
        <w:sectPr>
          <w:pgSz w:w="11880" w:h="15480" w:orient="portrait"/>
          <w:cols w:equalWidth="0" w:num="1">
            <w:col w:w="10160"/>
          </w:cols>
          <w:pgMar w:left="860" w:top="50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ectPr>
          <w:pgSz w:w="11880" w:h="15480" w:orient="portrait"/>
          <w:cols w:equalWidth="0" w:num="1">
            <w:col w:w="10160"/>
          </w:cols>
          <w:pgMar w:left="860" w:top="508" w:right="860" w:bottom="0" w:gutter="0" w:footer="0" w:header="0"/>
          <w:type w:val="continuous"/>
        </w:sectPr>
      </w:pPr>
    </w:p>
    <w:bookmarkStart w:id="135" w:name="page136"/>
    <w:bookmarkEnd w:id="135"/>
    <w:p>
      <w:pPr>
        <w:ind w:left="440"/>
        <w:spacing w:after="0"/>
        <w:rPr>
          <w:sz w:val="20"/>
          <w:szCs w:val="20"/>
          <w:color w:val="auto"/>
        </w:rPr>
      </w:pPr>
      <w:r>
        <w:rPr>
          <w:rFonts w:ascii="Arial" w:cs="Arial" w:eastAsia="Arial" w:hAnsi="Arial"/>
          <w:sz w:val="20"/>
          <w:szCs w:val="20"/>
          <w:b w:val="1"/>
          <w:bCs w:val="1"/>
          <w:i w:val="1"/>
          <w:iCs w:val="1"/>
          <w:color w:val="auto"/>
        </w:rPr>
        <w:t>3.375% 2029 Senior Notes</w:t>
      </w:r>
    </w:p>
    <w:p>
      <w:pPr>
        <w:spacing w:after="0" w:line="130" w:lineRule="exact"/>
        <w:rPr>
          <w:sz w:val="20"/>
          <w:szCs w:val="20"/>
          <w:color w:val="auto"/>
        </w:rPr>
      </w:pPr>
    </w:p>
    <w:p>
      <w:pPr>
        <w:jc w:val="both"/>
        <w:ind w:firstLine="445"/>
        <w:spacing w:after="0" w:line="335" w:lineRule="auto"/>
        <w:rPr>
          <w:sz w:val="20"/>
          <w:szCs w:val="20"/>
          <w:color w:val="auto"/>
        </w:rPr>
      </w:pPr>
      <w:r>
        <w:rPr>
          <w:rFonts w:ascii="Arial" w:cs="Arial" w:eastAsia="Arial" w:hAnsi="Arial"/>
          <w:sz w:val="18"/>
          <w:szCs w:val="18"/>
          <w:color w:val="auto"/>
        </w:rPr>
        <w:t>The Company may redeem some or all of the notes at redemption prices expressed as percentages of principal amount as set forth in the following table, plus accrued and unpaid interest on the notes redeemed up to the redemption date:</w:t>
      </w: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8"/>
              </w:rPr>
              <w:t>Redemption Period</w:t>
            </w:r>
          </w:p>
        </w:tc>
        <w:tc>
          <w:tcPr>
            <w:tcW w:w="7120" w:type="dxa"/>
            <w:vAlign w:val="bottom"/>
            <w:vMerge w:val="restart"/>
          </w:tcPr>
          <w:p>
            <w:pPr>
              <w:spacing w:after="0"/>
              <w:rPr>
                <w:sz w:val="17"/>
                <w:szCs w:val="17"/>
                <w:color w:val="auto"/>
              </w:rPr>
            </w:pPr>
          </w:p>
        </w:tc>
        <w:tc>
          <w:tcPr>
            <w:tcW w:w="1480" w:type="dxa"/>
            <w:vAlign w:val="bottom"/>
          </w:tcPr>
          <w:p>
            <w:pPr>
              <w:jc w:val="right"/>
              <w:ind w:right="186"/>
              <w:spacing w:after="0"/>
              <w:rPr>
                <w:sz w:val="20"/>
                <w:szCs w:val="20"/>
                <w:color w:val="auto"/>
              </w:rPr>
            </w:pPr>
            <w:r>
              <w:rPr>
                <w:rFonts w:ascii="Arial" w:cs="Arial" w:eastAsia="Arial" w:hAnsi="Arial"/>
                <w:sz w:val="18"/>
                <w:szCs w:val="18"/>
                <w:b w:val="1"/>
                <w:bCs w:val="1"/>
                <w:color w:val="auto"/>
              </w:rPr>
              <w:t>Redemption</w:t>
            </w:r>
          </w:p>
        </w:tc>
        <w:tc>
          <w:tcPr>
            <w:tcW w:w="0" w:type="dxa"/>
            <w:vAlign w:val="bottom"/>
          </w:tcPr>
          <w:p>
            <w:pPr>
              <w:spacing w:after="0"/>
              <w:rPr>
                <w:sz w:val="1"/>
                <w:szCs w:val="1"/>
                <w:color w:val="auto"/>
              </w:rPr>
            </w:pPr>
          </w:p>
        </w:tc>
      </w:tr>
      <w:tr>
        <w:trPr>
          <w:trHeight w:val="198"/>
        </w:trPr>
        <w:tc>
          <w:tcPr>
            <w:tcW w:w="1480" w:type="dxa"/>
            <w:vAlign w:val="bottom"/>
            <w:tcBorders>
              <w:bottom w:val="single" w:sz="8" w:color="auto"/>
            </w:tcBorders>
            <w:gridSpan w:val="2"/>
            <w:vMerge w:val="continue"/>
          </w:tcPr>
          <w:p>
            <w:pPr>
              <w:spacing w:after="0"/>
              <w:rPr>
                <w:sz w:val="16"/>
                <w:szCs w:val="16"/>
                <w:color w:val="auto"/>
              </w:rPr>
            </w:pPr>
          </w:p>
        </w:tc>
        <w:tc>
          <w:tcPr>
            <w:tcW w:w="7120" w:type="dxa"/>
            <w:vAlign w:val="bottom"/>
            <w:vMerge w:val="continue"/>
          </w:tcPr>
          <w:p>
            <w:pPr>
              <w:spacing w:after="0"/>
              <w:rPr>
                <w:sz w:val="16"/>
                <w:szCs w:val="16"/>
                <w:color w:val="auto"/>
              </w:rPr>
            </w:pPr>
          </w:p>
        </w:tc>
        <w:tc>
          <w:tcPr>
            <w:tcW w:w="1480" w:type="dxa"/>
            <w:vAlign w:val="bottom"/>
          </w:tcPr>
          <w:p>
            <w:pPr>
              <w:jc w:val="right"/>
              <w:ind w:right="226"/>
              <w:spacing w:after="0" w:line="193" w:lineRule="exact"/>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3"/>
        </w:trPr>
        <w:tc>
          <w:tcPr>
            <w:tcW w:w="1020" w:type="dxa"/>
            <w:vAlign w:val="bottom"/>
          </w:tcPr>
          <w:p>
            <w:pPr>
              <w:spacing w:after="0"/>
              <w:rPr>
                <w:sz w:val="2"/>
                <w:szCs w:val="2"/>
                <w:color w:val="auto"/>
              </w:rPr>
            </w:pPr>
          </w:p>
        </w:tc>
        <w:tc>
          <w:tcPr>
            <w:tcW w:w="7580" w:type="dxa"/>
            <w:vAlign w:val="bottom"/>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1020" w:type="dxa"/>
            <w:vAlign w:val="bottom"/>
          </w:tcPr>
          <w:p>
            <w:pPr>
              <w:spacing w:after="0"/>
              <w:rPr>
                <w:sz w:val="20"/>
                <w:szCs w:val="20"/>
                <w:color w:val="auto"/>
              </w:rPr>
            </w:pPr>
            <w:r>
              <w:rPr>
                <w:rFonts w:ascii="Arial" w:cs="Arial" w:eastAsia="Arial" w:hAnsi="Arial"/>
                <w:sz w:val="20"/>
                <w:szCs w:val="20"/>
                <w:color w:val="auto"/>
                <w:w w:val="88"/>
              </w:rPr>
              <w:t>February 15,</w:t>
            </w:r>
          </w:p>
        </w:tc>
        <w:tc>
          <w:tcPr>
            <w:tcW w:w="7580" w:type="dxa"/>
            <w:vAlign w:val="bottom"/>
            <w:gridSpan w:val="2"/>
          </w:tcPr>
          <w:p>
            <w:pPr>
              <w:ind w:left="40"/>
              <w:spacing w:after="0"/>
              <w:rPr>
                <w:sz w:val="20"/>
                <w:szCs w:val="20"/>
                <w:color w:val="auto"/>
              </w:rPr>
            </w:pPr>
            <w:r>
              <w:rPr>
                <w:rFonts w:ascii="Arial" w:cs="Arial" w:eastAsia="Arial" w:hAnsi="Arial"/>
                <w:sz w:val="20"/>
                <w:szCs w:val="20"/>
                <w:color w:val="auto"/>
                <w:w w:val="89"/>
              </w:rPr>
              <w:t xml:space="preserve">2025 to February 14, 2026 </w:t>
            </w:r>
            <w:r>
              <w:rPr>
                <w:rFonts w:ascii="Arial" w:cs="Arial" w:eastAsia="Arial" w:hAnsi="Arial"/>
                <w:sz w:val="20"/>
                <w:szCs w:val="20"/>
                <w:color w:val="B4B4B4"/>
                <w:w w:val="89"/>
              </w:rPr>
              <w:t>.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100.844 %</w:t>
            </w:r>
          </w:p>
        </w:tc>
        <w:tc>
          <w:tcPr>
            <w:tcW w:w="0" w:type="dxa"/>
            <w:vAlign w:val="bottom"/>
          </w:tcPr>
          <w:p>
            <w:pPr>
              <w:spacing w:after="0"/>
              <w:rPr>
                <w:sz w:val="1"/>
                <w:szCs w:val="1"/>
                <w:color w:val="auto"/>
              </w:rPr>
            </w:pPr>
          </w:p>
        </w:tc>
      </w:tr>
      <w:tr>
        <w:trPr>
          <w:trHeight w:val="297"/>
        </w:trPr>
        <w:tc>
          <w:tcPr>
            <w:tcW w:w="1020" w:type="dxa"/>
            <w:vAlign w:val="bottom"/>
          </w:tcPr>
          <w:p>
            <w:pPr>
              <w:spacing w:after="0"/>
              <w:rPr>
                <w:sz w:val="20"/>
                <w:szCs w:val="20"/>
                <w:color w:val="auto"/>
              </w:rPr>
            </w:pPr>
            <w:r>
              <w:rPr>
                <w:rFonts w:ascii="Arial" w:cs="Arial" w:eastAsia="Arial" w:hAnsi="Arial"/>
                <w:sz w:val="20"/>
                <w:szCs w:val="20"/>
                <w:color w:val="auto"/>
                <w:w w:val="88"/>
              </w:rPr>
              <w:t>February 15,</w:t>
            </w:r>
          </w:p>
        </w:tc>
        <w:tc>
          <w:tcPr>
            <w:tcW w:w="7580" w:type="dxa"/>
            <w:vAlign w:val="bottom"/>
            <w:gridSpan w:val="2"/>
          </w:tcPr>
          <w:p>
            <w:pPr>
              <w:ind w:left="40"/>
              <w:spacing w:after="0"/>
              <w:rPr>
                <w:sz w:val="20"/>
                <w:szCs w:val="20"/>
                <w:color w:val="auto"/>
              </w:rPr>
            </w:pPr>
            <w:r>
              <w:rPr>
                <w:rFonts w:ascii="Arial" w:cs="Arial" w:eastAsia="Arial" w:hAnsi="Arial"/>
                <w:sz w:val="20"/>
                <w:szCs w:val="20"/>
                <w:color w:val="auto"/>
                <w:w w:val="89"/>
              </w:rPr>
              <w:t xml:space="preserve">2026 and thereafter </w:t>
            </w:r>
            <w:r>
              <w:rPr>
                <w:rFonts w:ascii="Arial" w:cs="Arial" w:eastAsia="Arial" w:hAnsi="Arial"/>
                <w:sz w:val="20"/>
                <w:szCs w:val="20"/>
                <w:color w:val="B4B4B4"/>
                <w:w w:val="89"/>
              </w:rPr>
              <w:t>. . . . . . .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100.000 %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-381635</wp:posOffset>
            </wp:positionV>
            <wp:extent cx="6466205" cy="402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7">
                      <a:extLst>
                        <a:ext uri="{28A0092B-C50C-407E-A947-70E740481C1C}"/>
                      </a:extLst>
                    </a:blip>
                    <a:srcRect/>
                    <a:stretch>
                      <a:fillRect/>
                    </a:stretch>
                  </pic:blipFill>
                  <pic:spPr bwMode="auto">
                    <a:xfrm>
                      <a:off x="0" y="0"/>
                      <a:ext cx="6466205" cy="402590"/>
                    </a:xfrm>
                    <a:prstGeom prst="rect">
                      <a:avLst/>
                    </a:prstGeom>
                    <a:noFill/>
                  </pic:spPr>
                </pic:pic>
              </a:graphicData>
            </a:graphic>
          </wp:anchor>
        </w:drawing>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5.750% 2029 Senior Notes</w:t>
      </w:r>
    </w:p>
    <w:p>
      <w:pPr>
        <w:spacing w:after="0" w:line="130" w:lineRule="exact"/>
        <w:rPr>
          <w:sz w:val="20"/>
          <w:szCs w:val="20"/>
          <w:color w:val="auto"/>
        </w:rPr>
      </w:pPr>
    </w:p>
    <w:p>
      <w:pPr>
        <w:jc w:val="both"/>
        <w:ind w:firstLine="445"/>
        <w:spacing w:after="0" w:line="335" w:lineRule="auto"/>
        <w:rPr>
          <w:sz w:val="20"/>
          <w:szCs w:val="20"/>
          <w:color w:val="auto"/>
        </w:rPr>
      </w:pPr>
      <w:r>
        <w:rPr>
          <w:rFonts w:ascii="Arial" w:cs="Arial" w:eastAsia="Arial" w:hAnsi="Arial"/>
          <w:sz w:val="18"/>
          <w:szCs w:val="18"/>
          <w:color w:val="auto"/>
        </w:rPr>
        <w:t>The Company may redeem some or all of the notes at redemption prices expressed as percentages of principal amount as set forth in the following table, plus accrued and unpaid interest on the notes redeemed up to the redemption date:</w:t>
      </w:r>
    </w:p>
    <w:p>
      <w:pPr>
        <w:spacing w:after="0" w:line="2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8"/>
              </w:rPr>
              <w:t>Redemption Period</w:t>
            </w:r>
          </w:p>
        </w:tc>
        <w:tc>
          <w:tcPr>
            <w:tcW w:w="7120" w:type="dxa"/>
            <w:vAlign w:val="bottom"/>
            <w:vMerge w:val="restart"/>
          </w:tcPr>
          <w:p>
            <w:pPr>
              <w:spacing w:after="0"/>
              <w:rPr>
                <w:sz w:val="17"/>
                <w:szCs w:val="17"/>
                <w:color w:val="auto"/>
              </w:rPr>
            </w:pPr>
          </w:p>
        </w:tc>
        <w:tc>
          <w:tcPr>
            <w:tcW w:w="1480" w:type="dxa"/>
            <w:vAlign w:val="bottom"/>
          </w:tcPr>
          <w:p>
            <w:pPr>
              <w:jc w:val="right"/>
              <w:ind w:right="185"/>
              <w:spacing w:after="0"/>
              <w:rPr>
                <w:sz w:val="20"/>
                <w:szCs w:val="20"/>
                <w:color w:val="auto"/>
              </w:rPr>
            </w:pPr>
            <w:r>
              <w:rPr>
                <w:rFonts w:ascii="Arial" w:cs="Arial" w:eastAsia="Arial" w:hAnsi="Arial"/>
                <w:sz w:val="18"/>
                <w:szCs w:val="18"/>
                <w:b w:val="1"/>
                <w:bCs w:val="1"/>
                <w:color w:val="auto"/>
              </w:rPr>
              <w:t>Redemption</w:t>
            </w:r>
          </w:p>
        </w:tc>
        <w:tc>
          <w:tcPr>
            <w:tcW w:w="0" w:type="dxa"/>
            <w:vAlign w:val="bottom"/>
          </w:tcPr>
          <w:p>
            <w:pPr>
              <w:spacing w:after="0"/>
              <w:rPr>
                <w:sz w:val="1"/>
                <w:szCs w:val="1"/>
                <w:color w:val="auto"/>
              </w:rPr>
            </w:pPr>
          </w:p>
        </w:tc>
      </w:tr>
      <w:tr>
        <w:trPr>
          <w:trHeight w:val="198"/>
        </w:trPr>
        <w:tc>
          <w:tcPr>
            <w:tcW w:w="1480" w:type="dxa"/>
            <w:vAlign w:val="bottom"/>
            <w:tcBorders>
              <w:bottom w:val="single" w:sz="8" w:color="auto"/>
            </w:tcBorders>
            <w:gridSpan w:val="2"/>
            <w:vMerge w:val="continue"/>
          </w:tcPr>
          <w:p>
            <w:pPr>
              <w:spacing w:after="0"/>
              <w:rPr>
                <w:sz w:val="16"/>
                <w:szCs w:val="16"/>
                <w:color w:val="auto"/>
              </w:rPr>
            </w:pPr>
          </w:p>
        </w:tc>
        <w:tc>
          <w:tcPr>
            <w:tcW w:w="7120" w:type="dxa"/>
            <w:vAlign w:val="bottom"/>
            <w:vMerge w:val="continue"/>
          </w:tcPr>
          <w:p>
            <w:pPr>
              <w:spacing w:after="0"/>
              <w:rPr>
                <w:sz w:val="16"/>
                <w:szCs w:val="16"/>
                <w:color w:val="auto"/>
              </w:rPr>
            </w:pPr>
          </w:p>
        </w:tc>
        <w:tc>
          <w:tcPr>
            <w:tcW w:w="1480" w:type="dxa"/>
            <w:vAlign w:val="bottom"/>
          </w:tcPr>
          <w:p>
            <w:pPr>
              <w:jc w:val="right"/>
              <w:ind w:right="225"/>
              <w:spacing w:after="0" w:line="193" w:lineRule="exact"/>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3"/>
        </w:trPr>
        <w:tc>
          <w:tcPr>
            <w:tcW w:w="8600" w:type="dxa"/>
            <w:vAlign w:val="bottom"/>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600" w:type="dxa"/>
            <w:vAlign w:val="bottom"/>
            <w:gridSpan w:val="3"/>
          </w:tcPr>
          <w:p>
            <w:pPr>
              <w:spacing w:after="0"/>
              <w:rPr>
                <w:sz w:val="20"/>
                <w:szCs w:val="20"/>
                <w:color w:val="auto"/>
              </w:rPr>
            </w:pPr>
            <w:r>
              <w:rPr>
                <w:rFonts w:ascii="Arial" w:cs="Arial" w:eastAsia="Arial" w:hAnsi="Arial"/>
                <w:sz w:val="20"/>
                <w:szCs w:val="20"/>
                <w:color w:val="auto"/>
                <w:w w:val="89"/>
              </w:rPr>
              <w:t xml:space="preserve">July 15, 2024 to July 14, 2025 </w:t>
            </w:r>
            <w:r>
              <w:rPr>
                <w:rFonts w:ascii="Arial" w:cs="Arial" w:eastAsia="Arial" w:hAnsi="Arial"/>
                <w:sz w:val="20"/>
                <w:szCs w:val="20"/>
                <w:color w:val="B4B4B4"/>
                <w:w w:val="89"/>
              </w:rPr>
              <w:t>. . . . . . . . .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102.875 %</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0"/>
                <w:szCs w:val="20"/>
                <w:color w:val="auto"/>
              </w:rPr>
            </w:pPr>
            <w:r>
              <w:rPr>
                <w:rFonts w:ascii="Arial" w:cs="Arial" w:eastAsia="Arial" w:hAnsi="Arial"/>
                <w:sz w:val="20"/>
                <w:szCs w:val="20"/>
                <w:color w:val="auto"/>
                <w:w w:val="89"/>
              </w:rPr>
              <w:t>July 15,</w:t>
            </w:r>
          </w:p>
        </w:tc>
        <w:tc>
          <w:tcPr>
            <w:tcW w:w="7960" w:type="dxa"/>
            <w:vAlign w:val="bottom"/>
            <w:gridSpan w:val="2"/>
          </w:tcPr>
          <w:p>
            <w:pPr>
              <w:ind w:left="20"/>
              <w:spacing w:after="0"/>
              <w:rPr>
                <w:sz w:val="20"/>
                <w:szCs w:val="20"/>
                <w:color w:val="auto"/>
              </w:rPr>
            </w:pPr>
            <w:r>
              <w:rPr>
                <w:rFonts w:ascii="Arial" w:cs="Arial" w:eastAsia="Arial" w:hAnsi="Arial"/>
                <w:sz w:val="20"/>
                <w:szCs w:val="20"/>
                <w:color w:val="auto"/>
                <w:w w:val="89"/>
              </w:rPr>
              <w:t xml:space="preserve">2025 to July 14, 2026 </w:t>
            </w:r>
            <w:r>
              <w:rPr>
                <w:rFonts w:ascii="Arial" w:cs="Arial" w:eastAsia="Arial" w:hAnsi="Arial"/>
                <w:sz w:val="20"/>
                <w:szCs w:val="20"/>
                <w:color w:val="B4B4B4"/>
                <w:w w:val="89"/>
              </w:rPr>
              <w:t>. . . . . . . . .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101.438 %</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0"/>
                <w:szCs w:val="20"/>
                <w:color w:val="auto"/>
              </w:rPr>
            </w:pPr>
            <w:r>
              <w:rPr>
                <w:rFonts w:ascii="Arial" w:cs="Arial" w:eastAsia="Arial" w:hAnsi="Arial"/>
                <w:sz w:val="20"/>
                <w:szCs w:val="20"/>
                <w:color w:val="auto"/>
                <w:w w:val="89"/>
              </w:rPr>
              <w:t>July 15,</w:t>
            </w:r>
          </w:p>
        </w:tc>
        <w:tc>
          <w:tcPr>
            <w:tcW w:w="7960" w:type="dxa"/>
            <w:vAlign w:val="bottom"/>
            <w:gridSpan w:val="2"/>
          </w:tcPr>
          <w:p>
            <w:pPr>
              <w:ind w:left="20"/>
              <w:spacing w:after="0"/>
              <w:rPr>
                <w:sz w:val="20"/>
                <w:szCs w:val="20"/>
                <w:color w:val="auto"/>
              </w:rPr>
            </w:pPr>
            <w:r>
              <w:rPr>
                <w:rFonts w:ascii="Arial" w:cs="Arial" w:eastAsia="Arial" w:hAnsi="Arial"/>
                <w:sz w:val="20"/>
                <w:szCs w:val="20"/>
                <w:color w:val="auto"/>
                <w:w w:val="89"/>
              </w:rPr>
              <w:t xml:space="preserve">2026 and thereafter </w:t>
            </w:r>
            <w:r>
              <w:rPr>
                <w:rFonts w:ascii="Arial" w:cs="Arial" w:eastAsia="Arial" w:hAnsi="Arial"/>
                <w:sz w:val="20"/>
                <w:szCs w:val="20"/>
                <w:color w:val="B4B4B4"/>
                <w:w w:val="89"/>
              </w:rPr>
              <w:t>. . . . . . . . . . .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100.000 %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-570230</wp:posOffset>
            </wp:positionV>
            <wp:extent cx="6466205" cy="5911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28">
                      <a:extLst>
                        <a:ext uri="{28A0092B-C50C-407E-A947-70E740481C1C}"/>
                      </a:extLst>
                    </a:blip>
                    <a:srcRect/>
                    <a:stretch>
                      <a:fillRect/>
                    </a:stretch>
                  </pic:blipFill>
                  <pic:spPr bwMode="auto">
                    <a:xfrm>
                      <a:off x="0" y="0"/>
                      <a:ext cx="6466205" cy="591185"/>
                    </a:xfrm>
                    <a:prstGeom prst="rect">
                      <a:avLst/>
                    </a:prstGeom>
                    <a:noFill/>
                  </pic:spPr>
                </pic:pic>
              </a:graphicData>
            </a:graphic>
          </wp:anchor>
        </w:drawing>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2031 Senior Notes</w:t>
      </w:r>
    </w:p>
    <w:p>
      <w:pPr>
        <w:spacing w:after="0" w:line="130"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8"/>
          <w:szCs w:val="18"/>
          <w:color w:val="auto"/>
        </w:rPr>
        <w:t>At any time prior to February 15, 2026, the Company may redeem all or a part of the 2031 Senior Notes, at a redemption price equal to 100% of the principal amount of the notes redeemed, plus accrued and unpaid interest to the redemption date, plus a premium. The premium is the greater of: (i) 1% of the principal amount of the note; or (ii) the excess of the present value of 101.813% of the note, plus interest payments due on the note through February 15, 2026 (excluding accrued but unpaid interest to the redemption date), computed using a discount rate equal to the Treasury Rate as of such redemption date plus 0.50% over the principal amount of the note. In addition, on or after February 15, 2026, the Company may redeem some or all of the notes at redemption prices expressed as percentages of principal amount as set forth in the following table, plus accrued and unpaid interest on the notes redeemed up to the redemption date:</w:t>
      </w:r>
    </w:p>
    <w:p>
      <w:pPr>
        <w:spacing w:after="0" w:line="6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80" w:type="dxa"/>
            <w:vAlign w:val="bottom"/>
            <w:vMerge w:val="restart"/>
          </w:tcPr>
          <w:p>
            <w:pPr>
              <w:spacing w:after="0"/>
              <w:rPr>
                <w:sz w:val="20"/>
                <w:szCs w:val="20"/>
                <w:color w:val="auto"/>
              </w:rPr>
            </w:pPr>
            <w:r>
              <w:rPr>
                <w:rFonts w:ascii="Arial" w:cs="Arial" w:eastAsia="Arial" w:hAnsi="Arial"/>
                <w:sz w:val="18"/>
                <w:szCs w:val="18"/>
                <w:b w:val="1"/>
                <w:bCs w:val="1"/>
                <w:color w:val="auto"/>
                <w:w w:val="88"/>
              </w:rPr>
              <w:t>Redemption Period</w:t>
            </w:r>
          </w:p>
        </w:tc>
        <w:tc>
          <w:tcPr>
            <w:tcW w:w="7120" w:type="dxa"/>
            <w:vAlign w:val="bottom"/>
            <w:vMerge w:val="restart"/>
          </w:tcPr>
          <w:p>
            <w:pPr>
              <w:spacing w:after="0"/>
              <w:rPr>
                <w:sz w:val="18"/>
                <w:szCs w:val="18"/>
                <w:color w:val="auto"/>
              </w:rPr>
            </w:pPr>
          </w:p>
        </w:tc>
        <w:tc>
          <w:tcPr>
            <w:tcW w:w="1480" w:type="dxa"/>
            <w:vAlign w:val="bottom"/>
          </w:tcPr>
          <w:p>
            <w:pPr>
              <w:jc w:val="right"/>
              <w:ind w:right="184"/>
              <w:spacing w:after="0"/>
              <w:rPr>
                <w:sz w:val="20"/>
                <w:szCs w:val="20"/>
                <w:color w:val="auto"/>
              </w:rPr>
            </w:pPr>
            <w:r>
              <w:rPr>
                <w:rFonts w:ascii="Arial" w:cs="Arial" w:eastAsia="Arial" w:hAnsi="Arial"/>
                <w:sz w:val="18"/>
                <w:szCs w:val="18"/>
                <w:b w:val="1"/>
                <w:bCs w:val="1"/>
                <w:color w:val="auto"/>
              </w:rPr>
              <w:t>Redemption</w:t>
            </w:r>
          </w:p>
        </w:tc>
        <w:tc>
          <w:tcPr>
            <w:tcW w:w="0" w:type="dxa"/>
            <w:vAlign w:val="bottom"/>
          </w:tcPr>
          <w:p>
            <w:pPr>
              <w:spacing w:after="0"/>
              <w:rPr>
                <w:sz w:val="1"/>
                <w:szCs w:val="1"/>
                <w:color w:val="auto"/>
              </w:rPr>
            </w:pPr>
          </w:p>
        </w:tc>
      </w:tr>
      <w:tr>
        <w:trPr>
          <w:trHeight w:val="198"/>
        </w:trPr>
        <w:tc>
          <w:tcPr>
            <w:tcW w:w="1480" w:type="dxa"/>
            <w:vAlign w:val="bottom"/>
            <w:tcBorders>
              <w:bottom w:val="single" w:sz="8" w:color="auto"/>
            </w:tcBorders>
            <w:vMerge w:val="continue"/>
          </w:tcPr>
          <w:p>
            <w:pPr>
              <w:spacing w:after="0"/>
              <w:rPr>
                <w:sz w:val="16"/>
                <w:szCs w:val="16"/>
                <w:color w:val="auto"/>
              </w:rPr>
            </w:pPr>
          </w:p>
        </w:tc>
        <w:tc>
          <w:tcPr>
            <w:tcW w:w="7120" w:type="dxa"/>
            <w:vAlign w:val="bottom"/>
            <w:vMerge w:val="continue"/>
          </w:tcPr>
          <w:p>
            <w:pPr>
              <w:spacing w:after="0"/>
              <w:rPr>
                <w:sz w:val="16"/>
                <w:szCs w:val="16"/>
                <w:color w:val="auto"/>
              </w:rPr>
            </w:pPr>
          </w:p>
        </w:tc>
        <w:tc>
          <w:tcPr>
            <w:tcW w:w="1480" w:type="dxa"/>
            <w:vAlign w:val="bottom"/>
          </w:tcPr>
          <w:p>
            <w:pPr>
              <w:jc w:val="right"/>
              <w:ind w:right="224"/>
              <w:spacing w:after="0" w:line="193" w:lineRule="exact"/>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3"/>
        </w:trPr>
        <w:tc>
          <w:tcPr>
            <w:tcW w:w="8600" w:type="dxa"/>
            <w:vAlign w:val="bottom"/>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600" w:type="dxa"/>
            <w:vAlign w:val="bottom"/>
            <w:gridSpan w:val="2"/>
          </w:tcPr>
          <w:p>
            <w:pPr>
              <w:spacing w:after="0"/>
              <w:rPr>
                <w:sz w:val="20"/>
                <w:szCs w:val="20"/>
                <w:color w:val="auto"/>
              </w:rPr>
            </w:pPr>
            <w:r>
              <w:rPr>
                <w:rFonts w:ascii="Arial" w:cs="Arial" w:eastAsia="Arial" w:hAnsi="Arial"/>
                <w:sz w:val="20"/>
                <w:szCs w:val="20"/>
                <w:color w:val="auto"/>
                <w:w w:val="89"/>
              </w:rPr>
              <w:t xml:space="preserve">February 15, 2026 to February 14, 2027 </w:t>
            </w:r>
            <w:r>
              <w:rPr>
                <w:rFonts w:ascii="Arial" w:cs="Arial" w:eastAsia="Arial" w:hAnsi="Arial"/>
                <w:sz w:val="20"/>
                <w:szCs w:val="20"/>
                <w:color w:val="B4B4B4"/>
                <w:w w:val="89"/>
              </w:rPr>
              <w:t>.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101.813 %</w:t>
            </w:r>
          </w:p>
        </w:tc>
        <w:tc>
          <w:tcPr>
            <w:tcW w:w="0" w:type="dxa"/>
            <w:vAlign w:val="bottom"/>
          </w:tcPr>
          <w:p>
            <w:pPr>
              <w:spacing w:after="0"/>
              <w:rPr>
                <w:sz w:val="1"/>
                <w:szCs w:val="1"/>
                <w:color w:val="auto"/>
              </w:rPr>
            </w:pPr>
          </w:p>
        </w:tc>
      </w:tr>
      <w:tr>
        <w:trPr>
          <w:trHeight w:val="297"/>
        </w:trPr>
        <w:tc>
          <w:tcPr>
            <w:tcW w:w="8600" w:type="dxa"/>
            <w:vAlign w:val="bottom"/>
            <w:gridSpan w:val="2"/>
          </w:tcPr>
          <w:p>
            <w:pPr>
              <w:spacing w:after="0"/>
              <w:rPr>
                <w:sz w:val="20"/>
                <w:szCs w:val="20"/>
                <w:color w:val="auto"/>
              </w:rPr>
            </w:pPr>
            <w:r>
              <w:rPr>
                <w:rFonts w:ascii="Arial" w:cs="Arial" w:eastAsia="Arial" w:hAnsi="Arial"/>
                <w:sz w:val="20"/>
                <w:szCs w:val="20"/>
                <w:color w:val="auto"/>
                <w:w w:val="89"/>
              </w:rPr>
              <w:t xml:space="preserve">February 15, 2027 to February 14, 2028 </w:t>
            </w:r>
            <w:r>
              <w:rPr>
                <w:rFonts w:ascii="Arial" w:cs="Arial" w:eastAsia="Arial" w:hAnsi="Arial"/>
                <w:sz w:val="20"/>
                <w:szCs w:val="20"/>
                <w:color w:val="B4B4B4"/>
                <w:w w:val="89"/>
              </w:rPr>
              <w:t>.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101.208 %</w:t>
            </w:r>
          </w:p>
        </w:tc>
        <w:tc>
          <w:tcPr>
            <w:tcW w:w="0" w:type="dxa"/>
            <w:vAlign w:val="bottom"/>
          </w:tcPr>
          <w:p>
            <w:pPr>
              <w:spacing w:after="0"/>
              <w:rPr>
                <w:sz w:val="1"/>
                <w:szCs w:val="1"/>
                <w:color w:val="auto"/>
              </w:rPr>
            </w:pPr>
          </w:p>
        </w:tc>
      </w:tr>
      <w:tr>
        <w:trPr>
          <w:trHeight w:val="297"/>
        </w:trPr>
        <w:tc>
          <w:tcPr>
            <w:tcW w:w="8600" w:type="dxa"/>
            <w:vAlign w:val="bottom"/>
            <w:gridSpan w:val="2"/>
          </w:tcPr>
          <w:p>
            <w:pPr>
              <w:spacing w:after="0"/>
              <w:rPr>
                <w:sz w:val="20"/>
                <w:szCs w:val="20"/>
                <w:color w:val="auto"/>
              </w:rPr>
            </w:pPr>
            <w:r>
              <w:rPr>
                <w:rFonts w:ascii="Arial" w:cs="Arial" w:eastAsia="Arial" w:hAnsi="Arial"/>
                <w:sz w:val="20"/>
                <w:szCs w:val="20"/>
                <w:color w:val="auto"/>
                <w:w w:val="89"/>
              </w:rPr>
              <w:t xml:space="preserve">February 15, 2028 to February 14, 2029 </w:t>
            </w:r>
            <w:r>
              <w:rPr>
                <w:rFonts w:ascii="Arial" w:cs="Arial" w:eastAsia="Arial" w:hAnsi="Arial"/>
                <w:sz w:val="20"/>
                <w:szCs w:val="20"/>
                <w:color w:val="B4B4B4"/>
                <w:w w:val="89"/>
              </w:rPr>
              <w:t>.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100.604 %</w:t>
            </w:r>
          </w:p>
        </w:tc>
        <w:tc>
          <w:tcPr>
            <w:tcW w:w="0" w:type="dxa"/>
            <w:vAlign w:val="bottom"/>
          </w:tcPr>
          <w:p>
            <w:pPr>
              <w:spacing w:after="0"/>
              <w:rPr>
                <w:sz w:val="1"/>
                <w:szCs w:val="1"/>
                <w:color w:val="auto"/>
              </w:rPr>
            </w:pPr>
          </w:p>
        </w:tc>
      </w:tr>
      <w:tr>
        <w:trPr>
          <w:trHeight w:val="297"/>
        </w:trPr>
        <w:tc>
          <w:tcPr>
            <w:tcW w:w="8600" w:type="dxa"/>
            <w:vAlign w:val="bottom"/>
            <w:gridSpan w:val="2"/>
          </w:tcPr>
          <w:p>
            <w:pPr>
              <w:spacing w:after="0"/>
              <w:rPr>
                <w:sz w:val="20"/>
                <w:szCs w:val="20"/>
                <w:color w:val="auto"/>
              </w:rPr>
            </w:pPr>
            <w:r>
              <w:rPr>
                <w:rFonts w:ascii="Arial" w:cs="Arial" w:eastAsia="Arial" w:hAnsi="Arial"/>
                <w:sz w:val="20"/>
                <w:szCs w:val="20"/>
                <w:color w:val="auto"/>
                <w:w w:val="89"/>
              </w:rPr>
              <w:t xml:space="preserve">February 15, 2029 and thereafter </w:t>
            </w:r>
            <w:r>
              <w:rPr>
                <w:rFonts w:ascii="Arial" w:cs="Arial" w:eastAsia="Arial" w:hAnsi="Arial"/>
                <w:sz w:val="20"/>
                <w:szCs w:val="20"/>
                <w:color w:val="B4B4B4"/>
                <w:w w:val="89"/>
              </w:rPr>
              <w:t>. . . . . . .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100.000 %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-758825</wp:posOffset>
            </wp:positionV>
            <wp:extent cx="6466205" cy="7797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29">
                      <a:extLst>
                        <a:ext uri="{28A0092B-C50C-407E-A947-70E740481C1C}"/>
                      </a:extLst>
                    </a:blip>
                    <a:srcRect/>
                    <a:stretch>
                      <a:fillRect/>
                    </a:stretch>
                  </pic:blipFill>
                  <pic:spPr bwMode="auto">
                    <a:xfrm>
                      <a:off x="0" y="0"/>
                      <a:ext cx="6466205" cy="779780"/>
                    </a:xfrm>
                    <a:prstGeom prst="rect">
                      <a:avLst/>
                    </a:prstGeom>
                    <a:noFill/>
                  </pic:spPr>
                </pic:pic>
              </a:graphicData>
            </a:graphic>
          </wp:anchor>
        </w:drawing>
      </w:r>
    </w:p>
    <w:p>
      <w:pPr>
        <w:sectPr>
          <w:pgSz w:w="11880" w:h="15480" w:orient="portrait"/>
          <w:cols w:equalWidth="0" w:num="1">
            <w:col w:w="10160"/>
          </w:cols>
          <w:pgMar w:left="860" w:top="50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ectPr>
          <w:pgSz w:w="11880" w:h="15480" w:orient="portrait"/>
          <w:cols w:equalWidth="0" w:num="1">
            <w:col w:w="10160"/>
          </w:cols>
          <w:pgMar w:left="860" w:top="508" w:right="860" w:bottom="0" w:gutter="0" w:footer="0" w:header="0"/>
          <w:type w:val="continuous"/>
        </w:sectPr>
      </w:pPr>
    </w:p>
    <w:bookmarkStart w:id="136" w:name="page137"/>
    <w:bookmarkEnd w:id="136"/>
    <w:p>
      <w:pPr>
        <w:ind w:left="440"/>
        <w:spacing w:after="0"/>
        <w:rPr>
          <w:sz w:val="20"/>
          <w:szCs w:val="20"/>
          <w:color w:val="auto"/>
        </w:rPr>
      </w:pPr>
      <w:r>
        <w:rPr>
          <w:rFonts w:ascii="Arial" w:cs="Arial" w:eastAsia="Arial" w:hAnsi="Arial"/>
          <w:sz w:val="20"/>
          <w:szCs w:val="20"/>
          <w:b w:val="1"/>
          <w:bCs w:val="1"/>
          <w:i w:val="1"/>
          <w:iCs w:val="1"/>
          <w:color w:val="auto"/>
        </w:rPr>
        <w:t>2032 Senior Notes</w:t>
      </w:r>
    </w:p>
    <w:p>
      <w:pPr>
        <w:spacing w:after="0" w:line="13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8"/>
          <w:szCs w:val="18"/>
          <w:color w:val="auto"/>
        </w:rPr>
        <w:t>At any time prior to February 15, 2027, the Company may redeem all or a part of the 2032 Senior Notes, at a redemption price equal to 100% of the principal amount of the notes redeemed, plus accrued and unpaid interest to the redemption date, plus a premium. The premium is the greater of: (i) 1% of the principal amount of the notes; or (ii) the excess of (A) the present value of (1) the redemption price of the note at February 15, 2027 (such redemption price being set forth in the table appearing below in the column “Redemption Percentage (If Sustainability Performance Target has not been satisfied and/or confirmed by External Verifier)” unless the Sustainability Performance Target has been satisfied in respect of the year ended December 31, 2025 and the Company has provided confirmation thereof to the trustee together with a related confirmation by the External Verifier by the date that is at least 15 days prior to August 15, 2026 in which case the redemption price shall be as set forth in the column “Redemption Percentage (If Sustainability Performance Target has been satisfied and confirmed by External Verifier)”) plus (2) interest payments due on the note through February 15, 2027 (excluding accrued but unpaid interest to the redemption date) computed using a discount rate equal to the Treasury Rate as of such redemption date plus 0.50%, over (B) the principal amount of the note. In addition, on or after February 15, 2027, the Company may redeem some or all of the notes at redemption prices expressed as percentages of principal amount as set forth in the following table during the twelve-month period beginning on February 15 of the years indicated below, plus accrued and unpaid interest on the notes redeemed up to the redemption date:</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Redemption Percentage</w:t>
            </w:r>
          </w:p>
        </w:tc>
        <w:tc>
          <w:tcPr>
            <w:tcW w:w="100" w:type="dxa"/>
            <w:vAlign w:val="bottom"/>
          </w:tcPr>
          <w:p>
            <w:pPr>
              <w:spacing w:after="0"/>
              <w:rPr>
                <w:sz w:val="17"/>
                <w:szCs w:val="17"/>
                <w:color w:val="auto"/>
              </w:rPr>
            </w:pP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8"/>
              </w:rPr>
              <w:t>Redemption Percentage</w:t>
            </w: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36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0"/>
              </w:rPr>
              <w:t>(If Sustainability Performance Target has</w:t>
            </w:r>
          </w:p>
        </w:tc>
        <w:tc>
          <w:tcPr>
            <w:tcW w:w="100" w:type="dxa"/>
            <w:vAlign w:val="bottom"/>
          </w:tcPr>
          <w:p>
            <w:pPr>
              <w:spacing w:after="0"/>
              <w:rPr>
                <w:sz w:val="15"/>
                <w:szCs w:val="15"/>
                <w:color w:val="auto"/>
              </w:rPr>
            </w:pPr>
          </w:p>
        </w:tc>
        <w:tc>
          <w:tcPr>
            <w:tcW w:w="338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0"/>
              </w:rPr>
              <w:t>(If Sustainability Performance Target has</w:t>
            </w:r>
          </w:p>
        </w:tc>
        <w:tc>
          <w:tcPr>
            <w:tcW w:w="0" w:type="dxa"/>
            <w:vAlign w:val="bottom"/>
          </w:tcPr>
          <w:p>
            <w:pPr>
              <w:spacing w:after="0"/>
              <w:rPr>
                <w:sz w:val="1"/>
                <w:szCs w:val="1"/>
                <w:color w:val="auto"/>
              </w:rPr>
            </w:pPr>
          </w:p>
        </w:tc>
      </w:tr>
      <w:tr>
        <w:trPr>
          <w:trHeight w:val="178"/>
        </w:trPr>
        <w:tc>
          <w:tcPr>
            <w:tcW w:w="3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w:t>
            </w:r>
          </w:p>
        </w:tc>
        <w:tc>
          <w:tcPr>
            <w:tcW w:w="336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88"/>
              </w:rPr>
              <w:t>been satisfied and confirmed by External</w:t>
            </w:r>
          </w:p>
        </w:tc>
        <w:tc>
          <w:tcPr>
            <w:tcW w:w="100" w:type="dxa"/>
            <w:vAlign w:val="bottom"/>
          </w:tcPr>
          <w:p>
            <w:pPr>
              <w:spacing w:after="0"/>
              <w:rPr>
                <w:sz w:val="15"/>
                <w:szCs w:val="15"/>
                <w:color w:val="auto"/>
              </w:rPr>
            </w:pPr>
          </w:p>
        </w:tc>
        <w:tc>
          <w:tcPr>
            <w:tcW w:w="338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88"/>
              </w:rPr>
              <w:t>not been satisfied and/or confirmed by</w:t>
            </w:r>
          </w:p>
        </w:tc>
        <w:tc>
          <w:tcPr>
            <w:tcW w:w="0" w:type="dxa"/>
            <w:vAlign w:val="bottom"/>
          </w:tcPr>
          <w:p>
            <w:pPr>
              <w:spacing w:after="0"/>
              <w:rPr>
                <w:sz w:val="1"/>
                <w:szCs w:val="1"/>
                <w:color w:val="auto"/>
              </w:rPr>
            </w:pPr>
          </w:p>
        </w:tc>
      </w:tr>
      <w:tr>
        <w:trPr>
          <w:trHeight w:val="193"/>
        </w:trPr>
        <w:tc>
          <w:tcPr>
            <w:tcW w:w="3260" w:type="dxa"/>
            <w:vAlign w:val="bottom"/>
            <w:gridSpan w:val="2"/>
            <w:vMerge w:val="continue"/>
          </w:tcPr>
          <w:p>
            <w:pPr>
              <w:spacing w:after="0"/>
              <w:rPr>
                <w:sz w:val="16"/>
                <w:szCs w:val="16"/>
                <w:color w:val="auto"/>
              </w:rPr>
            </w:pPr>
          </w:p>
        </w:tc>
        <w:tc>
          <w:tcPr>
            <w:tcW w:w="336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9"/>
              </w:rPr>
              <w:t>Verifier)</w:t>
            </w:r>
          </w:p>
        </w:tc>
        <w:tc>
          <w:tcPr>
            <w:tcW w:w="100" w:type="dxa"/>
            <w:vAlign w:val="bottom"/>
          </w:tcPr>
          <w:p>
            <w:pPr>
              <w:spacing w:after="0"/>
              <w:rPr>
                <w:sz w:val="16"/>
                <w:szCs w:val="16"/>
                <w:color w:val="auto"/>
              </w:rPr>
            </w:pPr>
          </w:p>
        </w:tc>
        <w:tc>
          <w:tcPr>
            <w:tcW w:w="338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5"/>
              </w:rPr>
              <w:t>External Verifier)</w:t>
            </w:r>
          </w:p>
        </w:tc>
        <w:tc>
          <w:tcPr>
            <w:tcW w:w="0" w:type="dxa"/>
            <w:vAlign w:val="bottom"/>
          </w:tcPr>
          <w:p>
            <w:pPr>
              <w:spacing w:after="0"/>
              <w:rPr>
                <w:sz w:val="1"/>
                <w:szCs w:val="1"/>
                <w:color w:val="auto"/>
              </w:rPr>
            </w:pPr>
          </w:p>
        </w:tc>
      </w:tr>
      <w:tr>
        <w:trPr>
          <w:trHeight w:val="23"/>
        </w:trPr>
        <w:tc>
          <w:tcPr>
            <w:tcW w:w="360" w:type="dxa"/>
            <w:vAlign w:val="bottom"/>
            <w:tcBorders>
              <w:top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260" w:type="dxa"/>
            <w:vAlign w:val="bottom"/>
            <w:gridSpan w:val="2"/>
          </w:tcPr>
          <w:p>
            <w:pPr>
              <w:spacing w:after="0"/>
              <w:rPr>
                <w:sz w:val="20"/>
                <w:szCs w:val="20"/>
                <w:color w:val="auto"/>
              </w:rPr>
            </w:pPr>
            <w:r>
              <w:rPr>
                <w:rFonts w:ascii="Arial" w:cs="Arial" w:eastAsia="Arial" w:hAnsi="Arial"/>
                <w:sz w:val="20"/>
                <w:szCs w:val="20"/>
                <w:color w:val="auto"/>
                <w:w w:val="91"/>
              </w:rPr>
              <w:t xml:space="preserve">2027 </w:t>
            </w:r>
            <w:r>
              <w:rPr>
                <w:rFonts w:ascii="Arial" w:cs="Arial" w:eastAsia="Arial" w:hAnsi="Arial"/>
                <w:sz w:val="20"/>
                <w:szCs w:val="20"/>
                <w:color w:val="B4B4B4"/>
                <w:w w:val="91"/>
              </w:rPr>
              <w:t>. . . . . . . . . . . . . . . . . . . . . . . . . . . .</w:t>
            </w:r>
          </w:p>
        </w:tc>
        <w:tc>
          <w:tcPr>
            <w:tcW w:w="3360" w:type="dxa"/>
            <w:vAlign w:val="bottom"/>
          </w:tcPr>
          <w:p>
            <w:pPr>
              <w:jc w:val="right"/>
              <w:spacing w:after="0"/>
              <w:rPr>
                <w:sz w:val="20"/>
                <w:szCs w:val="20"/>
                <w:color w:val="auto"/>
              </w:rPr>
            </w:pPr>
            <w:r>
              <w:rPr>
                <w:rFonts w:ascii="Arial" w:cs="Arial" w:eastAsia="Arial" w:hAnsi="Arial"/>
                <w:sz w:val="20"/>
                <w:szCs w:val="20"/>
                <w:color w:val="auto"/>
              </w:rPr>
              <w:t>101.938 %</w:t>
            </w:r>
          </w:p>
        </w:tc>
        <w:tc>
          <w:tcPr>
            <w:tcW w:w="3480" w:type="dxa"/>
            <w:vAlign w:val="bottom"/>
            <w:gridSpan w:val="2"/>
          </w:tcPr>
          <w:p>
            <w:pPr>
              <w:jc w:val="right"/>
              <w:spacing w:after="0"/>
              <w:rPr>
                <w:sz w:val="20"/>
                <w:szCs w:val="20"/>
                <w:color w:val="auto"/>
              </w:rPr>
            </w:pPr>
            <w:r>
              <w:rPr>
                <w:rFonts w:ascii="Arial" w:cs="Arial" w:eastAsia="Arial" w:hAnsi="Arial"/>
                <w:sz w:val="20"/>
                <w:szCs w:val="20"/>
                <w:color w:val="auto"/>
              </w:rPr>
              <w:t>102.188 %</w:t>
            </w:r>
          </w:p>
        </w:tc>
        <w:tc>
          <w:tcPr>
            <w:tcW w:w="0" w:type="dxa"/>
            <w:vAlign w:val="bottom"/>
          </w:tcPr>
          <w:p>
            <w:pPr>
              <w:spacing w:after="0"/>
              <w:rPr>
                <w:sz w:val="1"/>
                <w:szCs w:val="1"/>
                <w:color w:val="auto"/>
              </w:rPr>
            </w:pPr>
          </w:p>
        </w:tc>
      </w:tr>
      <w:tr>
        <w:trPr>
          <w:trHeight w:val="297"/>
        </w:trPr>
        <w:tc>
          <w:tcPr>
            <w:tcW w:w="3260" w:type="dxa"/>
            <w:vAlign w:val="bottom"/>
            <w:gridSpan w:val="2"/>
          </w:tcPr>
          <w:p>
            <w:pPr>
              <w:spacing w:after="0"/>
              <w:rPr>
                <w:sz w:val="20"/>
                <w:szCs w:val="20"/>
                <w:color w:val="auto"/>
              </w:rPr>
            </w:pPr>
            <w:r>
              <w:rPr>
                <w:rFonts w:ascii="Arial" w:cs="Arial" w:eastAsia="Arial" w:hAnsi="Arial"/>
                <w:sz w:val="20"/>
                <w:szCs w:val="20"/>
                <w:color w:val="auto"/>
                <w:w w:val="91"/>
              </w:rPr>
              <w:t xml:space="preserve">2028 </w:t>
            </w:r>
            <w:r>
              <w:rPr>
                <w:rFonts w:ascii="Arial" w:cs="Arial" w:eastAsia="Arial" w:hAnsi="Arial"/>
                <w:sz w:val="20"/>
                <w:szCs w:val="20"/>
                <w:color w:val="B4B4B4"/>
                <w:w w:val="91"/>
              </w:rPr>
              <w:t>. . . . . . . . . . . . . . . . . . . . . . . . . . . .</w:t>
            </w:r>
          </w:p>
        </w:tc>
        <w:tc>
          <w:tcPr>
            <w:tcW w:w="3360" w:type="dxa"/>
            <w:vAlign w:val="bottom"/>
          </w:tcPr>
          <w:p>
            <w:pPr>
              <w:jc w:val="right"/>
              <w:spacing w:after="0"/>
              <w:rPr>
                <w:sz w:val="20"/>
                <w:szCs w:val="20"/>
                <w:color w:val="auto"/>
              </w:rPr>
            </w:pPr>
            <w:r>
              <w:rPr>
                <w:rFonts w:ascii="Arial" w:cs="Arial" w:eastAsia="Arial" w:hAnsi="Arial"/>
                <w:sz w:val="20"/>
                <w:szCs w:val="20"/>
                <w:color w:val="auto"/>
              </w:rPr>
              <w:t>101.292 %</w:t>
            </w:r>
          </w:p>
        </w:tc>
        <w:tc>
          <w:tcPr>
            <w:tcW w:w="3480" w:type="dxa"/>
            <w:vAlign w:val="bottom"/>
            <w:gridSpan w:val="2"/>
          </w:tcPr>
          <w:p>
            <w:pPr>
              <w:jc w:val="right"/>
              <w:spacing w:after="0"/>
              <w:rPr>
                <w:sz w:val="20"/>
                <w:szCs w:val="20"/>
                <w:color w:val="auto"/>
              </w:rPr>
            </w:pPr>
            <w:r>
              <w:rPr>
                <w:rFonts w:ascii="Arial" w:cs="Arial" w:eastAsia="Arial" w:hAnsi="Arial"/>
                <w:sz w:val="20"/>
                <w:szCs w:val="20"/>
                <w:color w:val="auto"/>
              </w:rPr>
              <w:t>101.458 %</w:t>
            </w:r>
          </w:p>
        </w:tc>
        <w:tc>
          <w:tcPr>
            <w:tcW w:w="0" w:type="dxa"/>
            <w:vAlign w:val="bottom"/>
          </w:tcPr>
          <w:p>
            <w:pPr>
              <w:spacing w:after="0"/>
              <w:rPr>
                <w:sz w:val="1"/>
                <w:szCs w:val="1"/>
                <w:color w:val="auto"/>
              </w:rPr>
            </w:pPr>
          </w:p>
        </w:tc>
      </w:tr>
      <w:tr>
        <w:trPr>
          <w:trHeight w:val="297"/>
        </w:trPr>
        <w:tc>
          <w:tcPr>
            <w:tcW w:w="3260" w:type="dxa"/>
            <w:vAlign w:val="bottom"/>
            <w:gridSpan w:val="2"/>
          </w:tcPr>
          <w:p>
            <w:pPr>
              <w:spacing w:after="0"/>
              <w:rPr>
                <w:sz w:val="20"/>
                <w:szCs w:val="20"/>
                <w:color w:val="auto"/>
              </w:rPr>
            </w:pPr>
            <w:r>
              <w:rPr>
                <w:rFonts w:ascii="Arial" w:cs="Arial" w:eastAsia="Arial" w:hAnsi="Arial"/>
                <w:sz w:val="20"/>
                <w:szCs w:val="20"/>
                <w:color w:val="auto"/>
                <w:w w:val="91"/>
              </w:rPr>
              <w:t xml:space="preserve">2029 </w:t>
            </w:r>
            <w:r>
              <w:rPr>
                <w:rFonts w:ascii="Arial" w:cs="Arial" w:eastAsia="Arial" w:hAnsi="Arial"/>
                <w:sz w:val="20"/>
                <w:szCs w:val="20"/>
                <w:color w:val="B4B4B4"/>
                <w:w w:val="91"/>
              </w:rPr>
              <w:t>. . . . . . . . . . . . . . . . . . . . . . . . . . . .</w:t>
            </w:r>
          </w:p>
        </w:tc>
        <w:tc>
          <w:tcPr>
            <w:tcW w:w="3360" w:type="dxa"/>
            <w:vAlign w:val="bottom"/>
          </w:tcPr>
          <w:p>
            <w:pPr>
              <w:jc w:val="right"/>
              <w:spacing w:after="0"/>
              <w:rPr>
                <w:sz w:val="20"/>
                <w:szCs w:val="20"/>
                <w:color w:val="auto"/>
              </w:rPr>
            </w:pPr>
            <w:r>
              <w:rPr>
                <w:rFonts w:ascii="Arial" w:cs="Arial" w:eastAsia="Arial" w:hAnsi="Arial"/>
                <w:sz w:val="20"/>
                <w:szCs w:val="20"/>
                <w:color w:val="auto"/>
              </w:rPr>
              <w:t>100.646 %</w:t>
            </w:r>
          </w:p>
        </w:tc>
        <w:tc>
          <w:tcPr>
            <w:tcW w:w="3480" w:type="dxa"/>
            <w:vAlign w:val="bottom"/>
            <w:gridSpan w:val="2"/>
          </w:tcPr>
          <w:p>
            <w:pPr>
              <w:jc w:val="right"/>
              <w:spacing w:after="0"/>
              <w:rPr>
                <w:sz w:val="20"/>
                <w:szCs w:val="20"/>
                <w:color w:val="auto"/>
              </w:rPr>
            </w:pPr>
            <w:r>
              <w:rPr>
                <w:rFonts w:ascii="Arial" w:cs="Arial" w:eastAsia="Arial" w:hAnsi="Arial"/>
                <w:sz w:val="20"/>
                <w:szCs w:val="20"/>
                <w:color w:val="auto"/>
              </w:rPr>
              <w:t>100.729 %</w:t>
            </w:r>
          </w:p>
        </w:tc>
        <w:tc>
          <w:tcPr>
            <w:tcW w:w="0" w:type="dxa"/>
            <w:vAlign w:val="bottom"/>
          </w:tcPr>
          <w:p>
            <w:pPr>
              <w:spacing w:after="0"/>
              <w:rPr>
                <w:sz w:val="1"/>
                <w:szCs w:val="1"/>
                <w:color w:val="auto"/>
              </w:rPr>
            </w:pPr>
          </w:p>
        </w:tc>
      </w:tr>
      <w:tr>
        <w:trPr>
          <w:trHeight w:val="297"/>
        </w:trPr>
        <w:tc>
          <w:tcPr>
            <w:tcW w:w="3260" w:type="dxa"/>
            <w:vAlign w:val="bottom"/>
            <w:gridSpan w:val="2"/>
          </w:tcPr>
          <w:p>
            <w:pPr>
              <w:spacing w:after="0"/>
              <w:rPr>
                <w:sz w:val="20"/>
                <w:szCs w:val="20"/>
                <w:color w:val="auto"/>
              </w:rPr>
            </w:pPr>
            <w:r>
              <w:rPr>
                <w:rFonts w:ascii="Arial" w:cs="Arial" w:eastAsia="Arial" w:hAnsi="Arial"/>
                <w:sz w:val="20"/>
                <w:szCs w:val="20"/>
                <w:color w:val="auto"/>
                <w:w w:val="91"/>
              </w:rPr>
              <w:t xml:space="preserve">2030 and thereafter </w:t>
            </w:r>
            <w:r>
              <w:rPr>
                <w:rFonts w:ascii="Arial" w:cs="Arial" w:eastAsia="Arial" w:hAnsi="Arial"/>
                <w:sz w:val="20"/>
                <w:szCs w:val="20"/>
                <w:color w:val="B4B4B4"/>
                <w:w w:val="91"/>
              </w:rPr>
              <w:t>. . . . . . . . . . . . . . . .</w:t>
            </w:r>
          </w:p>
        </w:tc>
        <w:tc>
          <w:tcPr>
            <w:tcW w:w="3360" w:type="dxa"/>
            <w:vAlign w:val="bottom"/>
          </w:tcPr>
          <w:p>
            <w:pPr>
              <w:jc w:val="right"/>
              <w:spacing w:after="0"/>
              <w:rPr>
                <w:sz w:val="20"/>
                <w:szCs w:val="20"/>
                <w:color w:val="auto"/>
              </w:rPr>
            </w:pPr>
            <w:r>
              <w:rPr>
                <w:rFonts w:ascii="Arial" w:cs="Arial" w:eastAsia="Arial" w:hAnsi="Arial"/>
                <w:sz w:val="20"/>
                <w:szCs w:val="20"/>
                <w:color w:val="auto"/>
              </w:rPr>
              <w:t>100.000 %</w:t>
            </w:r>
          </w:p>
        </w:tc>
        <w:tc>
          <w:tcPr>
            <w:tcW w:w="3480" w:type="dxa"/>
            <w:vAlign w:val="bottom"/>
            <w:gridSpan w:val="2"/>
          </w:tcPr>
          <w:p>
            <w:pPr>
              <w:jc w:val="right"/>
              <w:spacing w:after="0"/>
              <w:rPr>
                <w:sz w:val="20"/>
                <w:szCs w:val="20"/>
                <w:color w:val="auto"/>
              </w:rPr>
            </w:pPr>
            <w:r>
              <w:rPr>
                <w:rFonts w:ascii="Arial" w:cs="Arial" w:eastAsia="Arial" w:hAnsi="Arial"/>
                <w:sz w:val="20"/>
                <w:szCs w:val="20"/>
                <w:color w:val="auto"/>
              </w:rPr>
              <w:t>100.000 %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-758825</wp:posOffset>
            </wp:positionV>
            <wp:extent cx="6475095" cy="7797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0">
                      <a:extLst>
                        <a:ext uri="{28A0092B-C50C-407E-A947-70E740481C1C}"/>
                      </a:extLst>
                    </a:blip>
                    <a:srcRect/>
                    <a:stretch>
                      <a:fillRect/>
                    </a:stretch>
                  </pic:blipFill>
                  <pic:spPr bwMode="auto">
                    <a:xfrm>
                      <a:off x="0" y="0"/>
                      <a:ext cx="6475095" cy="779780"/>
                    </a:xfrm>
                    <a:prstGeom prst="rect">
                      <a:avLst/>
                    </a:prstGeom>
                    <a:noFill/>
                  </pic:spPr>
                </pic:pic>
              </a:graphicData>
            </a:graphic>
          </wp:anchor>
        </w:drawing>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2033 Senior Notes</w:t>
      </w:r>
    </w:p>
    <w:p>
      <w:pPr>
        <w:spacing w:after="0" w:line="130"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8"/>
          <w:szCs w:val="18"/>
          <w:color w:val="auto"/>
        </w:rPr>
        <w:t>At any time prior to November 1, 2027, the Company may redeem all or a part of the 2033 Senior Notes, at a redemption price equal to 100% of the principal amount of the notes redeemed, plus accrued and unpaid interest to the redemption date, plus a premium. The premium is the greater of: (i) 1% of the principal amount of the note; or (ii) the excess of the present value of 103.000% of the note, plus interest payments due on the note through November 1, 2027 (excluding accrued but unpaid interest to the redemption date), computed using a discount rate equal to the Treasury Rate as of such redemption date plus 0.50% over the principal amount of the note. In addition, on or after November 1, 2027, the Company may redeem some or all of the notes at redemption prices expressed as percentages of principal amount as set forth in the following table, plus accrued and unpaid interest on the notes redeemed up to the redemption date:</w:t>
      </w:r>
    </w:p>
    <w:p>
      <w:pPr>
        <w:spacing w:after="0" w:line="6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8"/>
              </w:rPr>
              <w:t>Redemption Period</w:t>
            </w:r>
          </w:p>
        </w:tc>
        <w:tc>
          <w:tcPr>
            <w:tcW w:w="7120" w:type="dxa"/>
            <w:vAlign w:val="bottom"/>
            <w:vMerge w:val="restart"/>
          </w:tcPr>
          <w:p>
            <w:pPr>
              <w:spacing w:after="0"/>
              <w:rPr>
                <w:sz w:val="18"/>
                <w:szCs w:val="18"/>
                <w:color w:val="auto"/>
              </w:rPr>
            </w:pPr>
          </w:p>
        </w:tc>
        <w:tc>
          <w:tcPr>
            <w:tcW w:w="1480" w:type="dxa"/>
            <w:vAlign w:val="bottom"/>
          </w:tcPr>
          <w:p>
            <w:pPr>
              <w:jc w:val="right"/>
              <w:ind w:right="185"/>
              <w:spacing w:after="0"/>
              <w:rPr>
                <w:sz w:val="20"/>
                <w:szCs w:val="20"/>
                <w:color w:val="auto"/>
              </w:rPr>
            </w:pPr>
            <w:r>
              <w:rPr>
                <w:rFonts w:ascii="Arial" w:cs="Arial" w:eastAsia="Arial" w:hAnsi="Arial"/>
                <w:sz w:val="18"/>
                <w:szCs w:val="18"/>
                <w:b w:val="1"/>
                <w:bCs w:val="1"/>
                <w:color w:val="auto"/>
              </w:rPr>
              <w:t>Redemption</w:t>
            </w:r>
          </w:p>
        </w:tc>
        <w:tc>
          <w:tcPr>
            <w:tcW w:w="0" w:type="dxa"/>
            <w:vAlign w:val="bottom"/>
          </w:tcPr>
          <w:p>
            <w:pPr>
              <w:spacing w:after="0"/>
              <w:rPr>
                <w:sz w:val="1"/>
                <w:szCs w:val="1"/>
                <w:color w:val="auto"/>
              </w:rPr>
            </w:pPr>
          </w:p>
        </w:tc>
      </w:tr>
      <w:tr>
        <w:trPr>
          <w:trHeight w:val="198"/>
        </w:trPr>
        <w:tc>
          <w:tcPr>
            <w:tcW w:w="1480" w:type="dxa"/>
            <w:vAlign w:val="bottom"/>
            <w:tcBorders>
              <w:bottom w:val="single" w:sz="8" w:color="auto"/>
            </w:tcBorders>
            <w:gridSpan w:val="2"/>
            <w:vMerge w:val="continue"/>
          </w:tcPr>
          <w:p>
            <w:pPr>
              <w:spacing w:after="0"/>
              <w:rPr>
                <w:sz w:val="16"/>
                <w:szCs w:val="16"/>
                <w:color w:val="auto"/>
              </w:rPr>
            </w:pPr>
          </w:p>
        </w:tc>
        <w:tc>
          <w:tcPr>
            <w:tcW w:w="7120" w:type="dxa"/>
            <w:vAlign w:val="bottom"/>
            <w:vMerge w:val="continue"/>
          </w:tcPr>
          <w:p>
            <w:pPr>
              <w:spacing w:after="0"/>
              <w:rPr>
                <w:sz w:val="16"/>
                <w:szCs w:val="16"/>
                <w:color w:val="auto"/>
              </w:rPr>
            </w:pPr>
          </w:p>
        </w:tc>
        <w:tc>
          <w:tcPr>
            <w:tcW w:w="1480" w:type="dxa"/>
            <w:vAlign w:val="bottom"/>
          </w:tcPr>
          <w:p>
            <w:pPr>
              <w:jc w:val="right"/>
              <w:ind w:right="225"/>
              <w:spacing w:after="0" w:line="193" w:lineRule="exact"/>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3"/>
        </w:trPr>
        <w:tc>
          <w:tcPr>
            <w:tcW w:w="8600" w:type="dxa"/>
            <w:vAlign w:val="bottom"/>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600" w:type="dxa"/>
            <w:vAlign w:val="bottom"/>
            <w:gridSpan w:val="3"/>
          </w:tcPr>
          <w:p>
            <w:pPr>
              <w:spacing w:after="0"/>
              <w:rPr>
                <w:sz w:val="20"/>
                <w:szCs w:val="20"/>
                <w:color w:val="auto"/>
              </w:rPr>
            </w:pPr>
            <w:r>
              <w:rPr>
                <w:rFonts w:ascii="Arial" w:cs="Arial" w:eastAsia="Arial" w:hAnsi="Arial"/>
                <w:sz w:val="20"/>
                <w:szCs w:val="20"/>
                <w:color w:val="auto"/>
                <w:w w:val="90"/>
              </w:rPr>
              <w:t xml:space="preserve">November 1, 2027 to October 31, 2028  </w:t>
            </w:r>
            <w:r>
              <w:rPr>
                <w:rFonts w:ascii="Arial" w:cs="Arial" w:eastAsia="Arial" w:hAnsi="Arial"/>
                <w:sz w:val="20"/>
                <w:szCs w:val="20"/>
                <w:color w:val="B4B4B4"/>
                <w:w w:val="90"/>
              </w:rPr>
              <w:t>.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103.000 %</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20"/>
                <w:szCs w:val="20"/>
                <w:color w:val="auto"/>
                <w:w w:val="90"/>
              </w:rPr>
              <w:t>November 1,</w:t>
            </w:r>
          </w:p>
        </w:tc>
        <w:tc>
          <w:tcPr>
            <w:tcW w:w="7540" w:type="dxa"/>
            <w:vAlign w:val="bottom"/>
            <w:gridSpan w:val="2"/>
          </w:tcPr>
          <w:p>
            <w:pPr>
              <w:ind w:left="20"/>
              <w:spacing w:after="0"/>
              <w:rPr>
                <w:sz w:val="20"/>
                <w:szCs w:val="20"/>
                <w:color w:val="auto"/>
              </w:rPr>
            </w:pPr>
            <w:r>
              <w:rPr>
                <w:rFonts w:ascii="Arial" w:cs="Arial" w:eastAsia="Arial" w:hAnsi="Arial"/>
                <w:sz w:val="20"/>
                <w:szCs w:val="20"/>
                <w:color w:val="auto"/>
                <w:w w:val="90"/>
              </w:rPr>
              <w:t xml:space="preserve">2028 to October 31, 2029  </w:t>
            </w:r>
            <w:r>
              <w:rPr>
                <w:rFonts w:ascii="Arial" w:cs="Arial" w:eastAsia="Arial" w:hAnsi="Arial"/>
                <w:sz w:val="20"/>
                <w:szCs w:val="20"/>
                <w:color w:val="B4B4B4"/>
                <w:w w:val="90"/>
              </w:rPr>
              <w:t>.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101.500 %</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20"/>
                <w:szCs w:val="20"/>
                <w:color w:val="auto"/>
                <w:w w:val="90"/>
              </w:rPr>
              <w:t>November 1,</w:t>
            </w:r>
          </w:p>
        </w:tc>
        <w:tc>
          <w:tcPr>
            <w:tcW w:w="7540" w:type="dxa"/>
            <w:vAlign w:val="bottom"/>
            <w:gridSpan w:val="2"/>
          </w:tcPr>
          <w:p>
            <w:pPr>
              <w:ind w:left="20"/>
              <w:spacing w:after="0"/>
              <w:rPr>
                <w:sz w:val="20"/>
                <w:szCs w:val="20"/>
                <w:color w:val="auto"/>
              </w:rPr>
            </w:pPr>
            <w:r>
              <w:rPr>
                <w:rFonts w:ascii="Arial" w:cs="Arial" w:eastAsia="Arial" w:hAnsi="Arial"/>
                <w:sz w:val="20"/>
                <w:szCs w:val="20"/>
                <w:color w:val="auto"/>
                <w:w w:val="89"/>
              </w:rPr>
              <w:t xml:space="preserve">2029 and thereafter  </w:t>
            </w:r>
            <w:r>
              <w:rPr>
                <w:rFonts w:ascii="Arial" w:cs="Arial" w:eastAsia="Arial" w:hAnsi="Arial"/>
                <w:sz w:val="20"/>
                <w:szCs w:val="20"/>
                <w:color w:val="B4B4B4"/>
                <w:w w:val="89"/>
              </w:rPr>
              <w:t>. . . . . .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100.000 %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-570230</wp:posOffset>
            </wp:positionV>
            <wp:extent cx="6466205" cy="5911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1">
                      <a:extLst>
                        <a:ext uri="{28A0092B-C50C-407E-A947-70E740481C1C}"/>
                      </a:extLst>
                    </a:blip>
                    <a:srcRect/>
                    <a:stretch>
                      <a:fillRect/>
                    </a:stretch>
                  </pic:blipFill>
                  <pic:spPr bwMode="auto">
                    <a:xfrm>
                      <a:off x="0" y="0"/>
                      <a:ext cx="6466205" cy="591185"/>
                    </a:xfrm>
                    <a:prstGeom prst="rect">
                      <a:avLst/>
                    </a:prstGeom>
                    <a:noFill/>
                  </pic:spPr>
                </pic:pic>
              </a:graphicData>
            </a:graphic>
          </wp:anchor>
        </w:drawing>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2034 Senior Notes</w:t>
      </w:r>
    </w:p>
    <w:p>
      <w:pPr>
        <w:spacing w:after="0" w:line="130"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8"/>
          <w:szCs w:val="18"/>
          <w:color w:val="auto"/>
        </w:rPr>
        <w:t>At any time prior to November 1, 2029, the Company may redeem all or a part of the 2034 Senior Notes, at a redemption price equal to 100% of the principal amount of the notes redeemed, plus accrued and unpaid interest to the redemption date, plus a premium. The premium is the greater of: (i) 1% of the principal amount of the note; or (ii) the excess of the present value of 103.125% of the note, plus interest payments due on the note through November 1, 2029 (excluding accrued but unpaid interest to the redemption date), computed using a discount rate equal to the Treasury Rate as of such redemption date plus 0.50% over the principal amount of the note. In addition, on or after November 1, 2029, the Company may redeem some or all of the notes at redemption prices expressed as percentages of principal amount as set forth in the following table, plus accrued and unpaid interest on the notes redeemed up to the redemption date:</w:t>
      </w:r>
    </w:p>
    <w:p>
      <w:pPr>
        <w:spacing w:after="0" w:line="6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8"/>
              </w:rPr>
              <w:t>Redemption Period</w:t>
            </w:r>
          </w:p>
        </w:tc>
        <w:tc>
          <w:tcPr>
            <w:tcW w:w="7120" w:type="dxa"/>
            <w:vAlign w:val="bottom"/>
            <w:vMerge w:val="restart"/>
          </w:tcPr>
          <w:p>
            <w:pPr>
              <w:spacing w:after="0"/>
              <w:rPr>
                <w:sz w:val="17"/>
                <w:szCs w:val="17"/>
                <w:color w:val="auto"/>
              </w:rPr>
            </w:pPr>
          </w:p>
        </w:tc>
        <w:tc>
          <w:tcPr>
            <w:tcW w:w="1480" w:type="dxa"/>
            <w:vAlign w:val="bottom"/>
          </w:tcPr>
          <w:p>
            <w:pPr>
              <w:jc w:val="right"/>
              <w:ind w:right="185"/>
              <w:spacing w:after="0"/>
              <w:rPr>
                <w:sz w:val="20"/>
                <w:szCs w:val="20"/>
                <w:color w:val="auto"/>
              </w:rPr>
            </w:pPr>
            <w:r>
              <w:rPr>
                <w:rFonts w:ascii="Arial" w:cs="Arial" w:eastAsia="Arial" w:hAnsi="Arial"/>
                <w:sz w:val="18"/>
                <w:szCs w:val="18"/>
                <w:b w:val="1"/>
                <w:bCs w:val="1"/>
                <w:color w:val="auto"/>
              </w:rPr>
              <w:t>Redemption</w:t>
            </w:r>
          </w:p>
        </w:tc>
        <w:tc>
          <w:tcPr>
            <w:tcW w:w="0" w:type="dxa"/>
            <w:vAlign w:val="bottom"/>
          </w:tcPr>
          <w:p>
            <w:pPr>
              <w:spacing w:after="0"/>
              <w:rPr>
                <w:sz w:val="1"/>
                <w:szCs w:val="1"/>
                <w:color w:val="auto"/>
              </w:rPr>
            </w:pPr>
          </w:p>
        </w:tc>
      </w:tr>
      <w:tr>
        <w:trPr>
          <w:trHeight w:val="198"/>
        </w:trPr>
        <w:tc>
          <w:tcPr>
            <w:tcW w:w="1480" w:type="dxa"/>
            <w:vAlign w:val="bottom"/>
            <w:tcBorders>
              <w:bottom w:val="single" w:sz="8" w:color="auto"/>
            </w:tcBorders>
            <w:gridSpan w:val="2"/>
            <w:vMerge w:val="continue"/>
          </w:tcPr>
          <w:p>
            <w:pPr>
              <w:spacing w:after="0"/>
              <w:rPr>
                <w:sz w:val="16"/>
                <w:szCs w:val="16"/>
                <w:color w:val="auto"/>
              </w:rPr>
            </w:pPr>
          </w:p>
        </w:tc>
        <w:tc>
          <w:tcPr>
            <w:tcW w:w="7120" w:type="dxa"/>
            <w:vAlign w:val="bottom"/>
            <w:vMerge w:val="continue"/>
          </w:tcPr>
          <w:p>
            <w:pPr>
              <w:spacing w:after="0"/>
              <w:rPr>
                <w:sz w:val="16"/>
                <w:szCs w:val="16"/>
                <w:color w:val="auto"/>
              </w:rPr>
            </w:pPr>
          </w:p>
        </w:tc>
        <w:tc>
          <w:tcPr>
            <w:tcW w:w="1480" w:type="dxa"/>
            <w:vAlign w:val="bottom"/>
          </w:tcPr>
          <w:p>
            <w:pPr>
              <w:jc w:val="right"/>
              <w:ind w:right="225"/>
              <w:spacing w:after="0" w:line="193" w:lineRule="exact"/>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3"/>
        </w:trPr>
        <w:tc>
          <w:tcPr>
            <w:tcW w:w="8600" w:type="dxa"/>
            <w:vAlign w:val="bottom"/>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600" w:type="dxa"/>
            <w:vAlign w:val="bottom"/>
            <w:gridSpan w:val="3"/>
          </w:tcPr>
          <w:p>
            <w:pPr>
              <w:spacing w:after="0"/>
              <w:rPr>
                <w:sz w:val="20"/>
                <w:szCs w:val="20"/>
                <w:color w:val="auto"/>
              </w:rPr>
            </w:pPr>
            <w:r>
              <w:rPr>
                <w:rFonts w:ascii="Arial" w:cs="Arial" w:eastAsia="Arial" w:hAnsi="Arial"/>
                <w:sz w:val="20"/>
                <w:szCs w:val="20"/>
                <w:color w:val="auto"/>
                <w:w w:val="90"/>
              </w:rPr>
              <w:t xml:space="preserve">November 1, 2029 to October 31, 2030  </w:t>
            </w:r>
            <w:r>
              <w:rPr>
                <w:rFonts w:ascii="Arial" w:cs="Arial" w:eastAsia="Arial" w:hAnsi="Arial"/>
                <w:sz w:val="20"/>
                <w:szCs w:val="20"/>
                <w:color w:val="B4B4B4"/>
                <w:w w:val="90"/>
              </w:rPr>
              <w:t>.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103.125 %</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20"/>
                <w:szCs w:val="20"/>
                <w:color w:val="auto"/>
                <w:w w:val="90"/>
              </w:rPr>
              <w:t>November 1,</w:t>
            </w:r>
          </w:p>
        </w:tc>
        <w:tc>
          <w:tcPr>
            <w:tcW w:w="7540" w:type="dxa"/>
            <w:vAlign w:val="bottom"/>
            <w:gridSpan w:val="2"/>
          </w:tcPr>
          <w:p>
            <w:pPr>
              <w:ind w:left="20"/>
              <w:spacing w:after="0"/>
              <w:rPr>
                <w:sz w:val="20"/>
                <w:szCs w:val="20"/>
                <w:color w:val="auto"/>
              </w:rPr>
            </w:pPr>
            <w:r>
              <w:rPr>
                <w:rFonts w:ascii="Arial" w:cs="Arial" w:eastAsia="Arial" w:hAnsi="Arial"/>
                <w:sz w:val="20"/>
                <w:szCs w:val="20"/>
                <w:color w:val="auto"/>
                <w:w w:val="90"/>
              </w:rPr>
              <w:t xml:space="preserve">2030 to October 31, 2031  </w:t>
            </w:r>
            <w:r>
              <w:rPr>
                <w:rFonts w:ascii="Arial" w:cs="Arial" w:eastAsia="Arial" w:hAnsi="Arial"/>
                <w:sz w:val="20"/>
                <w:szCs w:val="20"/>
                <w:color w:val="B4B4B4"/>
                <w:w w:val="90"/>
              </w:rPr>
              <w:t>.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101.563 %</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20"/>
                <w:szCs w:val="20"/>
                <w:color w:val="auto"/>
                <w:w w:val="90"/>
              </w:rPr>
              <w:t>November 1,</w:t>
            </w:r>
          </w:p>
        </w:tc>
        <w:tc>
          <w:tcPr>
            <w:tcW w:w="7540" w:type="dxa"/>
            <w:vAlign w:val="bottom"/>
            <w:gridSpan w:val="2"/>
          </w:tcPr>
          <w:p>
            <w:pPr>
              <w:ind w:left="20"/>
              <w:spacing w:after="0"/>
              <w:rPr>
                <w:sz w:val="20"/>
                <w:szCs w:val="20"/>
                <w:color w:val="auto"/>
              </w:rPr>
            </w:pPr>
            <w:r>
              <w:rPr>
                <w:rFonts w:ascii="Arial" w:cs="Arial" w:eastAsia="Arial" w:hAnsi="Arial"/>
                <w:sz w:val="20"/>
                <w:szCs w:val="20"/>
                <w:color w:val="auto"/>
                <w:w w:val="89"/>
              </w:rPr>
              <w:t xml:space="preserve">2031 and thereafter  </w:t>
            </w:r>
            <w:r>
              <w:rPr>
                <w:rFonts w:ascii="Arial" w:cs="Arial" w:eastAsia="Arial" w:hAnsi="Arial"/>
                <w:sz w:val="20"/>
                <w:szCs w:val="20"/>
                <w:color w:val="B4B4B4"/>
                <w:w w:val="89"/>
              </w:rPr>
              <w:t>. . . . . .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100.000 %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-570230</wp:posOffset>
            </wp:positionV>
            <wp:extent cx="6466205" cy="5911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32">
                      <a:extLst>
                        <a:ext uri="{28A0092B-C50C-407E-A947-70E740481C1C}"/>
                      </a:extLst>
                    </a:blip>
                    <a:srcRect/>
                    <a:stretch>
                      <a:fillRect/>
                    </a:stretch>
                  </pic:blipFill>
                  <pic:spPr bwMode="auto">
                    <a:xfrm>
                      <a:off x="0" y="0"/>
                      <a:ext cx="6466205" cy="591185"/>
                    </a:xfrm>
                    <a:prstGeom prst="rect">
                      <a:avLst/>
                    </a:prstGeom>
                    <a:noFill/>
                  </pic:spPr>
                </pic:pic>
              </a:graphicData>
            </a:graphic>
          </wp:anchor>
        </w:drawing>
      </w:r>
    </w:p>
    <w:p>
      <w:pPr>
        <w:sectPr>
          <w:pgSz w:w="11880" w:h="15480" w:orient="portrait"/>
          <w:cols w:equalWidth="0" w:num="1">
            <w:col w:w="10160"/>
          </w:cols>
          <w:pgMar w:left="860" w:top="508" w:right="86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ectPr>
          <w:pgSz w:w="11880" w:h="15480" w:orient="portrait"/>
          <w:cols w:equalWidth="0" w:num="1">
            <w:col w:w="10160"/>
          </w:cols>
          <w:pgMar w:left="860" w:top="508" w:right="860" w:bottom="0" w:gutter="0" w:footer="0" w:header="0"/>
          <w:type w:val="continuous"/>
        </w:sectPr>
      </w:pPr>
    </w:p>
    <w:bookmarkStart w:id="137" w:name="page138"/>
    <w:bookmarkEnd w:id="137"/>
    <w:p>
      <w:pPr>
        <w:ind w:left="440"/>
        <w:spacing w:after="0"/>
        <w:rPr>
          <w:sz w:val="20"/>
          <w:szCs w:val="20"/>
          <w:color w:val="auto"/>
        </w:rPr>
      </w:pPr>
      <w:r>
        <w:rPr>
          <w:rFonts w:ascii="Arial" w:cs="Arial" w:eastAsia="Arial" w:hAnsi="Arial"/>
          <w:sz w:val="20"/>
          <w:szCs w:val="20"/>
          <w:b w:val="1"/>
          <w:bCs w:val="1"/>
          <w:i w:val="1"/>
          <w:iCs w:val="1"/>
          <w:color w:val="auto"/>
        </w:rPr>
        <w:t>Receivables Securitization Facilities</w:t>
      </w:r>
    </w:p>
    <w:p>
      <w:pPr>
        <w:spacing w:after="0" w:line="134" w:lineRule="exact"/>
        <w:rPr>
          <w:sz w:val="20"/>
          <w:szCs w:val="20"/>
          <w:color w:val="auto"/>
        </w:rPr>
      </w:pPr>
    </w:p>
    <w:p>
      <w:pPr>
        <w:jc w:val="both"/>
        <w:ind w:firstLine="445"/>
        <w:spacing w:after="0" w:line="280" w:lineRule="auto"/>
        <w:rPr>
          <w:sz w:val="20"/>
          <w:szCs w:val="20"/>
          <w:color w:val="auto"/>
        </w:rPr>
      </w:pPr>
      <w:r>
        <w:rPr>
          <w:rFonts w:ascii="Arial" w:cs="Arial" w:eastAsia="Arial" w:hAnsi="Arial"/>
          <w:sz w:val="18"/>
          <w:szCs w:val="18"/>
          <w:color w:val="auto"/>
        </w:rPr>
        <w:t>In 2020, NRG Receivables LLC, a bankruptcy remote, special purpose, indirect wholly owned subsidiary (“NRG Receivables”), entered into the Receivables Facility, subject to adjustments on a seasonal basis, with issuers of asset-backed commercial paper and commercial banks (the “Lenders”). The assets of NRG Receivables are first available to satisfy the claims of the Lenders before making payments on the subordinated note and equity issued by NRG Receivables. The assets of NRG Receivables are not available to the Company and its subsidiaries or creditors unless and until distributed by NRG Receivables. Under the Receivables Facility, certain indirect subsidiaries of the Company sell their accounts receivables to NRG Receivables, subject to certain terms and conditions. In turn, NRG Receivables grants a security interest in the purchased receivables to the Lenders as collateral for cash borrowings and issuances of letters of credit. Pursuant to the Performance Guaranty, the Company has guaranteed, for the benefit of NRG Receivables and the Lenders, the payment and performance by each indirect subsidiary of its respective obligations under the Receivables Facility. The accounts receivables remain on the Company’s consolidated balance sheet and any amounts funded by the Lenders to NRG Receivables will be reflected as short-term borrowings. Cash flows from the Receivables Facility are reflected as financing activities in the Company’s consolidated statements of cash flows. The Company continues to service the accounts receivables sold in exchange for a servicing fee.</w:t>
      </w:r>
    </w:p>
    <w:p>
      <w:pPr>
        <w:spacing w:after="0" w:line="6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In 2020, the Company entered into the Repurchase Facility related to the Receivables Facility. Under the Repurchase Facility, the Company could borrow up to $150 million, collateralized by a subordinated note issued by NRG Receivables to NRG Retail LLC in favor of the originating entities representing a portion of the balance of receivables sold to NRG Receivables under the Receivables Facility.</w:t>
      </w:r>
    </w:p>
    <w:p>
      <w:pPr>
        <w:spacing w:after="0" w:line="8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On June 21, 2024, NRG Receivables LLC (“NRG Receivables”), an indirect wholly-owned subsidiary of the Company, amended its existing Receivables Facility to, among other things, (i) extend the scheduled termination date to June 20, 2025, (ii) increase the aggregate commitments from $1.4 billion to $2.3 billion (adjusted seasonally) and (iii) add a new originator. The weighted average interest rate related to usage under the Receivables Facility as of December 31, 2024 was 0.776%. As of December 31, 2024, there were no outstanding borrowings and there were $1.4 billion in letters of credit issued under the Receivables Facility.</w:t>
      </w:r>
    </w:p>
    <w:p>
      <w:pPr>
        <w:spacing w:after="0" w:line="90"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8"/>
          <w:szCs w:val="18"/>
          <w:color w:val="auto"/>
        </w:rPr>
        <w:t>Also on June 21, 2024, Direct Energy Services, LLC (in its capacity as additional originator, the “Additional Originator”) entered into a Joinder Agreement (the “Joinder Agreement”) to join as Additional Originator to the Receivables Sale Agreement, dated as of September 22, 2020, among Direct Energy, LP, Direct Energy Business, LLC, Green Mountain Energy Company, NRG Business Marketing, LLC, Reliant Energy Northeast LLC, Reliant Energy Retail Services, LLC, Stream SPE, Ltd., US Retailers LLC and XOOM Energy Texas, LLC, as originators, NRG Retail, as the servicer, and NRG Receivables (the “Receivables Sale Agreement”). Pursuant to the Joinder Agreement, the Additional Originator agrees to be bound by the terms of the Receivables Sale Agreement, will sell to NRG Receivables substantially all of its receivables for the sale of electricity, natural gas and/or related services and certain related rights (collectively, the “Receivables”) and in connection therewith have transferred to NRG Receivables the deposit accounts into which the proceeds of such Receivables are paid.</w:t>
      </w:r>
    </w:p>
    <w:p>
      <w:pPr>
        <w:spacing w:after="0" w:line="6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Concurrently with the amendments to the Receivables Facility, the Company and the originators thereunder terminated the existing uncommitted Repurchase Facility.</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Tax Exempt Bonds</w:t>
      </w:r>
    </w:p>
    <w:p>
      <w:pPr>
        <w:spacing w:after="0" w:line="78"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5280" w:type="dxa"/>
            <w:vAlign w:val="bottom"/>
          </w:tcPr>
          <w:p>
            <w:pPr>
              <w:spacing w:after="0"/>
              <w:rPr>
                <w:sz w:val="20"/>
                <w:szCs w:val="20"/>
                <w:color w:val="auto"/>
              </w:rPr>
            </w:pPr>
          </w:p>
        </w:tc>
        <w:tc>
          <w:tcPr>
            <w:tcW w:w="250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8"/>
                <w:szCs w:val="18"/>
                <w:b w:val="1"/>
                <w:bCs w:val="1"/>
                <w:color w:val="auto"/>
              </w:rPr>
              <w:t>As of December 31,</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r>
      <w:tr>
        <w:trPr>
          <w:trHeight w:val="232"/>
        </w:trPr>
        <w:tc>
          <w:tcPr>
            <w:tcW w:w="5280" w:type="dxa"/>
            <w:vAlign w:val="bottom"/>
          </w:tcPr>
          <w:p>
            <w:pPr>
              <w:jc w:val="right"/>
              <w:ind w:right="3483"/>
              <w:spacing w:after="0"/>
              <w:rPr>
                <w:sz w:val="20"/>
                <w:szCs w:val="20"/>
                <w:color w:val="auto"/>
              </w:rPr>
            </w:pPr>
            <w:r>
              <w:rPr>
                <w:rFonts w:ascii="Arial" w:cs="Arial" w:eastAsia="Arial" w:hAnsi="Arial"/>
                <w:sz w:val="16"/>
                <w:szCs w:val="16"/>
                <w:b w:val="1"/>
                <w:bCs w:val="1"/>
                <w:color w:val="auto"/>
                <w:w w:val="87"/>
              </w:rPr>
              <w:t>(In millions, except rates)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Interest Rate %</w:t>
            </w:r>
          </w:p>
        </w:tc>
      </w:tr>
      <w:tr>
        <w:trPr>
          <w:trHeight w:val="275"/>
        </w:trPr>
        <w:tc>
          <w:tcPr>
            <w:tcW w:w="5280" w:type="dxa"/>
            <w:vAlign w:val="bottom"/>
          </w:tcPr>
          <w:p>
            <w:pPr>
              <w:jc w:val="right"/>
              <w:ind w:right="23"/>
              <w:spacing w:after="0"/>
              <w:rPr>
                <w:sz w:val="20"/>
                <w:szCs w:val="20"/>
                <w:color w:val="auto"/>
              </w:rPr>
            </w:pPr>
            <w:r>
              <w:rPr>
                <w:rFonts w:ascii="Arial" w:cs="Arial" w:eastAsia="Arial" w:hAnsi="Arial"/>
                <w:sz w:val="20"/>
                <w:szCs w:val="20"/>
                <w:color w:val="auto"/>
                <w:w w:val="90"/>
              </w:rPr>
              <w:t xml:space="preserve">NRG Indian River Power 2020, tax exempt bonds, due 2040 </w:t>
            </w:r>
            <w:r>
              <w:rPr>
                <w:rFonts w:ascii="Arial" w:cs="Arial" w:eastAsia="Arial" w:hAnsi="Arial"/>
                <w:sz w:val="20"/>
                <w:szCs w:val="20"/>
                <w:color w:val="B4B4B4"/>
                <w:w w:val="90"/>
              </w:rPr>
              <w:t>. . .</w:t>
            </w:r>
          </w:p>
        </w:tc>
        <w:tc>
          <w:tcPr>
            <w:tcW w:w="980" w:type="dxa"/>
            <w:vAlign w:val="bottom"/>
          </w:tcPr>
          <w:p>
            <w:pPr>
              <w:jc w:val="right"/>
              <w:ind w:right="726"/>
              <w:spacing w:after="0"/>
              <w:rPr>
                <w:sz w:val="20"/>
                <w:szCs w:val="20"/>
                <w:color w:val="auto"/>
              </w:rPr>
            </w:pPr>
            <w:r>
              <w:rPr>
                <w:rFonts w:ascii="Arial" w:cs="Arial" w:eastAsia="Arial" w:hAnsi="Arial"/>
                <w:sz w:val="20"/>
                <w:szCs w:val="20"/>
                <w:color w:val="auto"/>
              </w:rPr>
              <w:t>$</w:t>
            </w:r>
          </w:p>
        </w:tc>
        <w:tc>
          <w:tcPr>
            <w:tcW w:w="460" w:type="dxa"/>
            <w:vAlign w:val="bottom"/>
          </w:tcPr>
          <w:p>
            <w:pPr>
              <w:jc w:val="right"/>
              <w:spacing w:after="0"/>
              <w:rPr>
                <w:sz w:val="20"/>
                <w:szCs w:val="20"/>
                <w:color w:val="auto"/>
              </w:rPr>
            </w:pPr>
            <w:r>
              <w:rPr>
                <w:rFonts w:ascii="Arial" w:cs="Arial" w:eastAsia="Arial" w:hAnsi="Arial"/>
                <w:sz w:val="20"/>
                <w:szCs w:val="20"/>
                <w:color w:val="auto"/>
              </w:rPr>
              <w:t>57</w:t>
            </w:r>
          </w:p>
        </w:tc>
        <w:tc>
          <w:tcPr>
            <w:tcW w:w="1060" w:type="dxa"/>
            <w:vAlign w:val="bottom"/>
            <w:gridSpan w:val="2"/>
          </w:tcPr>
          <w:p>
            <w:pPr>
              <w:jc w:val="right"/>
              <w:ind w:right="731"/>
              <w:spacing w:after="0"/>
              <w:rPr>
                <w:sz w:val="20"/>
                <w:szCs w:val="20"/>
                <w:color w:val="auto"/>
              </w:rPr>
            </w:pPr>
            <w:r>
              <w:rPr>
                <w:rFonts w:ascii="Arial" w:cs="Arial" w:eastAsia="Arial" w:hAnsi="Arial"/>
                <w:sz w:val="20"/>
                <w:szCs w:val="20"/>
                <w:color w:val="auto"/>
              </w:rPr>
              <w:t>$</w:t>
            </w:r>
          </w:p>
        </w:tc>
        <w:tc>
          <w:tcPr>
            <w:tcW w:w="460" w:type="dxa"/>
            <w:vAlign w:val="bottom"/>
          </w:tcPr>
          <w:p>
            <w:pPr>
              <w:jc w:val="right"/>
              <w:spacing w:after="0"/>
              <w:rPr>
                <w:sz w:val="20"/>
                <w:szCs w:val="20"/>
                <w:color w:val="auto"/>
              </w:rPr>
            </w:pPr>
            <w:r>
              <w:rPr>
                <w:rFonts w:ascii="Arial" w:cs="Arial" w:eastAsia="Arial" w:hAnsi="Arial"/>
                <w:sz w:val="20"/>
                <w:szCs w:val="20"/>
                <w:color w:val="auto"/>
              </w:rPr>
              <w:t>57</w:t>
            </w:r>
          </w:p>
        </w:tc>
        <w:tc>
          <w:tcPr>
            <w:tcW w:w="1820" w:type="dxa"/>
            <w:vAlign w:val="bottom"/>
            <w:gridSpan w:val="2"/>
          </w:tcPr>
          <w:p>
            <w:pPr>
              <w:jc w:val="right"/>
              <w:spacing w:after="0"/>
              <w:rPr>
                <w:sz w:val="20"/>
                <w:szCs w:val="20"/>
                <w:color w:val="auto"/>
              </w:rPr>
            </w:pPr>
            <w:r>
              <w:rPr>
                <w:rFonts w:ascii="Arial" w:cs="Arial" w:eastAsia="Arial" w:hAnsi="Arial"/>
                <w:sz w:val="20"/>
                <w:szCs w:val="20"/>
                <w:color w:val="auto"/>
              </w:rPr>
              <w:t>1.250</w:t>
            </w:r>
          </w:p>
        </w:tc>
      </w:tr>
      <w:tr>
        <w:trPr>
          <w:trHeight w:val="297"/>
        </w:trPr>
        <w:tc>
          <w:tcPr>
            <w:tcW w:w="5280" w:type="dxa"/>
            <w:vAlign w:val="bottom"/>
          </w:tcPr>
          <w:p>
            <w:pPr>
              <w:jc w:val="right"/>
              <w:ind w:right="23"/>
              <w:spacing w:after="0"/>
              <w:rPr>
                <w:sz w:val="20"/>
                <w:szCs w:val="20"/>
                <w:color w:val="auto"/>
              </w:rPr>
            </w:pPr>
            <w:r>
              <w:rPr>
                <w:rFonts w:ascii="Arial" w:cs="Arial" w:eastAsia="Arial" w:hAnsi="Arial"/>
                <w:sz w:val="20"/>
                <w:szCs w:val="20"/>
                <w:color w:val="auto"/>
                <w:w w:val="90"/>
              </w:rPr>
              <w:t xml:space="preserve">NRG Indian River Power 2020, tax exempt bonds, due 2045 </w:t>
            </w:r>
            <w:r>
              <w:rPr>
                <w:rFonts w:ascii="Arial" w:cs="Arial" w:eastAsia="Arial" w:hAnsi="Arial"/>
                <w:sz w:val="20"/>
                <w:szCs w:val="20"/>
                <w:color w:val="B4B4B4"/>
                <w:w w:val="90"/>
              </w:rPr>
              <w:t>. . .</w:t>
            </w:r>
          </w:p>
        </w:tc>
        <w:tc>
          <w:tcPr>
            <w:tcW w:w="9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190</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190</w:t>
            </w:r>
          </w:p>
        </w:tc>
        <w:tc>
          <w:tcPr>
            <w:tcW w:w="1820" w:type="dxa"/>
            <w:vAlign w:val="bottom"/>
            <w:gridSpan w:val="2"/>
          </w:tcPr>
          <w:p>
            <w:pPr>
              <w:jc w:val="right"/>
              <w:spacing w:after="0"/>
              <w:rPr>
                <w:sz w:val="20"/>
                <w:szCs w:val="20"/>
                <w:color w:val="auto"/>
              </w:rPr>
            </w:pPr>
            <w:r>
              <w:rPr>
                <w:rFonts w:ascii="Arial" w:cs="Arial" w:eastAsia="Arial" w:hAnsi="Arial"/>
                <w:sz w:val="20"/>
                <w:szCs w:val="20"/>
                <w:color w:val="auto"/>
              </w:rPr>
              <w:t>1.250</w:t>
            </w:r>
          </w:p>
        </w:tc>
      </w:tr>
      <w:tr>
        <w:trPr>
          <w:trHeight w:val="297"/>
        </w:trPr>
        <w:tc>
          <w:tcPr>
            <w:tcW w:w="5280" w:type="dxa"/>
            <w:vAlign w:val="bottom"/>
          </w:tcPr>
          <w:p>
            <w:pPr>
              <w:jc w:val="right"/>
              <w:ind w:right="23"/>
              <w:spacing w:after="0"/>
              <w:rPr>
                <w:sz w:val="20"/>
                <w:szCs w:val="20"/>
                <w:color w:val="auto"/>
              </w:rPr>
            </w:pPr>
            <w:r>
              <w:rPr>
                <w:rFonts w:ascii="Arial" w:cs="Arial" w:eastAsia="Arial" w:hAnsi="Arial"/>
                <w:sz w:val="20"/>
                <w:szCs w:val="20"/>
                <w:color w:val="auto"/>
                <w:w w:val="91"/>
              </w:rPr>
              <w:t xml:space="preserve">NRG Dunkirk 2020, tax exempt bonds, due 2042 </w:t>
            </w:r>
            <w:r>
              <w:rPr>
                <w:rFonts w:ascii="Arial" w:cs="Arial" w:eastAsia="Arial" w:hAnsi="Arial"/>
                <w:sz w:val="20"/>
                <w:szCs w:val="20"/>
                <w:color w:val="B4B4B4"/>
                <w:w w:val="91"/>
              </w:rPr>
              <w:t>. . . . . . . . . . . .</w:t>
            </w:r>
          </w:p>
        </w:tc>
        <w:tc>
          <w:tcPr>
            <w:tcW w:w="9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59</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59</w:t>
            </w:r>
          </w:p>
        </w:tc>
        <w:tc>
          <w:tcPr>
            <w:tcW w:w="1820" w:type="dxa"/>
            <w:vAlign w:val="bottom"/>
            <w:gridSpan w:val="2"/>
          </w:tcPr>
          <w:p>
            <w:pPr>
              <w:jc w:val="right"/>
              <w:spacing w:after="0"/>
              <w:rPr>
                <w:sz w:val="20"/>
                <w:szCs w:val="20"/>
                <w:color w:val="auto"/>
              </w:rPr>
            </w:pPr>
            <w:r>
              <w:rPr>
                <w:rFonts w:ascii="Arial" w:cs="Arial" w:eastAsia="Arial" w:hAnsi="Arial"/>
                <w:sz w:val="20"/>
                <w:szCs w:val="20"/>
                <w:color w:val="auto"/>
              </w:rPr>
              <w:t>4.250</w:t>
            </w:r>
          </w:p>
        </w:tc>
      </w:tr>
      <w:tr>
        <w:trPr>
          <w:trHeight w:val="297"/>
        </w:trPr>
        <w:tc>
          <w:tcPr>
            <w:tcW w:w="5280" w:type="dxa"/>
            <w:vAlign w:val="bottom"/>
          </w:tcPr>
          <w:p>
            <w:pPr>
              <w:jc w:val="right"/>
              <w:ind w:right="23"/>
              <w:spacing w:after="0"/>
              <w:rPr>
                <w:sz w:val="20"/>
                <w:szCs w:val="20"/>
                <w:color w:val="auto"/>
              </w:rPr>
            </w:pPr>
            <w:r>
              <w:rPr>
                <w:rFonts w:ascii="Arial" w:cs="Arial" w:eastAsia="Arial" w:hAnsi="Arial"/>
                <w:sz w:val="20"/>
                <w:szCs w:val="20"/>
                <w:color w:val="auto"/>
                <w:w w:val="90"/>
              </w:rPr>
              <w:t xml:space="preserve">City of Texas City, tax exempt bonds, due 2045  </w:t>
            </w:r>
            <w:r>
              <w:rPr>
                <w:rFonts w:ascii="Arial" w:cs="Arial" w:eastAsia="Arial" w:hAnsi="Arial"/>
                <w:sz w:val="20"/>
                <w:szCs w:val="20"/>
                <w:color w:val="B4B4B4"/>
                <w:w w:val="90"/>
              </w:rPr>
              <w:t>. . . . . . . . . . . . .</w:t>
            </w:r>
          </w:p>
        </w:tc>
        <w:tc>
          <w:tcPr>
            <w:tcW w:w="9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33</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33</w:t>
            </w:r>
          </w:p>
        </w:tc>
        <w:tc>
          <w:tcPr>
            <w:tcW w:w="1820" w:type="dxa"/>
            <w:vAlign w:val="bottom"/>
            <w:gridSpan w:val="2"/>
          </w:tcPr>
          <w:p>
            <w:pPr>
              <w:jc w:val="right"/>
              <w:spacing w:after="0"/>
              <w:rPr>
                <w:sz w:val="20"/>
                <w:szCs w:val="20"/>
                <w:color w:val="auto"/>
              </w:rPr>
            </w:pPr>
            <w:r>
              <w:rPr>
                <w:rFonts w:ascii="Arial" w:cs="Arial" w:eastAsia="Arial" w:hAnsi="Arial"/>
                <w:sz w:val="20"/>
                <w:szCs w:val="20"/>
                <w:color w:val="auto"/>
              </w:rPr>
              <w:t>4.125</w:t>
            </w:r>
          </w:p>
        </w:tc>
      </w:tr>
      <w:tr>
        <w:trPr>
          <w:trHeight w:val="297"/>
        </w:trPr>
        <w:tc>
          <w:tcPr>
            <w:tcW w:w="5280" w:type="dxa"/>
            <w:vAlign w:val="bottom"/>
          </w:tcPr>
          <w:p>
            <w:pPr>
              <w:jc w:val="right"/>
              <w:ind w:right="23"/>
              <w:spacing w:after="0"/>
              <w:rPr>
                <w:sz w:val="20"/>
                <w:szCs w:val="20"/>
                <w:color w:val="auto"/>
              </w:rPr>
            </w:pPr>
            <w:r>
              <w:rPr>
                <w:rFonts w:ascii="Arial" w:cs="Arial" w:eastAsia="Arial" w:hAnsi="Arial"/>
                <w:sz w:val="20"/>
                <w:szCs w:val="20"/>
                <w:color w:val="auto"/>
                <w:w w:val="89"/>
              </w:rPr>
              <w:t xml:space="preserve">Fort Bend County, tax exempt bonds, due 2038 </w:t>
            </w:r>
            <w:r>
              <w:rPr>
                <w:rFonts w:ascii="Arial" w:cs="Arial" w:eastAsia="Arial" w:hAnsi="Arial"/>
                <w:sz w:val="20"/>
                <w:szCs w:val="20"/>
                <w:color w:val="B4B4B4"/>
                <w:w w:val="89"/>
              </w:rPr>
              <w:t>. . . . . . . . . . . . . .</w:t>
            </w:r>
          </w:p>
        </w:tc>
        <w:tc>
          <w:tcPr>
            <w:tcW w:w="9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54</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54</w:t>
            </w:r>
          </w:p>
        </w:tc>
        <w:tc>
          <w:tcPr>
            <w:tcW w:w="1820" w:type="dxa"/>
            <w:vAlign w:val="bottom"/>
            <w:gridSpan w:val="2"/>
          </w:tcPr>
          <w:p>
            <w:pPr>
              <w:jc w:val="right"/>
              <w:spacing w:after="0"/>
              <w:rPr>
                <w:sz w:val="20"/>
                <w:szCs w:val="20"/>
                <w:color w:val="auto"/>
              </w:rPr>
            </w:pPr>
            <w:r>
              <w:rPr>
                <w:rFonts w:ascii="Arial" w:cs="Arial" w:eastAsia="Arial" w:hAnsi="Arial"/>
                <w:sz w:val="20"/>
                <w:szCs w:val="20"/>
                <w:color w:val="auto"/>
              </w:rPr>
              <w:t>4.750</w:t>
            </w:r>
          </w:p>
        </w:tc>
      </w:tr>
      <w:tr>
        <w:trPr>
          <w:trHeight w:val="299"/>
        </w:trPr>
        <w:tc>
          <w:tcPr>
            <w:tcW w:w="5280" w:type="dxa"/>
            <w:vAlign w:val="bottom"/>
          </w:tcPr>
          <w:p>
            <w:pPr>
              <w:jc w:val="right"/>
              <w:ind w:right="23"/>
              <w:spacing w:after="0"/>
              <w:rPr>
                <w:sz w:val="20"/>
                <w:szCs w:val="20"/>
                <w:color w:val="auto"/>
              </w:rPr>
            </w:pPr>
            <w:r>
              <w:rPr>
                <w:rFonts w:ascii="Arial" w:cs="Arial" w:eastAsia="Arial" w:hAnsi="Arial"/>
                <w:sz w:val="20"/>
                <w:szCs w:val="20"/>
                <w:color w:val="auto"/>
                <w:w w:val="89"/>
              </w:rPr>
              <w:t xml:space="preserve">Fort Bend County, tax exempt bonds, due 2042 </w:t>
            </w:r>
            <w:r>
              <w:rPr>
                <w:rFonts w:ascii="Arial" w:cs="Arial" w:eastAsia="Arial" w:hAnsi="Arial"/>
                <w:sz w:val="20"/>
                <w:szCs w:val="20"/>
                <w:color w:val="B4B4B4"/>
                <w:w w:val="89"/>
              </w:rPr>
              <w:t>. . . . . . . . . . . . . .</w:t>
            </w: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w:t>
            </w:r>
          </w:p>
        </w:tc>
        <w:tc>
          <w:tcPr>
            <w:tcW w:w="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w:t>
            </w:r>
          </w:p>
        </w:tc>
        <w:tc>
          <w:tcPr>
            <w:tcW w:w="1820" w:type="dxa"/>
            <w:vAlign w:val="bottom"/>
            <w:gridSpan w:val="2"/>
          </w:tcPr>
          <w:p>
            <w:pPr>
              <w:jc w:val="right"/>
              <w:spacing w:after="0"/>
              <w:rPr>
                <w:sz w:val="20"/>
                <w:szCs w:val="20"/>
                <w:color w:val="auto"/>
              </w:rPr>
            </w:pPr>
            <w:r>
              <w:rPr>
                <w:rFonts w:ascii="Arial" w:cs="Arial" w:eastAsia="Arial" w:hAnsi="Arial"/>
                <w:sz w:val="20"/>
                <w:szCs w:val="20"/>
                <w:color w:val="auto"/>
              </w:rPr>
              <w:t>4.750</w:t>
            </w:r>
          </w:p>
        </w:tc>
      </w:tr>
      <w:tr>
        <w:trPr>
          <w:trHeight w:val="257"/>
        </w:trPr>
        <w:tc>
          <w:tcPr>
            <w:tcW w:w="5280" w:type="dxa"/>
            <w:vAlign w:val="bottom"/>
          </w:tcPr>
          <w:p>
            <w:pPr>
              <w:jc w:val="right"/>
              <w:ind w:right="23"/>
              <w:spacing w:after="0"/>
              <w:rPr>
                <w:sz w:val="20"/>
                <w:szCs w:val="20"/>
                <w:color w:val="auto"/>
              </w:rPr>
            </w:pPr>
            <w:r>
              <w:rPr>
                <w:rFonts w:ascii="Arial" w:cs="Arial" w:eastAsia="Arial" w:hAnsi="Arial"/>
                <w:sz w:val="20"/>
                <w:szCs w:val="20"/>
                <w:color w:val="auto"/>
                <w:w w:val="94"/>
              </w:rPr>
              <w:t xml:space="preserve">Total </w:t>
            </w:r>
            <w:r>
              <w:rPr>
                <w:rFonts w:ascii="Arial" w:cs="Arial" w:eastAsia="Arial" w:hAnsi="Arial"/>
                <w:sz w:val="20"/>
                <w:szCs w:val="20"/>
                <w:color w:val="B4B4B4"/>
                <w:w w:val="94"/>
              </w:rPr>
              <w:t>. . . . . . . . . . . . . . . . . . . . . . . . . . . . . . . . . . . . . . . . . . . . .</w:t>
            </w:r>
          </w:p>
        </w:tc>
        <w:tc>
          <w:tcPr>
            <w:tcW w:w="980" w:type="dxa"/>
            <w:vAlign w:val="bottom"/>
          </w:tcPr>
          <w:p>
            <w:pPr>
              <w:jc w:val="right"/>
              <w:ind w:right="726"/>
              <w:spacing w:after="0"/>
              <w:rPr>
                <w:sz w:val="20"/>
                <w:szCs w:val="20"/>
                <w:color w:val="auto"/>
              </w:rPr>
            </w:pPr>
            <w:r>
              <w:rPr>
                <w:rFonts w:ascii="Arial" w:cs="Arial" w:eastAsia="Arial" w:hAnsi="Arial"/>
                <w:sz w:val="20"/>
                <w:szCs w:val="20"/>
                <w:color w:val="auto"/>
              </w:rPr>
              <w:t>$</w:t>
            </w:r>
          </w:p>
        </w:tc>
        <w:tc>
          <w:tcPr>
            <w:tcW w:w="460" w:type="dxa"/>
            <w:vAlign w:val="bottom"/>
          </w:tcPr>
          <w:p>
            <w:pPr>
              <w:jc w:val="right"/>
              <w:spacing w:after="0"/>
              <w:rPr>
                <w:sz w:val="20"/>
                <w:szCs w:val="20"/>
                <w:color w:val="auto"/>
              </w:rPr>
            </w:pPr>
            <w:r>
              <w:rPr>
                <w:rFonts w:ascii="Arial" w:cs="Arial" w:eastAsia="Arial" w:hAnsi="Arial"/>
                <w:sz w:val="20"/>
                <w:szCs w:val="20"/>
                <w:color w:val="auto"/>
              </w:rPr>
              <w:t>466</w:t>
            </w:r>
          </w:p>
        </w:tc>
        <w:tc>
          <w:tcPr>
            <w:tcW w:w="1060" w:type="dxa"/>
            <w:vAlign w:val="bottom"/>
            <w:gridSpan w:val="2"/>
          </w:tcPr>
          <w:p>
            <w:pPr>
              <w:jc w:val="right"/>
              <w:ind w:right="731"/>
              <w:spacing w:after="0"/>
              <w:rPr>
                <w:sz w:val="20"/>
                <w:szCs w:val="20"/>
                <w:color w:val="auto"/>
              </w:rPr>
            </w:pPr>
            <w:r>
              <w:rPr>
                <w:rFonts w:ascii="Arial" w:cs="Arial" w:eastAsia="Arial" w:hAnsi="Arial"/>
                <w:sz w:val="20"/>
                <w:szCs w:val="20"/>
                <w:color w:val="auto"/>
              </w:rPr>
              <w:t>$</w:t>
            </w:r>
          </w:p>
        </w:tc>
        <w:tc>
          <w:tcPr>
            <w:tcW w:w="460" w:type="dxa"/>
            <w:vAlign w:val="bottom"/>
          </w:tcPr>
          <w:p>
            <w:pPr>
              <w:jc w:val="right"/>
              <w:spacing w:after="0"/>
              <w:rPr>
                <w:sz w:val="20"/>
                <w:szCs w:val="20"/>
                <w:color w:val="auto"/>
              </w:rPr>
            </w:pPr>
            <w:r>
              <w:rPr>
                <w:rFonts w:ascii="Arial" w:cs="Arial" w:eastAsia="Arial" w:hAnsi="Arial"/>
                <w:sz w:val="20"/>
                <w:szCs w:val="20"/>
                <w:color w:val="auto"/>
              </w:rPr>
              <w:t>466</w:t>
            </w: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0"/>
        </w:trPr>
        <w:tc>
          <w:tcPr>
            <w:tcW w:w="5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-1351280</wp:posOffset>
            </wp:positionV>
            <wp:extent cx="6447155" cy="13582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33">
                      <a:extLst>
                        <a:ext uri="{28A0092B-C50C-407E-A947-70E740481C1C}"/>
                      </a:extLst>
                    </a:blip>
                    <a:srcRect/>
                    <a:stretch>
                      <a:fillRect/>
                    </a:stretch>
                  </pic:blipFill>
                  <pic:spPr bwMode="auto">
                    <a:xfrm>
                      <a:off x="0" y="0"/>
                      <a:ext cx="6447155" cy="1358265"/>
                    </a:xfrm>
                    <a:prstGeom prst="rect">
                      <a:avLst/>
                    </a:prstGeom>
                    <a:noFill/>
                  </pic:spPr>
                </pic:pic>
              </a:graphicData>
            </a:graphic>
          </wp:anchor>
        </w:drawing>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Bilateral Letter of Credit Facilities</w:t>
      </w:r>
    </w:p>
    <w:p>
      <w:pPr>
        <w:spacing w:after="0" w:line="134" w:lineRule="exact"/>
        <w:rPr>
          <w:sz w:val="20"/>
          <w:szCs w:val="20"/>
          <w:color w:val="auto"/>
        </w:rPr>
      </w:pPr>
    </w:p>
    <w:p>
      <w:pPr>
        <w:ind w:firstLine="445"/>
        <w:spacing w:after="0" w:line="277" w:lineRule="auto"/>
        <w:rPr>
          <w:sz w:val="20"/>
          <w:szCs w:val="20"/>
          <w:color w:val="auto"/>
        </w:rPr>
      </w:pPr>
      <w:r>
        <w:rPr>
          <w:rFonts w:ascii="Arial" w:cs="Arial" w:eastAsia="Arial" w:hAnsi="Arial"/>
          <w:sz w:val="20"/>
          <w:szCs w:val="20"/>
          <w:color w:val="auto"/>
        </w:rPr>
        <w:t>The bilateral letter of credit facilities allows for the issuance of up to $850 million of letters of credit. These facilities are uncommitted. As of December 31, 2024, $526 million was issued under these facilities.</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ectPr>
          <w:pgSz w:w="11880" w:h="15480" w:orient="portrait"/>
          <w:cols w:equalWidth="0" w:num="1">
            <w:col w:w="10160"/>
          </w:cols>
          <w:pgMar w:left="860" w:top="505" w:right="860" w:bottom="0" w:gutter="0" w:footer="0" w:header="0"/>
          <w:type w:val="continuous"/>
        </w:sectPr>
      </w:pPr>
    </w:p>
    <w:bookmarkStart w:id="138" w:name="page139"/>
    <w:bookmarkEnd w:id="138"/>
    <w:p>
      <w:pPr>
        <w:ind w:left="440"/>
        <w:spacing w:after="0"/>
        <w:rPr>
          <w:sz w:val="20"/>
          <w:szCs w:val="20"/>
          <w:color w:val="auto"/>
        </w:rPr>
      </w:pPr>
      <w:r>
        <w:rPr>
          <w:rFonts w:ascii="Arial" w:cs="Arial" w:eastAsia="Arial" w:hAnsi="Arial"/>
          <w:sz w:val="20"/>
          <w:szCs w:val="20"/>
          <w:b w:val="1"/>
          <w:bCs w:val="1"/>
          <w:color w:val="auto"/>
        </w:rPr>
        <w:t>Pre-Capitalized Trust Securities Facility</w:t>
      </w:r>
    </w:p>
    <w:p>
      <w:pPr>
        <w:spacing w:after="0" w:line="13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On August 29, 2023, the Company entered into a facility agreement with Alexander Funding Trust II, a newly-formed Delaware statutory trust (the “Trust”), in connection with the sale by the Trust of $500 million pre-capitalized trust securities redeemable July 31, 2028 (the “P-Caps”).</w:t>
      </w:r>
    </w:p>
    <w:p>
      <w:pPr>
        <w:spacing w:after="0" w:line="78"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8"/>
          <w:szCs w:val="18"/>
          <w:color w:val="auto"/>
        </w:rPr>
        <w:t>The P-Caps are to be redeemed by the Trust on July 31, 2028 or earlier upon an early redemption of the P-Caps Secured Notes. Following any distribution of P-Caps Secured Notes to the holders of the P-Caps, the Company may similarly redeem such P-Caps Secured Notes, in whole or in part, at the redemption price described in the P-Caps Indenture, plus accrued but unpaid interest to, but excluding, the date of redemption. Any P-Caps Secured Notes outstanding and held by the Trust as a result of the exercise of the Issuance Right that remain outstanding will also mature on July 31, 2028.</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 connection with the issuance of the P-Caps, on August 29, 2023, the Company entered into a letter of credit facility agreement with Deutsche Bank Trust Company Americas, as collateral agent and administrative agent, and certain financial institutions for the issuance of letters of credit in an aggregate amount not to exceed $485 million. The facility is committed. As of December 31, 2024, $480 million was issued under this facility.</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Non-recourse Debt</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The following are descriptions of certain indebtedness of NRG’s subsidiaries. As of December 31, 2024, such non-recourse debt is no longer outstanding.</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Vivint Secured Notes Tender Offer</w:t>
      </w:r>
    </w:p>
    <w:p>
      <w:pPr>
        <w:spacing w:after="0" w:line="134"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8"/>
          <w:szCs w:val="18"/>
          <w:color w:val="auto"/>
        </w:rPr>
        <w:t>On October 30, 2024, in connection with APX Group, Inc.’s previously announced offer to purchase for cash (the “Tender Offer”) any and all of APX Group, Inc.’s outstanding 6.750% senior secured notes due 2027 (the “Vivint 6.750% Senior Secured Notes due 2027”), APX Group, Inc. purchased $589 million in aggregate principal amount of the Vivint 6.750% Senior Secured Notes due 2027 that had been validly tendered for $600 million, which included the payment of $8 million of accrued interest. On November 8, 2024, APX Group, Inc. redeemed the remaining $11 million in aggregate principal amount of the Vivint 6.750% Senior Secured Notes due 2027 that remained outstanding following the Tender Offer. The price for the Vivint 6.750% Senior Secured Notes due 2027 was 100.411%. In connection with the redemptions, a $13 million loss on debt extinguishment was recorded, which included the write-off of previously deferred financing costs and other fees of $1 million.</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Vivint Unsecured Notes Exchange Offer</w:t>
      </w:r>
    </w:p>
    <w:p>
      <w:pPr>
        <w:spacing w:after="0" w:line="13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In connection with the Company’s offer to exchange (the “Exchange Offer”) for any and all outstanding 5.750% Senior Notes due 2029 (the “Vivint 5.750% Senior Notes due 2029”) issued by APX Group, Inc. for the New NRG 5.750% Senior Notes due 2029 and cash, NRG accepted tenders with respect to $798 million aggregate principal amount of the Vivint 5.750% Senior Notes due 2029, that were tendered on or prior to the early tender date. In connection with the redemptions, a $90 million loss on debt extinguishment was recorded.</w:t>
      </w:r>
    </w:p>
    <w:p>
      <w:pPr>
        <w:spacing w:after="0" w:line="8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On October 30, 2024, the Company issued the New NRG 5.750% Senior Notes due 2029 in an aggregate principal amount of $798 million in connection with the Exchange Offer. On November 14, 2024, APX Group, Inc. redeemed the $2 million of the Vivint 5.750% Senior Notes due 2029 that remained outstanding following the Exchange Offer. The redemption price was equal to 102.875% of the aggregate principal amount.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Vivint Term Loan</w:t>
      </w:r>
    </w:p>
    <w:p>
      <w:pPr>
        <w:spacing w:after="0" w:line="134"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9"/>
          <w:szCs w:val="19"/>
          <w:color w:val="auto"/>
        </w:rPr>
        <w:t>On April 10, 2024, the Company’s wholly-owned indirect subsidiary, Vivint, entered into the Second Amendment to the Vivint Credit Agreement with, among others, the Vivint Agent, and certain financial institutions, as lenders, which amended the Vivint Credit Agreement in order to (i) reprice its term loan B facility (the term loans thereunder, the “Vivint Term Loans”) and (ii) make certain other modifications to the Vivint Credit Agreement as set forth therein.</w:t>
      </w:r>
    </w:p>
    <w:p>
      <w:pPr>
        <w:spacing w:after="0" w:line="68"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8"/>
          <w:szCs w:val="18"/>
          <w:color w:val="auto"/>
        </w:rPr>
        <w:t>At Vivint’s election, the Vivint Term Loans bear interest at a rate per annum equal to either (1) a fluctuating rate equal to the highest of (A) the rate published by the Federal Reserve Bank of New York in effect on such day, plus 0.50%, (B) the rate of interest per annum publicly announced from time to time by The Wall Street Journal as the “Prime Rate” in the United States, and (C) a rate of one-month Term SOFR (as defined in the Vivint Credit Agreement), (after giving effect to any floor applicable to Term SOFR) plus 1.00%, in each case, plus a margin of 1.75%, or (2) Term SOFR (as defined in the Vivint Credit Agreement) (which Term SOFR shall not be less than 0.50%) for a one-, three- or six-month interest period (or such other period as agreed to by the Vivint Agent and the lenders, as selected by Vivint), plus a margin of 2.75%.</w:t>
      </w:r>
    </w:p>
    <w:p>
      <w:pPr>
        <w:spacing w:after="0" w:line="6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On October 30, 2024, the Company repaid in full the outstanding Vivint Term Loans of approximately $1.3 billion and terminated the revolving credit facility under the Vivint Credit Agreement. In connection with the repayment, an $18 million loss on debt extinguishment was recorded, which included the write-off of previously deferred financing costs and other fees of $2 million.</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ectPr>
          <w:pgSz w:w="11880" w:h="15480" w:orient="portrait"/>
          <w:cols w:equalWidth="0" w:num="1">
            <w:col w:w="10160"/>
          </w:cols>
          <w:pgMar w:left="860" w:top="505" w:right="860" w:bottom="0" w:gutter="0" w:footer="0" w:header="0"/>
          <w:type w:val="continuous"/>
        </w:sectPr>
      </w:pPr>
    </w:p>
    <w:bookmarkStart w:id="139" w:name="page140"/>
    <w:bookmarkEnd w:id="139"/>
    <w:p>
      <w:pPr>
        <w:spacing w:after="0"/>
        <w:rPr>
          <w:sz w:val="20"/>
          <w:szCs w:val="20"/>
          <w:color w:val="auto"/>
        </w:rPr>
      </w:pPr>
      <w:r>
        <w:rPr>
          <w:rFonts w:ascii="Arial" w:cs="Arial" w:eastAsia="Arial" w:hAnsi="Arial"/>
          <w:sz w:val="20"/>
          <w:szCs w:val="20"/>
          <w:b w:val="1"/>
          <w:bCs w:val="1"/>
          <w:color w:val="auto"/>
        </w:rPr>
        <w:t xml:space="preserve">Note 13 — </w:t>
      </w:r>
      <w:r>
        <w:rPr>
          <w:rFonts w:ascii="Arial" w:cs="Arial" w:eastAsia="Arial" w:hAnsi="Arial"/>
          <w:sz w:val="20"/>
          <w:szCs w:val="20"/>
          <w:b w:val="1"/>
          <w:bCs w:val="1"/>
          <w:i w:val="1"/>
          <w:iCs w:val="1"/>
          <w:color w:val="auto"/>
        </w:rPr>
        <w:t>Asset Retirement Obligations</w:t>
      </w:r>
    </w:p>
    <w:p>
      <w:pPr>
        <w:spacing w:after="0" w:line="134" w:lineRule="exact"/>
        <w:rPr>
          <w:sz w:val="20"/>
          <w:szCs w:val="20"/>
          <w:color w:val="auto"/>
        </w:rPr>
      </w:pPr>
    </w:p>
    <w:p>
      <w:pPr>
        <w:jc w:val="both"/>
        <w:ind w:firstLine="445"/>
        <w:spacing w:after="0" w:line="305" w:lineRule="auto"/>
        <w:rPr>
          <w:sz w:val="20"/>
          <w:szCs w:val="20"/>
          <w:color w:val="auto"/>
        </w:rPr>
      </w:pPr>
      <w:r>
        <w:rPr>
          <w:rFonts w:ascii="Arial" w:cs="Arial" w:eastAsia="Arial" w:hAnsi="Arial"/>
          <w:sz w:val="18"/>
          <w:szCs w:val="18"/>
          <w:color w:val="auto"/>
        </w:rPr>
        <w:t>The Company's AROs are primarily related to the environmental obligations for mine reclamation, ash disposal, site closures, fuel storage facilities and future dismantlement of equipment on leased property. In addition, the Company has also identified conditional AROs for asbestos removal and disposal, which are specific to certain power generation operations.</w:t>
      </w:r>
    </w:p>
    <w:p>
      <w:pPr>
        <w:spacing w:after="0" w:line="4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The following table presents the balance of ARO obligations as of December 31, 2024 and 2023, along with the activity related to the Company's ARO obligations for the year ended December 31, 2024:</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620" w:type="dxa"/>
            <w:vAlign w:val="bottom"/>
          </w:tcPr>
          <w:p>
            <w:pPr>
              <w:jc w:val="right"/>
              <w:ind w:right="7704"/>
              <w:spacing w:after="0"/>
              <w:rPr>
                <w:sz w:val="20"/>
                <w:szCs w:val="20"/>
                <w:color w:val="auto"/>
              </w:rPr>
            </w:pPr>
            <w:r>
              <w:rPr>
                <w:rFonts w:ascii="Arial" w:cs="Arial" w:eastAsia="Arial" w:hAnsi="Arial"/>
                <w:sz w:val="16"/>
                <w:szCs w:val="16"/>
                <w:b w:val="1"/>
                <w:bCs w:val="1"/>
                <w:color w:val="auto"/>
                <w:w w:val="89"/>
              </w:rPr>
              <w:t>(In millions)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04"/>
              <w:spacing w:after="0"/>
              <w:rPr>
                <w:sz w:val="20"/>
                <w:szCs w:val="20"/>
                <w:color w:val="auto"/>
              </w:rPr>
            </w:pPr>
            <w:r>
              <w:rPr>
                <w:rFonts w:ascii="Arial" w:cs="Arial" w:eastAsia="Arial" w:hAnsi="Arial"/>
                <w:sz w:val="16"/>
                <w:szCs w:val="16"/>
                <w:b w:val="1"/>
                <w:bCs w:val="1"/>
                <w:color w:val="auto"/>
              </w:rPr>
              <w:t>Total</w:t>
            </w:r>
            <w:r>
              <w:rPr>
                <w:rFonts w:ascii="Arial" w:cs="Arial" w:eastAsia="Arial" w:hAnsi="Arial"/>
                <w:sz w:val="20"/>
                <w:szCs w:val="20"/>
                <w:b w:val="1"/>
                <w:bCs w:val="1"/>
                <w:color w:val="auto"/>
                <w:vertAlign w:val="superscript"/>
              </w:rPr>
              <w:t>(a)</w:t>
            </w:r>
          </w:p>
        </w:tc>
      </w:tr>
      <w:tr>
        <w:trPr>
          <w:trHeight w:val="275"/>
        </w:trPr>
        <w:tc>
          <w:tcPr>
            <w:tcW w:w="8620" w:type="dxa"/>
            <w:vAlign w:val="bottom"/>
          </w:tcPr>
          <w:p>
            <w:pPr>
              <w:jc w:val="right"/>
              <w:ind w:right="84"/>
              <w:spacing w:after="0"/>
              <w:rPr>
                <w:sz w:val="20"/>
                <w:szCs w:val="20"/>
                <w:color w:val="auto"/>
              </w:rPr>
            </w:pPr>
            <w:r>
              <w:rPr>
                <w:rFonts w:ascii="Arial" w:cs="Arial" w:eastAsia="Arial" w:hAnsi="Arial"/>
                <w:sz w:val="20"/>
                <w:szCs w:val="20"/>
                <w:b w:val="1"/>
                <w:bCs w:val="1"/>
                <w:color w:val="auto"/>
                <w:w w:val="88"/>
              </w:rPr>
              <w:t xml:space="preserve">Balance as of December 31, 2023 </w:t>
            </w:r>
            <w:r>
              <w:rPr>
                <w:rFonts w:ascii="Arial" w:cs="Arial" w:eastAsia="Arial" w:hAnsi="Arial"/>
                <w:sz w:val="20"/>
                <w:szCs w:val="20"/>
                <w:b w:val="1"/>
                <w:bCs w:val="1"/>
                <w:color w:val="B4B4B4"/>
                <w:w w:val="88"/>
              </w:rPr>
              <w:t>. . . . . . . . . . . . . . . . . . . . . . . . . . . . . . . . . . . . . . . . . . . . . . . . . . . . . . . . .</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407</w:t>
            </w:r>
          </w:p>
        </w:tc>
      </w:tr>
      <w:tr>
        <w:trPr>
          <w:trHeight w:val="297"/>
        </w:trPr>
        <w:tc>
          <w:tcPr>
            <w:tcW w:w="8620" w:type="dxa"/>
            <w:vAlign w:val="bottom"/>
          </w:tcPr>
          <w:p>
            <w:pPr>
              <w:jc w:val="right"/>
              <w:ind w:right="84"/>
              <w:spacing w:after="0"/>
              <w:rPr>
                <w:sz w:val="20"/>
                <w:szCs w:val="20"/>
                <w:color w:val="auto"/>
              </w:rPr>
            </w:pPr>
            <w:r>
              <w:rPr>
                <w:rFonts w:ascii="Arial" w:cs="Arial" w:eastAsia="Arial" w:hAnsi="Arial"/>
                <w:sz w:val="20"/>
                <w:szCs w:val="20"/>
                <w:color w:val="auto"/>
                <w:w w:val="91"/>
              </w:rPr>
              <w:t xml:space="preserve">Revisions in estimates for current obligations </w:t>
            </w:r>
            <w:r>
              <w:rPr>
                <w:rFonts w:ascii="Arial" w:cs="Arial" w:eastAsia="Arial" w:hAnsi="Arial"/>
                <w:sz w:val="20"/>
                <w:szCs w:val="20"/>
                <w:color w:val="B4B4B4"/>
                <w:w w:val="91"/>
              </w:rPr>
              <w:t>. . . . . . . . . . . . . . . . . . . . . . . . . . . . . . . . . . . . . . . . . . . . . . .</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97"/>
        </w:trPr>
        <w:tc>
          <w:tcPr>
            <w:tcW w:w="8620" w:type="dxa"/>
            <w:vAlign w:val="bottom"/>
          </w:tcPr>
          <w:p>
            <w:pPr>
              <w:jc w:val="right"/>
              <w:ind w:right="84"/>
              <w:spacing w:after="0"/>
              <w:rPr>
                <w:sz w:val="20"/>
                <w:szCs w:val="20"/>
                <w:color w:val="auto"/>
              </w:rPr>
            </w:pPr>
            <w:r>
              <w:rPr>
                <w:rFonts w:ascii="Arial" w:cs="Arial" w:eastAsia="Arial" w:hAnsi="Arial"/>
                <w:sz w:val="20"/>
                <w:szCs w:val="20"/>
                <w:color w:val="auto"/>
                <w:w w:val="90"/>
              </w:rPr>
              <w:t xml:space="preserve">Additions </w:t>
            </w:r>
            <w:r>
              <w:rPr>
                <w:rFonts w:ascii="Arial" w:cs="Arial" w:eastAsia="Arial" w:hAnsi="Arial"/>
                <w:sz w:val="20"/>
                <w:szCs w:val="20"/>
                <w:color w:val="B4B4B4"/>
                <w:w w:val="90"/>
              </w:rPr>
              <w:t>. . . . . . . . . . . . . . . . . . . . . . . . . . . . . . . . . . . . . . . . . . . . . . . . . . . . . . . . . . . . . . . . . . . . . . . . . . . .</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97"/>
        </w:trPr>
        <w:tc>
          <w:tcPr>
            <w:tcW w:w="8620" w:type="dxa"/>
            <w:vAlign w:val="bottom"/>
          </w:tcPr>
          <w:p>
            <w:pPr>
              <w:jc w:val="right"/>
              <w:ind w:right="84"/>
              <w:spacing w:after="0"/>
              <w:rPr>
                <w:sz w:val="20"/>
                <w:szCs w:val="20"/>
                <w:color w:val="auto"/>
              </w:rPr>
            </w:pPr>
            <w:r>
              <w:rPr>
                <w:rFonts w:ascii="Arial" w:cs="Arial" w:eastAsia="Arial" w:hAnsi="Arial"/>
                <w:sz w:val="20"/>
                <w:szCs w:val="20"/>
                <w:color w:val="auto"/>
                <w:w w:val="90"/>
              </w:rPr>
              <w:t xml:space="preserve">Spending for current obligations </w:t>
            </w:r>
            <w:r>
              <w:rPr>
                <w:rFonts w:ascii="Arial" w:cs="Arial" w:eastAsia="Arial" w:hAnsi="Arial"/>
                <w:sz w:val="20"/>
                <w:szCs w:val="20"/>
                <w:color w:val="B4B4B4"/>
                <w:w w:val="90"/>
              </w:rPr>
              <w:t>. . . . . . . . . . . . . . . . . . . . . . . . . . . . . . . . . . . . . . . . . . . . . . . . . . . . . . . . . .</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314"/>
        </w:trPr>
        <w:tc>
          <w:tcPr>
            <w:tcW w:w="8620" w:type="dxa"/>
            <w:vAlign w:val="bottom"/>
          </w:tcPr>
          <w:p>
            <w:pPr>
              <w:jc w:val="right"/>
              <w:ind w:right="84"/>
              <w:spacing w:after="0"/>
              <w:rPr>
                <w:sz w:val="20"/>
                <w:szCs w:val="20"/>
                <w:color w:val="auto"/>
              </w:rPr>
            </w:pPr>
            <w:r>
              <w:rPr>
                <w:rFonts w:ascii="Arial" w:cs="Arial" w:eastAsia="Arial" w:hAnsi="Arial"/>
                <w:sz w:val="20"/>
                <w:szCs w:val="20"/>
                <w:color w:val="auto"/>
                <w:w w:val="90"/>
              </w:rPr>
              <w:t xml:space="preserve">Accretion </w:t>
            </w:r>
            <w:r>
              <w:rPr>
                <w:rFonts w:ascii="Arial" w:cs="Arial" w:eastAsia="Arial" w:hAnsi="Arial"/>
                <w:sz w:val="20"/>
                <w:szCs w:val="20"/>
                <w:color w:val="B4B4B4"/>
                <w:w w:val="90"/>
              </w:rPr>
              <w:t>. . . . . . . . . . . . . . . . . . . . . . . . . . . . . . . . . . . . . . . . . . . . . . . . . . . . . . . . . . . . . . . . . . . . . . . . . . . .</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w:t>
            </w:r>
          </w:p>
        </w:tc>
      </w:tr>
      <w:tr>
        <w:trPr>
          <w:trHeight w:val="257"/>
        </w:trPr>
        <w:tc>
          <w:tcPr>
            <w:tcW w:w="8620" w:type="dxa"/>
            <w:vAlign w:val="bottom"/>
          </w:tcPr>
          <w:p>
            <w:pPr>
              <w:jc w:val="right"/>
              <w:ind w:right="84"/>
              <w:spacing w:after="0"/>
              <w:rPr>
                <w:sz w:val="20"/>
                <w:szCs w:val="20"/>
                <w:color w:val="auto"/>
              </w:rPr>
            </w:pPr>
            <w:r>
              <w:rPr>
                <w:rFonts w:ascii="Arial" w:cs="Arial" w:eastAsia="Arial" w:hAnsi="Arial"/>
                <w:sz w:val="20"/>
                <w:szCs w:val="20"/>
                <w:b w:val="1"/>
                <w:bCs w:val="1"/>
                <w:color w:val="auto"/>
                <w:w w:val="88"/>
              </w:rPr>
              <w:t xml:space="preserve">Balance as of December 31, 2024 </w:t>
            </w:r>
            <w:r>
              <w:rPr>
                <w:rFonts w:ascii="Arial" w:cs="Arial" w:eastAsia="Arial" w:hAnsi="Arial"/>
                <w:sz w:val="20"/>
                <w:szCs w:val="20"/>
                <w:b w:val="1"/>
                <w:bCs w:val="1"/>
                <w:color w:val="B4B4B4"/>
                <w:w w:val="88"/>
              </w:rPr>
              <w:t>. . . . . . . . . . . . . . . . . . . . . . . . . . . . . . . . . . . . . . . . . . . . . . . . . . . . . . . . .</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409</w:t>
            </w:r>
          </w:p>
        </w:tc>
      </w:tr>
      <w:tr>
        <w:trPr>
          <w:trHeight w:val="20"/>
        </w:trPr>
        <w:tc>
          <w:tcPr>
            <w:tcW w:w="8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-1172210</wp:posOffset>
            </wp:positionV>
            <wp:extent cx="6475095" cy="1179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34">
                      <a:extLst>
                        <a:ext uri="{28A0092B-C50C-407E-A947-70E740481C1C}"/>
                      </a:extLst>
                    </a:blip>
                    <a:srcRect/>
                    <a:stretch>
                      <a:fillRect/>
                    </a:stretch>
                  </pic:blipFill>
                  <pic:spPr bwMode="auto">
                    <a:xfrm>
                      <a:off x="0" y="0"/>
                      <a:ext cx="6475095" cy="1179195"/>
                    </a:xfrm>
                    <a:prstGeom prst="rect">
                      <a:avLst/>
                    </a:prstGeom>
                    <a:noFill/>
                  </pic:spPr>
                </pic:pic>
              </a:graphicData>
            </a:graphic>
          </wp:anchor>
        </w:drawing>
      </w:r>
    </w:p>
    <w:p>
      <w:pPr>
        <w:ind w:left="440" w:right="220" w:hanging="439"/>
        <w:spacing w:after="0" w:line="278" w:lineRule="auto"/>
        <w:tabs>
          <w:tab w:leader="none" w:pos="4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Total accretion expense related to asset retirement obligations included in the consolidated statement of cash flows includes accretion and revisions in estimates for asset retirement liabilities on non-operating plants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14 — </w:t>
      </w:r>
      <w:r>
        <w:rPr>
          <w:rFonts w:ascii="Arial" w:cs="Arial" w:eastAsia="Arial" w:hAnsi="Arial"/>
          <w:sz w:val="20"/>
          <w:szCs w:val="20"/>
          <w:b w:val="1"/>
          <w:bCs w:val="1"/>
          <w:i w:val="1"/>
          <w:iCs w:val="1"/>
          <w:color w:val="auto"/>
        </w:rPr>
        <w:t>Benefit Plans and Other Postretirement Benefits</w:t>
      </w:r>
    </w:p>
    <w:p>
      <w:pPr>
        <w:spacing w:after="0" w:line="13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NRG sponsors and operates defined benefit pension and other postretirement plans. NRG pension benefits are available to eligible non-union and union employees through various defined benefit pension plans. These benefits are based on pay, service history and age at retirement. Most pension benefits are provided through tax-qualified plans. NRG also provides postretirement health and welfare benefits for certain groups of employees. Cost sharing provisions vary by the terms of any applicable collective bargaining agreements.</w:t>
      </w:r>
    </w:p>
    <w:p>
      <w:pPr>
        <w:spacing w:after="0" w:line="85"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NRG maintains three separate qualified pension plans, the NRG Pension Plan for Bargained Employees, the NRG Pension Plan and the Pension Plan for Employees of Direct Energy Marketing Limited (“DEML”). Participation in the NRG Pension Plan for Bargained Employees depends upon whether an employee is covered by a bargaining agreement. The NRG Pension Plan was frozen for non-union employees on December 31, 2018. In 2024, the Company commenced the termination process for the defined benefit component of the Pension Plan for Employees of DEML and expects to complete the transaction in 2025.</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NRG expects to contribute $16 million to the Company's pension plans in 2025.</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NRG Defined Benefit Plans</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The annual net periodic benefit cost/(credit) related to NRG's pension and other postretirement benefit plans include the following components:</w:t>
      </w:r>
    </w:p>
    <w:p>
      <w:pPr>
        <w:spacing w:after="0" w:line="7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568"/>
              <w:spacing w:after="0"/>
              <w:rPr>
                <w:sz w:val="20"/>
                <w:szCs w:val="20"/>
                <w:color w:val="auto"/>
              </w:rPr>
            </w:pPr>
            <w:r>
              <w:rPr>
                <w:rFonts w:ascii="Arial" w:cs="Arial" w:eastAsia="Arial" w:hAnsi="Arial"/>
                <w:sz w:val="16"/>
                <w:szCs w:val="16"/>
                <w:b w:val="1"/>
                <w:bCs w:val="1"/>
                <w:color w:val="auto"/>
                <w:w w:val="90"/>
              </w:rPr>
              <w:t>Year Ended December 31,</w:t>
            </w:r>
          </w:p>
        </w:tc>
        <w:tc>
          <w:tcPr>
            <w:tcW w:w="1000" w:type="dxa"/>
            <w:vAlign w:val="bottom"/>
            <w:tcBorders>
              <w:bottom w:val="single" w:sz="8" w:color="auto"/>
            </w:tcBorders>
          </w:tcPr>
          <w:p>
            <w:pPr>
              <w:spacing w:after="0"/>
              <w:rPr>
                <w:sz w:val="18"/>
                <w:szCs w:val="18"/>
                <w:color w:val="auto"/>
              </w:rPr>
            </w:pPr>
          </w:p>
        </w:tc>
      </w:tr>
      <w:tr>
        <w:trPr>
          <w:trHeight w:val="218"/>
        </w:trPr>
        <w:tc>
          <w:tcPr>
            <w:tcW w:w="5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4"/>
              </w:rPr>
              <w:t>Pension Benefits</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8"/>
        </w:trPr>
        <w:tc>
          <w:tcPr>
            <w:tcW w:w="5760" w:type="dxa"/>
            <w:vAlign w:val="bottom"/>
          </w:tcPr>
          <w:p>
            <w:pPr>
              <w:ind w:left="4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64"/>
              <w:spacing w:after="0"/>
              <w:rPr>
                <w:sz w:val="20"/>
                <w:szCs w:val="20"/>
                <w:color w:val="auto"/>
              </w:rPr>
            </w:pPr>
            <w:r>
              <w:rPr>
                <w:rFonts w:ascii="Arial" w:cs="Arial" w:eastAsia="Arial" w:hAnsi="Arial"/>
                <w:sz w:val="16"/>
                <w:szCs w:val="16"/>
                <w:b w:val="1"/>
                <w:bCs w:val="1"/>
                <w:color w:val="auto"/>
                <w:w w:val="89"/>
              </w:rPr>
              <w:t>2023</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6"/>
                <w:szCs w:val="16"/>
                <w:b w:val="1"/>
                <w:bCs w:val="1"/>
                <w:color w:val="auto"/>
              </w:rPr>
              <w:t>2022</w:t>
            </w:r>
          </w:p>
        </w:tc>
      </w:tr>
      <w:tr>
        <w:trPr>
          <w:trHeight w:val="275"/>
        </w:trPr>
        <w:tc>
          <w:tcPr>
            <w:tcW w:w="5760" w:type="dxa"/>
            <w:vAlign w:val="bottom"/>
          </w:tcPr>
          <w:p>
            <w:pPr>
              <w:spacing w:after="0"/>
              <w:rPr>
                <w:sz w:val="20"/>
                <w:szCs w:val="20"/>
                <w:color w:val="auto"/>
              </w:rPr>
            </w:pPr>
            <w:r>
              <w:rPr>
                <w:rFonts w:ascii="Arial" w:cs="Arial" w:eastAsia="Arial" w:hAnsi="Arial"/>
                <w:sz w:val="20"/>
                <w:szCs w:val="20"/>
                <w:color w:val="auto"/>
                <w:w w:val="89"/>
              </w:rPr>
              <w:t xml:space="preserve">Service cost benefits earned </w:t>
            </w:r>
            <w:r>
              <w:rPr>
                <w:rFonts w:ascii="Arial" w:cs="Arial" w:eastAsia="Arial" w:hAnsi="Arial"/>
                <w:sz w:val="20"/>
                <w:szCs w:val="20"/>
                <w:color w:val="B4B4B4"/>
                <w:w w:val="89"/>
              </w:rPr>
              <w:t>. . . . . . . . . . . . . . . . . . . . . . . . . . . . . . . . . . .</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w:t>
            </w:r>
          </w:p>
        </w:tc>
        <w:tc>
          <w:tcPr>
            <w:tcW w:w="420" w:type="dxa"/>
            <w:vAlign w:val="bottom"/>
            <w:gridSpan w:val="2"/>
          </w:tcPr>
          <w:p>
            <w:pPr>
              <w:jc w:val="right"/>
              <w:ind w:right="11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w:t>
            </w:r>
          </w:p>
        </w:tc>
        <w:tc>
          <w:tcPr>
            <w:tcW w:w="46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97"/>
        </w:trPr>
        <w:tc>
          <w:tcPr>
            <w:tcW w:w="5760" w:type="dxa"/>
            <w:vAlign w:val="bottom"/>
          </w:tcPr>
          <w:p>
            <w:pPr>
              <w:spacing w:after="0"/>
              <w:rPr>
                <w:sz w:val="20"/>
                <w:szCs w:val="20"/>
                <w:color w:val="auto"/>
              </w:rPr>
            </w:pPr>
            <w:r>
              <w:rPr>
                <w:rFonts w:ascii="Arial" w:cs="Arial" w:eastAsia="Arial" w:hAnsi="Arial"/>
                <w:sz w:val="20"/>
                <w:szCs w:val="20"/>
                <w:color w:val="auto"/>
                <w:w w:val="90"/>
              </w:rPr>
              <w:t xml:space="preserve">Interest cost on benefit obligation  </w:t>
            </w:r>
            <w:r>
              <w:rPr>
                <w:rFonts w:ascii="Arial" w:cs="Arial" w:eastAsia="Arial" w:hAnsi="Arial"/>
                <w:sz w:val="20"/>
                <w:szCs w:val="20"/>
                <w:color w:val="B4B4B4"/>
                <w:w w:val="90"/>
              </w:rPr>
              <w:t>.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97"/>
        </w:trPr>
        <w:tc>
          <w:tcPr>
            <w:tcW w:w="5760" w:type="dxa"/>
            <w:vAlign w:val="bottom"/>
          </w:tcPr>
          <w:p>
            <w:pPr>
              <w:spacing w:after="0"/>
              <w:rPr>
                <w:sz w:val="20"/>
                <w:szCs w:val="20"/>
                <w:color w:val="auto"/>
              </w:rPr>
            </w:pPr>
            <w:r>
              <w:rPr>
                <w:rFonts w:ascii="Arial" w:cs="Arial" w:eastAsia="Arial" w:hAnsi="Arial"/>
                <w:sz w:val="20"/>
                <w:szCs w:val="20"/>
                <w:color w:val="auto"/>
                <w:w w:val="89"/>
              </w:rPr>
              <w:t xml:space="preserve">Expected return on plan assets </w:t>
            </w:r>
            <w:r>
              <w:rPr>
                <w:rFonts w:ascii="Arial" w:cs="Arial" w:eastAsia="Arial" w:hAnsi="Arial"/>
                <w:sz w:val="20"/>
                <w:szCs w:val="20"/>
                <w:color w:val="B4B4B4"/>
                <w:w w:val="89"/>
              </w:rPr>
              <w:t>.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97"/>
        </w:trPr>
        <w:tc>
          <w:tcPr>
            <w:tcW w:w="5760" w:type="dxa"/>
            <w:vAlign w:val="bottom"/>
          </w:tcPr>
          <w:p>
            <w:pPr>
              <w:spacing w:after="0"/>
              <w:rPr>
                <w:sz w:val="20"/>
                <w:szCs w:val="20"/>
                <w:color w:val="auto"/>
              </w:rPr>
            </w:pPr>
            <w:r>
              <w:rPr>
                <w:rFonts w:ascii="Arial" w:cs="Arial" w:eastAsia="Arial" w:hAnsi="Arial"/>
                <w:sz w:val="20"/>
                <w:szCs w:val="20"/>
                <w:color w:val="auto"/>
                <w:w w:val="90"/>
              </w:rPr>
              <w:t xml:space="preserve">Amortization of unrecognized net loss </w:t>
            </w:r>
            <w:r>
              <w:rPr>
                <w:rFonts w:ascii="Arial" w:cs="Arial" w:eastAsia="Arial" w:hAnsi="Arial"/>
                <w:sz w:val="20"/>
                <w:szCs w:val="20"/>
                <w:color w:val="B4B4B4"/>
                <w:w w:val="90"/>
              </w:rPr>
              <w:t>.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99"/>
        </w:trPr>
        <w:tc>
          <w:tcPr>
            <w:tcW w:w="5760" w:type="dxa"/>
            <w:vAlign w:val="bottom"/>
          </w:tcPr>
          <w:p>
            <w:pPr>
              <w:spacing w:after="0"/>
              <w:rPr>
                <w:sz w:val="20"/>
                <w:szCs w:val="20"/>
                <w:color w:val="auto"/>
              </w:rPr>
            </w:pPr>
            <w:r>
              <w:rPr>
                <w:rFonts w:ascii="Arial" w:cs="Arial" w:eastAsia="Arial" w:hAnsi="Arial"/>
                <w:sz w:val="20"/>
                <w:szCs w:val="20"/>
                <w:color w:val="auto"/>
                <w:w w:val="90"/>
              </w:rPr>
              <w:t xml:space="preserve">Curtailment and special termination benefits (income)/expense </w:t>
            </w:r>
            <w:r>
              <w:rPr>
                <w:rFonts w:ascii="Arial" w:cs="Arial" w:eastAsia="Arial" w:hAnsi="Arial"/>
                <w:sz w:val="20"/>
                <w:szCs w:val="20"/>
                <w:color w:val="B4B4B4"/>
                <w:w w:val="90"/>
              </w:rPr>
              <w:t>. . . . . . .</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w w:val="90"/>
              </w:rPr>
              <w:t xml:space="preserve">Net periodic benefit cost </w:t>
            </w:r>
            <w:r>
              <w:rPr>
                <w:rFonts w:ascii="Arial" w:cs="Arial" w:eastAsia="Arial" w:hAnsi="Arial"/>
                <w:sz w:val="20"/>
                <w:szCs w:val="20"/>
                <w:color w:val="B4B4B4"/>
                <w:w w:val="90"/>
              </w:rPr>
              <w:t>. . . . . . . . . . . . . . . . . . . . . . . . . . . . . . . . . . . . . .</w:t>
            </w:r>
          </w:p>
        </w:tc>
        <w:tc>
          <w:tcPr>
            <w:tcW w:w="3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1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w:t>
            </w:r>
          </w:p>
        </w:tc>
      </w:tr>
      <w:tr>
        <w:trPr>
          <w:trHeight w:val="20"/>
        </w:trPr>
        <w:tc>
          <w:tcPr>
            <w:tcW w:w="5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15"/>
        </w:trPr>
        <w:tc>
          <w:tcPr>
            <w:tcW w:w="5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center"/>
              <w:ind w:left="568"/>
              <w:spacing w:after="0"/>
              <w:rPr>
                <w:sz w:val="20"/>
                <w:szCs w:val="20"/>
                <w:color w:val="auto"/>
              </w:rPr>
            </w:pPr>
            <w:r>
              <w:rPr>
                <w:rFonts w:ascii="Arial" w:cs="Arial" w:eastAsia="Arial" w:hAnsi="Arial"/>
                <w:sz w:val="16"/>
                <w:szCs w:val="16"/>
                <w:b w:val="1"/>
                <w:bCs w:val="1"/>
                <w:color w:val="auto"/>
                <w:w w:val="90"/>
              </w:rPr>
              <w:t>Year Ended December 31,</w:t>
            </w:r>
          </w:p>
        </w:tc>
        <w:tc>
          <w:tcPr>
            <w:tcW w:w="1000" w:type="dxa"/>
            <w:vAlign w:val="bottom"/>
            <w:tcBorders>
              <w:bottom w:val="single" w:sz="8" w:color="auto"/>
            </w:tcBorders>
          </w:tcPr>
          <w:p>
            <w:pPr>
              <w:spacing w:after="0"/>
              <w:rPr>
                <w:sz w:val="24"/>
                <w:szCs w:val="24"/>
                <w:color w:val="auto"/>
              </w:rPr>
            </w:pPr>
          </w:p>
        </w:tc>
      </w:tr>
      <w:tr>
        <w:trPr>
          <w:trHeight w:val="218"/>
        </w:trPr>
        <w:tc>
          <w:tcPr>
            <w:tcW w:w="5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548"/>
              <w:spacing w:after="0"/>
              <w:rPr>
                <w:sz w:val="20"/>
                <w:szCs w:val="20"/>
                <w:color w:val="auto"/>
              </w:rPr>
            </w:pPr>
            <w:r>
              <w:rPr>
                <w:rFonts w:ascii="Arial" w:cs="Arial" w:eastAsia="Arial" w:hAnsi="Arial"/>
                <w:sz w:val="16"/>
                <w:szCs w:val="16"/>
                <w:b w:val="1"/>
                <w:bCs w:val="1"/>
                <w:color w:val="auto"/>
                <w:w w:val="89"/>
              </w:rPr>
              <w:t>Other Postretirement Benefits</w:t>
            </w:r>
          </w:p>
        </w:tc>
        <w:tc>
          <w:tcPr>
            <w:tcW w:w="1000" w:type="dxa"/>
            <w:vAlign w:val="bottom"/>
            <w:tcBorders>
              <w:bottom w:val="single" w:sz="8" w:color="auto"/>
            </w:tcBorders>
          </w:tcPr>
          <w:p>
            <w:pPr>
              <w:spacing w:after="0"/>
              <w:rPr>
                <w:sz w:val="18"/>
                <w:szCs w:val="18"/>
                <w:color w:val="auto"/>
              </w:rPr>
            </w:pPr>
          </w:p>
        </w:tc>
      </w:tr>
      <w:tr>
        <w:trPr>
          <w:trHeight w:val="218"/>
        </w:trPr>
        <w:tc>
          <w:tcPr>
            <w:tcW w:w="576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64"/>
              <w:spacing w:after="0"/>
              <w:rPr>
                <w:sz w:val="20"/>
                <w:szCs w:val="20"/>
                <w:color w:val="auto"/>
              </w:rPr>
            </w:pPr>
            <w:r>
              <w:rPr>
                <w:rFonts w:ascii="Arial" w:cs="Arial" w:eastAsia="Arial" w:hAnsi="Arial"/>
                <w:sz w:val="16"/>
                <w:szCs w:val="16"/>
                <w:b w:val="1"/>
                <w:bCs w:val="1"/>
                <w:color w:val="auto"/>
                <w:w w:val="89"/>
              </w:rPr>
              <w:t>2023</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6"/>
                <w:szCs w:val="16"/>
                <w:b w:val="1"/>
                <w:bCs w:val="1"/>
                <w:color w:val="auto"/>
              </w:rPr>
              <w:t>2022</w:t>
            </w:r>
          </w:p>
        </w:tc>
      </w:tr>
      <w:tr>
        <w:trPr>
          <w:trHeight w:val="275"/>
        </w:trPr>
        <w:tc>
          <w:tcPr>
            <w:tcW w:w="5760" w:type="dxa"/>
            <w:vAlign w:val="bottom"/>
          </w:tcPr>
          <w:p>
            <w:pPr>
              <w:spacing w:after="0"/>
              <w:rPr>
                <w:sz w:val="20"/>
                <w:szCs w:val="20"/>
                <w:color w:val="auto"/>
              </w:rPr>
            </w:pPr>
            <w:r>
              <w:rPr>
                <w:rFonts w:ascii="Arial" w:cs="Arial" w:eastAsia="Arial" w:hAnsi="Arial"/>
                <w:sz w:val="20"/>
                <w:szCs w:val="20"/>
                <w:color w:val="auto"/>
                <w:w w:val="90"/>
              </w:rPr>
              <w:t xml:space="preserve">Interest cost on benefit obligation  </w:t>
            </w:r>
            <w:r>
              <w:rPr>
                <w:rFonts w:ascii="Arial" w:cs="Arial" w:eastAsia="Arial" w:hAnsi="Arial"/>
                <w:sz w:val="20"/>
                <w:szCs w:val="20"/>
                <w:color w:val="B4B4B4"/>
                <w:w w:val="90"/>
              </w:rPr>
              <w:t>. . . . . . . . . . . . . . . . . . . . . . . . . . . . . .</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w:t>
            </w:r>
          </w:p>
        </w:tc>
        <w:tc>
          <w:tcPr>
            <w:tcW w:w="420" w:type="dxa"/>
            <w:vAlign w:val="bottom"/>
            <w:gridSpan w:val="2"/>
          </w:tcPr>
          <w:p>
            <w:pPr>
              <w:jc w:val="right"/>
              <w:ind w:right="11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w:t>
            </w:r>
          </w:p>
        </w:tc>
        <w:tc>
          <w:tcPr>
            <w:tcW w:w="46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97"/>
        </w:trPr>
        <w:tc>
          <w:tcPr>
            <w:tcW w:w="5760" w:type="dxa"/>
            <w:vAlign w:val="bottom"/>
          </w:tcPr>
          <w:p>
            <w:pPr>
              <w:spacing w:after="0"/>
              <w:rPr>
                <w:sz w:val="20"/>
                <w:szCs w:val="20"/>
                <w:color w:val="auto"/>
              </w:rPr>
            </w:pPr>
            <w:r>
              <w:rPr>
                <w:rFonts w:ascii="Arial" w:cs="Arial" w:eastAsia="Arial" w:hAnsi="Arial"/>
                <w:sz w:val="20"/>
                <w:szCs w:val="20"/>
                <w:color w:val="auto"/>
                <w:w w:val="91"/>
              </w:rPr>
              <w:t xml:space="preserve">Amortization of unrecognized prior service cost </w:t>
            </w:r>
            <w:r>
              <w:rPr>
                <w:rFonts w:ascii="Arial" w:cs="Arial" w:eastAsia="Arial" w:hAnsi="Arial"/>
                <w:sz w:val="20"/>
                <w:szCs w:val="20"/>
                <w:color w:val="B4B4B4"/>
                <w:w w:val="91"/>
              </w:rPr>
              <w:t>.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99"/>
        </w:trPr>
        <w:tc>
          <w:tcPr>
            <w:tcW w:w="5760" w:type="dxa"/>
            <w:vAlign w:val="bottom"/>
          </w:tcPr>
          <w:p>
            <w:pPr>
              <w:spacing w:after="0"/>
              <w:rPr>
                <w:sz w:val="20"/>
                <w:szCs w:val="20"/>
                <w:color w:val="auto"/>
              </w:rPr>
            </w:pPr>
            <w:r>
              <w:rPr>
                <w:rFonts w:ascii="Arial" w:cs="Arial" w:eastAsia="Arial" w:hAnsi="Arial"/>
                <w:sz w:val="20"/>
                <w:szCs w:val="20"/>
                <w:color w:val="auto"/>
                <w:w w:val="90"/>
              </w:rPr>
              <w:t xml:space="preserve">Amortization of unrecognized net loss </w:t>
            </w:r>
            <w:r>
              <w:rPr>
                <w:rFonts w:ascii="Arial" w:cs="Arial" w:eastAsia="Arial" w:hAnsi="Arial"/>
                <w:sz w:val="20"/>
                <w:szCs w:val="20"/>
                <w:color w:val="B4B4B4"/>
                <w:w w:val="90"/>
              </w:rPr>
              <w:t>. . . . . . . . . . . . . . . . . . . . . . . . . . .</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w w:val="91"/>
              </w:rPr>
              <w:t xml:space="preserve">Net periodic benefit credit </w:t>
            </w:r>
            <w:r>
              <w:rPr>
                <w:rFonts w:ascii="Arial" w:cs="Arial" w:eastAsia="Arial" w:hAnsi="Arial"/>
                <w:sz w:val="20"/>
                <w:szCs w:val="20"/>
                <w:color w:val="B4B4B4"/>
                <w:w w:val="91"/>
              </w:rPr>
              <w:t>. . . . . . . . . . . . . . . . . . . . . . . . . . . . . . . . . . . .</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c>
          <w:tcPr>
            <w:tcW w:w="420" w:type="dxa"/>
            <w:vAlign w:val="bottom"/>
            <w:gridSpan w:val="2"/>
          </w:tcPr>
          <w:p>
            <w:pPr>
              <w:jc w:val="right"/>
              <w:ind w:right="11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w:t>
            </w:r>
          </w:p>
        </w:tc>
        <w:tc>
          <w:tcPr>
            <w:tcW w:w="46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0"/>
        </w:trPr>
        <w:tc>
          <w:tcPr>
            <w:tcW w:w="5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-2507615</wp:posOffset>
            </wp:positionV>
            <wp:extent cx="6447155" cy="11696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35">
                      <a:extLst>
                        <a:ext uri="{28A0092B-C50C-407E-A947-70E740481C1C}"/>
                      </a:extLst>
                    </a:blip>
                    <a:srcRect/>
                    <a:stretch>
                      <a:fillRect/>
                    </a:stretch>
                  </pic:blipFill>
                  <pic:spPr bwMode="auto">
                    <a:xfrm>
                      <a:off x="0" y="0"/>
                      <a:ext cx="6447155" cy="116967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-785495</wp:posOffset>
            </wp:positionV>
            <wp:extent cx="6447155" cy="7924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36">
                      <a:extLst>
                        <a:ext uri="{28A0092B-C50C-407E-A947-70E740481C1C}"/>
                      </a:extLst>
                    </a:blip>
                    <a:srcRect/>
                    <a:stretch>
                      <a:fillRect/>
                    </a:stretch>
                  </pic:blipFill>
                  <pic:spPr bwMode="auto">
                    <a:xfrm>
                      <a:off x="0" y="0"/>
                      <a:ext cx="6447155" cy="792480"/>
                    </a:xfrm>
                    <a:prstGeom prst="rect">
                      <a:avLst/>
                    </a:prstGeom>
                    <a:noFill/>
                  </pic:spPr>
                </pic:pic>
              </a:graphicData>
            </a:graphic>
          </wp:anchor>
        </w:drawing>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ectPr>
          <w:pgSz w:w="11880" w:h="15480" w:orient="portrait"/>
          <w:cols w:equalWidth="0" w:num="1">
            <w:col w:w="10160"/>
          </w:cols>
          <w:pgMar w:left="860" w:top="505" w:right="860" w:bottom="0" w:gutter="0" w:footer="0" w:header="0"/>
          <w:type w:val="continuous"/>
        </w:sectPr>
      </w:pPr>
    </w:p>
    <w:bookmarkStart w:id="140" w:name="page141"/>
    <w:bookmarkEnd w:id="140"/>
    <w:p>
      <w:pPr>
        <w:ind w:firstLine="445"/>
        <w:spacing w:after="0" w:line="277" w:lineRule="auto"/>
        <w:rPr>
          <w:sz w:val="20"/>
          <w:szCs w:val="20"/>
          <w:color w:val="auto"/>
        </w:rPr>
      </w:pPr>
      <w:r>
        <w:rPr>
          <w:rFonts w:ascii="Arial" w:cs="Arial" w:eastAsia="Arial" w:hAnsi="Arial"/>
          <w:sz w:val="20"/>
          <w:szCs w:val="20"/>
          <w:color w:val="auto"/>
        </w:rPr>
        <w:t>A comparison of the pension benefit obligation, other postretirement benefit obligations and related plan assets for NRG's plans on a combined basis is as follows:</w:t>
      </w:r>
    </w:p>
    <w:p>
      <w:pPr>
        <w:spacing w:after="0" w:line="52"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8"/>
                <w:szCs w:val="18"/>
                <w:b w:val="1"/>
                <w:bCs w:val="1"/>
                <w:color w:val="auto"/>
              </w:rPr>
              <w:t>As of December 31,</w:t>
            </w: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4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4"/>
            <w:vMerge w:val="restart"/>
          </w:tcPr>
          <w:p>
            <w:pPr>
              <w:jc w:val="right"/>
              <w:ind w:right="622"/>
              <w:spacing w:after="0"/>
              <w:rPr>
                <w:sz w:val="20"/>
                <w:szCs w:val="20"/>
                <w:color w:val="auto"/>
              </w:rPr>
            </w:pPr>
            <w:r>
              <w:rPr>
                <w:rFonts w:ascii="Arial" w:cs="Arial" w:eastAsia="Arial" w:hAnsi="Arial"/>
                <w:sz w:val="18"/>
                <w:szCs w:val="18"/>
                <w:b w:val="1"/>
                <w:bCs w:val="1"/>
                <w:color w:val="auto"/>
              </w:rPr>
              <w:t>Pension Benefits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40" w:type="dxa"/>
            <w:vAlign w:val="bottom"/>
            <w:gridSpan w:val="4"/>
          </w:tcPr>
          <w:p>
            <w:pPr>
              <w:jc w:val="right"/>
              <w:ind w:right="401"/>
              <w:spacing w:after="0" w:line="159" w:lineRule="exact"/>
              <w:rPr>
                <w:sz w:val="20"/>
                <w:szCs w:val="20"/>
                <w:color w:val="auto"/>
              </w:rPr>
            </w:pPr>
            <w:r>
              <w:rPr>
                <w:rFonts w:ascii="Arial" w:cs="Arial" w:eastAsia="Arial" w:hAnsi="Arial"/>
                <w:sz w:val="18"/>
                <w:szCs w:val="18"/>
                <w:b w:val="1"/>
                <w:bCs w:val="1"/>
                <w:color w:val="auto"/>
              </w:rPr>
              <w:t>Other Postretirement</w:t>
            </w:r>
          </w:p>
        </w:tc>
        <w:tc>
          <w:tcPr>
            <w:tcW w:w="0" w:type="dxa"/>
            <w:vAlign w:val="bottom"/>
          </w:tcPr>
          <w:p>
            <w:pPr>
              <w:spacing w:after="0"/>
              <w:rPr>
                <w:sz w:val="1"/>
                <w:szCs w:val="1"/>
                <w:color w:val="auto"/>
              </w:rPr>
            </w:pPr>
          </w:p>
        </w:tc>
      </w:tr>
      <w:tr>
        <w:trPr>
          <w:trHeight w:val="236"/>
        </w:trPr>
        <w:tc>
          <w:tcPr>
            <w:tcW w:w="4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vMerge w:val="continue"/>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Benefits</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70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75"/>
        </w:trPr>
        <w:tc>
          <w:tcPr>
            <w:tcW w:w="4700" w:type="dxa"/>
            <w:vAlign w:val="bottom"/>
          </w:tcPr>
          <w:p>
            <w:pPr>
              <w:jc w:val="right"/>
              <w:spacing w:after="0"/>
              <w:rPr>
                <w:sz w:val="20"/>
                <w:szCs w:val="20"/>
                <w:color w:val="auto"/>
              </w:rPr>
            </w:pPr>
            <w:r>
              <w:rPr>
                <w:rFonts w:ascii="Arial" w:cs="Arial" w:eastAsia="Arial" w:hAnsi="Arial"/>
                <w:sz w:val="20"/>
                <w:szCs w:val="20"/>
                <w:color w:val="auto"/>
                <w:w w:val="89"/>
              </w:rPr>
              <w:t xml:space="preserve">Benefit obligation at January 1 </w:t>
            </w:r>
            <w:r>
              <w:rPr>
                <w:rFonts w:ascii="Arial" w:cs="Arial" w:eastAsia="Arial" w:hAnsi="Arial"/>
                <w:sz w:val="20"/>
                <w:szCs w:val="20"/>
                <w:color w:val="B4B4B4"/>
                <w:w w:val="89"/>
              </w:rPr>
              <w:t>. . . . . . . . . . . . . . . . . . . . . .</w:t>
            </w:r>
          </w:p>
        </w:tc>
        <w:tc>
          <w:tcPr>
            <w:tcW w:w="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1,023</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1,036</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75</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297"/>
        </w:trPr>
        <w:tc>
          <w:tcPr>
            <w:tcW w:w="4700" w:type="dxa"/>
            <w:vAlign w:val="bottom"/>
          </w:tcPr>
          <w:p>
            <w:pPr>
              <w:jc w:val="right"/>
              <w:spacing w:after="0"/>
              <w:rPr>
                <w:sz w:val="20"/>
                <w:szCs w:val="20"/>
                <w:color w:val="auto"/>
              </w:rPr>
            </w:pPr>
            <w:r>
              <w:rPr>
                <w:rFonts w:ascii="Arial" w:cs="Arial" w:eastAsia="Arial" w:hAnsi="Arial"/>
                <w:sz w:val="20"/>
                <w:szCs w:val="20"/>
                <w:color w:val="auto"/>
                <w:w w:val="88"/>
              </w:rPr>
              <w:t xml:space="preserve">Service cost </w:t>
            </w:r>
            <w:r>
              <w:rPr>
                <w:rFonts w:ascii="Arial" w:cs="Arial" w:eastAsia="Arial" w:hAnsi="Arial"/>
                <w:sz w:val="20"/>
                <w:szCs w:val="20"/>
                <w:color w:val="B4B4B4"/>
                <w:w w:val="88"/>
              </w:rPr>
              <w:t>. . . . . . . . . . . . . . . . . . . . . . . . . . . . . . . . . . . . .</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4700" w:type="dxa"/>
            <w:vAlign w:val="bottom"/>
          </w:tcPr>
          <w:p>
            <w:pPr>
              <w:jc w:val="right"/>
              <w:spacing w:after="0"/>
              <w:rPr>
                <w:sz w:val="20"/>
                <w:szCs w:val="20"/>
                <w:color w:val="auto"/>
              </w:rPr>
            </w:pPr>
            <w:r>
              <w:rPr>
                <w:rFonts w:ascii="Arial" w:cs="Arial" w:eastAsia="Arial" w:hAnsi="Arial"/>
                <w:sz w:val="20"/>
                <w:szCs w:val="20"/>
                <w:color w:val="auto"/>
                <w:w w:val="88"/>
              </w:rPr>
              <w:t xml:space="preserve">Interest cost </w:t>
            </w:r>
            <w:r>
              <w:rPr>
                <w:rFonts w:ascii="Arial" w:cs="Arial" w:eastAsia="Arial" w:hAnsi="Arial"/>
                <w:sz w:val="20"/>
                <w:szCs w:val="20"/>
                <w:color w:val="B4B4B4"/>
                <w:w w:val="88"/>
              </w:rPr>
              <w:t>. . . . . . . . . . . . . . . . . . . . . . . . . . . . . . . . . . . . .</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97"/>
        </w:trPr>
        <w:tc>
          <w:tcPr>
            <w:tcW w:w="4700" w:type="dxa"/>
            <w:vAlign w:val="bottom"/>
          </w:tcPr>
          <w:p>
            <w:pPr>
              <w:jc w:val="right"/>
              <w:spacing w:after="0"/>
              <w:rPr>
                <w:sz w:val="20"/>
                <w:szCs w:val="20"/>
                <w:color w:val="auto"/>
              </w:rPr>
            </w:pPr>
            <w:r>
              <w:rPr>
                <w:rFonts w:ascii="Arial" w:cs="Arial" w:eastAsia="Arial" w:hAnsi="Arial"/>
                <w:sz w:val="20"/>
                <w:szCs w:val="20"/>
                <w:color w:val="auto"/>
                <w:w w:val="90"/>
              </w:rPr>
              <w:t xml:space="preserve">Actuarial loss/(gain) </w:t>
            </w:r>
            <w:r>
              <w:rPr>
                <w:rFonts w:ascii="Arial" w:cs="Arial" w:eastAsia="Arial" w:hAnsi="Arial"/>
                <w:sz w:val="20"/>
                <w:szCs w:val="20"/>
                <w:color w:val="B4B4B4"/>
                <w:w w:val="90"/>
              </w:rPr>
              <w:t>. . . . . . . . . . . . . . . . . . . . . . . . . . . . . .</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97"/>
        </w:trPr>
        <w:tc>
          <w:tcPr>
            <w:tcW w:w="4700" w:type="dxa"/>
            <w:vAlign w:val="bottom"/>
          </w:tcPr>
          <w:p>
            <w:pPr>
              <w:jc w:val="right"/>
              <w:spacing w:after="0"/>
              <w:rPr>
                <w:sz w:val="20"/>
                <w:szCs w:val="20"/>
                <w:color w:val="auto"/>
              </w:rPr>
            </w:pPr>
            <w:r>
              <w:rPr>
                <w:rFonts w:ascii="Arial" w:cs="Arial" w:eastAsia="Arial" w:hAnsi="Arial"/>
                <w:sz w:val="20"/>
                <w:szCs w:val="20"/>
                <w:color w:val="auto"/>
                <w:w w:val="90"/>
              </w:rPr>
              <w:t xml:space="preserve">Employee and retiree contributions </w:t>
            </w:r>
            <w:r>
              <w:rPr>
                <w:rFonts w:ascii="Arial" w:cs="Arial" w:eastAsia="Arial" w:hAnsi="Arial"/>
                <w:sz w:val="20"/>
                <w:szCs w:val="20"/>
                <w:color w:val="B4B4B4"/>
                <w:w w:val="90"/>
              </w:rPr>
              <w:t>. . . . . . . . . . . . . . . . . .</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97"/>
        </w:trPr>
        <w:tc>
          <w:tcPr>
            <w:tcW w:w="4700" w:type="dxa"/>
            <w:vAlign w:val="bottom"/>
          </w:tcPr>
          <w:p>
            <w:pPr>
              <w:jc w:val="right"/>
              <w:spacing w:after="0"/>
              <w:rPr>
                <w:sz w:val="20"/>
                <w:szCs w:val="20"/>
                <w:color w:val="auto"/>
              </w:rPr>
            </w:pPr>
            <w:r>
              <w:rPr>
                <w:rFonts w:ascii="Arial" w:cs="Arial" w:eastAsia="Arial" w:hAnsi="Arial"/>
                <w:sz w:val="20"/>
                <w:szCs w:val="20"/>
                <w:color w:val="auto"/>
                <w:w w:val="88"/>
              </w:rPr>
              <w:t xml:space="preserve">Annuity purchase settlement </w:t>
            </w:r>
            <w:r>
              <w:rPr>
                <w:rFonts w:ascii="Arial" w:cs="Arial" w:eastAsia="Arial" w:hAnsi="Arial"/>
                <w:sz w:val="20"/>
                <w:szCs w:val="20"/>
                <w:color w:val="B4B4B4"/>
                <w:w w:val="88"/>
              </w:rPr>
              <w:t>. . . . . . . . . . . . . . . . . . . . . . . .</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4700" w:type="dxa"/>
            <w:vAlign w:val="bottom"/>
          </w:tcPr>
          <w:p>
            <w:pPr>
              <w:jc w:val="right"/>
              <w:spacing w:after="0"/>
              <w:rPr>
                <w:sz w:val="20"/>
                <w:szCs w:val="20"/>
                <w:color w:val="auto"/>
              </w:rPr>
            </w:pPr>
            <w:r>
              <w:rPr>
                <w:rFonts w:ascii="Arial" w:cs="Arial" w:eastAsia="Arial" w:hAnsi="Arial"/>
                <w:sz w:val="20"/>
                <w:szCs w:val="20"/>
                <w:color w:val="auto"/>
                <w:w w:val="90"/>
              </w:rPr>
              <w:t xml:space="preserve">Curtailment and special termination benefit loss </w:t>
            </w:r>
            <w:r>
              <w:rPr>
                <w:rFonts w:ascii="Arial" w:cs="Arial" w:eastAsia="Arial" w:hAnsi="Arial"/>
                <w:sz w:val="20"/>
                <w:szCs w:val="20"/>
                <w:color w:val="B4B4B4"/>
                <w:w w:val="90"/>
              </w:rPr>
              <w:t>. . . . . . . .</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97"/>
        </w:trPr>
        <w:tc>
          <w:tcPr>
            <w:tcW w:w="4700" w:type="dxa"/>
            <w:vAlign w:val="bottom"/>
          </w:tcPr>
          <w:p>
            <w:pPr>
              <w:jc w:val="right"/>
              <w:spacing w:after="0"/>
              <w:rPr>
                <w:sz w:val="20"/>
                <w:szCs w:val="20"/>
                <w:color w:val="auto"/>
              </w:rPr>
            </w:pPr>
            <w:r>
              <w:rPr>
                <w:rFonts w:ascii="Arial" w:cs="Arial" w:eastAsia="Arial" w:hAnsi="Arial"/>
                <w:sz w:val="20"/>
                <w:szCs w:val="20"/>
                <w:color w:val="auto"/>
                <w:w w:val="89"/>
              </w:rPr>
              <w:t xml:space="preserve">Benefit payments  </w:t>
            </w:r>
            <w:r>
              <w:rPr>
                <w:rFonts w:ascii="Arial" w:cs="Arial" w:eastAsia="Arial" w:hAnsi="Arial"/>
                <w:sz w:val="20"/>
                <w:szCs w:val="20"/>
                <w:color w:val="B4B4B4"/>
                <w:w w:val="89"/>
              </w:rPr>
              <w:t>. . . . . . . . . . . . . . . . . . . . . . . . . . . . . . . .</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99"/>
        </w:trPr>
        <w:tc>
          <w:tcPr>
            <w:tcW w:w="4700" w:type="dxa"/>
            <w:vAlign w:val="bottom"/>
          </w:tcPr>
          <w:p>
            <w:pPr>
              <w:jc w:val="right"/>
              <w:spacing w:after="0"/>
              <w:rPr>
                <w:sz w:val="20"/>
                <w:szCs w:val="20"/>
                <w:color w:val="auto"/>
              </w:rPr>
            </w:pPr>
            <w:r>
              <w:rPr>
                <w:rFonts w:ascii="Arial" w:cs="Arial" w:eastAsia="Arial" w:hAnsi="Arial"/>
                <w:sz w:val="20"/>
                <w:szCs w:val="20"/>
                <w:color w:val="auto"/>
                <w:w w:val="89"/>
              </w:rPr>
              <w:t xml:space="preserve">Foreign exchange translation </w:t>
            </w:r>
            <w:r>
              <w:rPr>
                <w:rFonts w:ascii="Arial" w:cs="Arial" w:eastAsia="Arial" w:hAnsi="Arial"/>
                <w:sz w:val="20"/>
                <w:szCs w:val="20"/>
                <w:color w:val="B4B4B4"/>
                <w:w w:val="89"/>
              </w:rPr>
              <w:t>. . . . . . . . . . . . . . . . . . . . . . .</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7"/>
        </w:trPr>
        <w:tc>
          <w:tcPr>
            <w:tcW w:w="4700" w:type="dxa"/>
            <w:vAlign w:val="bottom"/>
          </w:tcPr>
          <w:p>
            <w:pPr>
              <w:jc w:val="right"/>
              <w:spacing w:after="0"/>
              <w:rPr>
                <w:sz w:val="20"/>
                <w:szCs w:val="20"/>
                <w:color w:val="auto"/>
              </w:rPr>
            </w:pPr>
            <w:r>
              <w:rPr>
                <w:rFonts w:ascii="Arial" w:cs="Arial" w:eastAsia="Arial" w:hAnsi="Arial"/>
                <w:sz w:val="20"/>
                <w:szCs w:val="20"/>
                <w:color w:val="auto"/>
              </w:rPr>
              <w:t xml:space="preserve">Benefit obligation at December 31 </w:t>
            </w:r>
            <w:r>
              <w:rPr>
                <w:rFonts w:ascii="Arial" w:cs="Arial" w:eastAsia="Arial" w:hAnsi="Arial"/>
                <w:sz w:val="20"/>
                <w:szCs w:val="20"/>
                <w:color w:val="B4B4B4"/>
              </w:rPr>
              <w:t>. . . . . . . . . . . . .</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901</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w:t>
            </w:r>
          </w:p>
        </w:tc>
        <w:tc>
          <w:tcPr>
            <w:tcW w:w="0" w:type="dxa"/>
            <w:vAlign w:val="bottom"/>
          </w:tcPr>
          <w:p>
            <w:pPr>
              <w:spacing w:after="0"/>
              <w:rPr>
                <w:sz w:val="1"/>
                <w:szCs w:val="1"/>
                <w:color w:val="auto"/>
              </w:rPr>
            </w:pPr>
          </w:p>
        </w:tc>
      </w:tr>
      <w:tr>
        <w:trPr>
          <w:trHeight w:val="275"/>
        </w:trPr>
        <w:tc>
          <w:tcPr>
            <w:tcW w:w="4700" w:type="dxa"/>
            <w:vAlign w:val="bottom"/>
          </w:tcPr>
          <w:p>
            <w:pPr>
              <w:jc w:val="right"/>
              <w:spacing w:after="0"/>
              <w:rPr>
                <w:sz w:val="20"/>
                <w:szCs w:val="20"/>
                <w:color w:val="auto"/>
              </w:rPr>
            </w:pPr>
            <w:r>
              <w:rPr>
                <w:rFonts w:ascii="Arial" w:cs="Arial" w:eastAsia="Arial" w:hAnsi="Arial"/>
                <w:sz w:val="20"/>
                <w:szCs w:val="20"/>
                <w:color w:val="auto"/>
                <w:w w:val="88"/>
              </w:rPr>
              <w:t xml:space="preserve">Fair value of plan assets at January 1 </w:t>
            </w:r>
            <w:r>
              <w:rPr>
                <w:rFonts w:ascii="Arial" w:cs="Arial" w:eastAsia="Arial" w:hAnsi="Arial"/>
                <w:sz w:val="20"/>
                <w:szCs w:val="20"/>
                <w:color w:val="B4B4B4"/>
                <w:w w:val="88"/>
              </w:rPr>
              <w:t>. . . . . . . . . . . . . . . . .</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851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844</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4700" w:type="dxa"/>
            <w:vAlign w:val="bottom"/>
          </w:tcPr>
          <w:p>
            <w:pPr>
              <w:jc w:val="right"/>
              <w:spacing w:after="0"/>
              <w:rPr>
                <w:sz w:val="20"/>
                <w:szCs w:val="20"/>
                <w:color w:val="auto"/>
              </w:rPr>
            </w:pPr>
            <w:r>
              <w:rPr>
                <w:rFonts w:ascii="Arial" w:cs="Arial" w:eastAsia="Arial" w:hAnsi="Arial"/>
                <w:sz w:val="20"/>
                <w:szCs w:val="20"/>
                <w:color w:val="auto"/>
                <w:w w:val="89"/>
              </w:rPr>
              <w:t xml:space="preserve">Actual return on plan assets </w:t>
            </w:r>
            <w:r>
              <w:rPr>
                <w:rFonts w:ascii="Arial" w:cs="Arial" w:eastAsia="Arial" w:hAnsi="Arial"/>
                <w:sz w:val="20"/>
                <w:szCs w:val="20"/>
                <w:color w:val="B4B4B4"/>
                <w:w w:val="89"/>
              </w:rPr>
              <w:t>. . . . . . . . . . . . . . . . . . . . . . . .</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4700" w:type="dxa"/>
            <w:vAlign w:val="bottom"/>
          </w:tcPr>
          <w:p>
            <w:pPr>
              <w:jc w:val="right"/>
              <w:spacing w:after="0"/>
              <w:rPr>
                <w:sz w:val="20"/>
                <w:szCs w:val="20"/>
                <w:color w:val="auto"/>
              </w:rPr>
            </w:pPr>
            <w:r>
              <w:rPr>
                <w:rFonts w:ascii="Arial" w:cs="Arial" w:eastAsia="Arial" w:hAnsi="Arial"/>
                <w:sz w:val="20"/>
                <w:szCs w:val="20"/>
                <w:color w:val="auto"/>
                <w:w w:val="90"/>
              </w:rPr>
              <w:t xml:space="preserve">Employee and retiree contributions </w:t>
            </w:r>
            <w:r>
              <w:rPr>
                <w:rFonts w:ascii="Arial" w:cs="Arial" w:eastAsia="Arial" w:hAnsi="Arial"/>
                <w:sz w:val="20"/>
                <w:szCs w:val="20"/>
                <w:color w:val="B4B4B4"/>
                <w:w w:val="90"/>
              </w:rPr>
              <w:t>. . . . . . . . . . . . . . . . . .</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97"/>
        </w:trPr>
        <w:tc>
          <w:tcPr>
            <w:tcW w:w="4700" w:type="dxa"/>
            <w:vAlign w:val="bottom"/>
          </w:tcPr>
          <w:p>
            <w:pPr>
              <w:jc w:val="right"/>
              <w:spacing w:after="0"/>
              <w:rPr>
                <w:sz w:val="20"/>
                <w:szCs w:val="20"/>
                <w:color w:val="auto"/>
              </w:rPr>
            </w:pPr>
            <w:r>
              <w:rPr>
                <w:rFonts w:ascii="Arial" w:cs="Arial" w:eastAsia="Arial" w:hAnsi="Arial"/>
                <w:sz w:val="20"/>
                <w:szCs w:val="20"/>
                <w:color w:val="auto"/>
                <w:w w:val="89"/>
              </w:rPr>
              <w:t xml:space="preserve">Employer contributions </w:t>
            </w:r>
            <w:r>
              <w:rPr>
                <w:rFonts w:ascii="Arial" w:cs="Arial" w:eastAsia="Arial" w:hAnsi="Arial"/>
                <w:sz w:val="20"/>
                <w:szCs w:val="20"/>
                <w:color w:val="B4B4B4"/>
                <w:w w:val="89"/>
              </w:rPr>
              <w:t>. . . . . . . . . . . . . . . . . . . . . . . . . . . .</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97"/>
        </w:trPr>
        <w:tc>
          <w:tcPr>
            <w:tcW w:w="4700" w:type="dxa"/>
            <w:vAlign w:val="bottom"/>
          </w:tcPr>
          <w:p>
            <w:pPr>
              <w:jc w:val="right"/>
              <w:spacing w:after="0"/>
              <w:rPr>
                <w:sz w:val="20"/>
                <w:szCs w:val="20"/>
                <w:color w:val="auto"/>
              </w:rPr>
            </w:pPr>
            <w:r>
              <w:rPr>
                <w:rFonts w:ascii="Arial" w:cs="Arial" w:eastAsia="Arial" w:hAnsi="Arial"/>
                <w:sz w:val="20"/>
                <w:szCs w:val="20"/>
                <w:color w:val="auto"/>
                <w:w w:val="88"/>
              </w:rPr>
              <w:t xml:space="preserve">Annuity purchase settlement </w:t>
            </w:r>
            <w:r>
              <w:rPr>
                <w:rFonts w:ascii="Arial" w:cs="Arial" w:eastAsia="Arial" w:hAnsi="Arial"/>
                <w:sz w:val="20"/>
                <w:szCs w:val="20"/>
                <w:color w:val="B4B4B4"/>
                <w:w w:val="88"/>
              </w:rPr>
              <w:t>. . . . . . . . . . . . . . . . . . . . . . . .</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4700" w:type="dxa"/>
            <w:vAlign w:val="bottom"/>
          </w:tcPr>
          <w:p>
            <w:pPr>
              <w:jc w:val="right"/>
              <w:spacing w:after="0"/>
              <w:rPr>
                <w:sz w:val="20"/>
                <w:szCs w:val="20"/>
                <w:color w:val="auto"/>
              </w:rPr>
            </w:pPr>
            <w:r>
              <w:rPr>
                <w:rFonts w:ascii="Arial" w:cs="Arial" w:eastAsia="Arial" w:hAnsi="Arial"/>
                <w:sz w:val="20"/>
                <w:szCs w:val="20"/>
                <w:color w:val="auto"/>
                <w:w w:val="89"/>
              </w:rPr>
              <w:t xml:space="preserve">Benefit payments  </w:t>
            </w:r>
            <w:r>
              <w:rPr>
                <w:rFonts w:ascii="Arial" w:cs="Arial" w:eastAsia="Arial" w:hAnsi="Arial"/>
                <w:sz w:val="20"/>
                <w:szCs w:val="20"/>
                <w:color w:val="B4B4B4"/>
                <w:w w:val="89"/>
              </w:rPr>
              <w:t>. . . . . . . . . . . . . . . . . . . . . . . . . . . . . . . .</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99"/>
        </w:trPr>
        <w:tc>
          <w:tcPr>
            <w:tcW w:w="4700" w:type="dxa"/>
            <w:vAlign w:val="bottom"/>
          </w:tcPr>
          <w:p>
            <w:pPr>
              <w:jc w:val="right"/>
              <w:spacing w:after="0"/>
              <w:rPr>
                <w:sz w:val="20"/>
                <w:szCs w:val="20"/>
                <w:color w:val="auto"/>
              </w:rPr>
            </w:pPr>
            <w:r>
              <w:rPr>
                <w:rFonts w:ascii="Arial" w:cs="Arial" w:eastAsia="Arial" w:hAnsi="Arial"/>
                <w:sz w:val="20"/>
                <w:szCs w:val="20"/>
                <w:color w:val="auto"/>
                <w:w w:val="89"/>
              </w:rPr>
              <w:t xml:space="preserve">Foreign exchange translation </w:t>
            </w:r>
            <w:r>
              <w:rPr>
                <w:rFonts w:ascii="Arial" w:cs="Arial" w:eastAsia="Arial" w:hAnsi="Arial"/>
                <w:sz w:val="20"/>
                <w:szCs w:val="20"/>
                <w:color w:val="B4B4B4"/>
                <w:w w:val="89"/>
              </w:rPr>
              <w:t>. . . . . . . . . . . . . . . . . . . . . . .</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7"/>
        </w:trPr>
        <w:tc>
          <w:tcPr>
            <w:tcW w:w="4700" w:type="dxa"/>
            <w:vAlign w:val="bottom"/>
          </w:tcPr>
          <w:p>
            <w:pPr>
              <w:jc w:val="right"/>
              <w:spacing w:after="0"/>
              <w:rPr>
                <w:sz w:val="20"/>
                <w:szCs w:val="20"/>
                <w:color w:val="auto"/>
              </w:rPr>
            </w:pPr>
            <w:r>
              <w:rPr>
                <w:rFonts w:ascii="Arial" w:cs="Arial" w:eastAsia="Arial" w:hAnsi="Arial"/>
                <w:sz w:val="20"/>
                <w:szCs w:val="20"/>
                <w:color w:val="auto"/>
              </w:rPr>
              <w:t xml:space="preserve">Fair value of plan assets at December 31 </w:t>
            </w:r>
            <w:r>
              <w:rPr>
                <w:rFonts w:ascii="Arial" w:cs="Arial" w:eastAsia="Arial" w:hAnsi="Arial"/>
                <w:sz w:val="20"/>
                <w:szCs w:val="20"/>
                <w:color w:val="B4B4B4"/>
              </w:rPr>
              <w:t>. . . . . . . .</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767</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0"/>
        </w:trPr>
        <w:tc>
          <w:tcPr>
            <w:tcW w:w="4700" w:type="dxa"/>
            <w:vAlign w:val="bottom"/>
          </w:tcPr>
          <w:p>
            <w:pPr>
              <w:spacing w:after="0" w:line="209" w:lineRule="exact"/>
              <w:rPr>
                <w:sz w:val="20"/>
                <w:szCs w:val="20"/>
                <w:color w:val="auto"/>
              </w:rPr>
            </w:pPr>
            <w:r>
              <w:rPr>
                <w:rFonts w:ascii="Arial" w:cs="Arial" w:eastAsia="Arial" w:hAnsi="Arial"/>
                <w:sz w:val="20"/>
                <w:szCs w:val="20"/>
                <w:color w:val="auto"/>
                <w:w w:val="97"/>
              </w:rPr>
              <w:t>Funded status at December 31 — excess of obligation</w:t>
            </w:r>
          </w:p>
        </w:tc>
        <w:tc>
          <w:tcPr>
            <w:tcW w:w="300" w:type="dxa"/>
            <w:vAlign w:val="bottom"/>
            <w:vMerge w:val="restart"/>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(134)</w:t>
            </w: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(172)</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(70)</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20"/>
                <w:szCs w:val="20"/>
                <w:color w:val="auto"/>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(75)</w:t>
            </w:r>
          </w:p>
        </w:tc>
        <w:tc>
          <w:tcPr>
            <w:tcW w:w="0" w:type="dxa"/>
            <w:vAlign w:val="bottom"/>
          </w:tcPr>
          <w:p>
            <w:pPr>
              <w:spacing w:after="0"/>
              <w:rPr>
                <w:sz w:val="1"/>
                <w:szCs w:val="1"/>
                <w:color w:val="auto"/>
              </w:rPr>
            </w:pPr>
          </w:p>
        </w:tc>
      </w:tr>
      <w:tr>
        <w:trPr>
          <w:trHeight w:val="240"/>
        </w:trPr>
        <w:tc>
          <w:tcPr>
            <w:tcW w:w="4700" w:type="dxa"/>
            <w:vAlign w:val="bottom"/>
          </w:tcPr>
          <w:p>
            <w:pPr>
              <w:jc w:val="right"/>
              <w:spacing w:after="0"/>
              <w:rPr>
                <w:sz w:val="20"/>
                <w:szCs w:val="20"/>
                <w:color w:val="auto"/>
              </w:rPr>
            </w:pPr>
            <w:r>
              <w:rPr>
                <w:rFonts w:ascii="Arial" w:cs="Arial" w:eastAsia="Arial" w:hAnsi="Arial"/>
                <w:sz w:val="20"/>
                <w:szCs w:val="20"/>
                <w:color w:val="auto"/>
                <w:w w:val="91"/>
              </w:rPr>
              <w:t xml:space="preserve">over assets </w:t>
            </w:r>
            <w:r>
              <w:rPr>
                <w:rFonts w:ascii="Arial" w:cs="Arial" w:eastAsia="Arial" w:hAnsi="Arial"/>
                <w:sz w:val="20"/>
                <w:szCs w:val="20"/>
                <w:color w:val="B4B4B4"/>
                <w:w w:val="91"/>
              </w:rPr>
              <w:t>. . . . . . . . . . . . . . . . . . . . . . . . . . . . . . . . . . . .</w:t>
            </w:r>
          </w:p>
        </w:tc>
        <w:tc>
          <w:tcPr>
            <w:tcW w:w="3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-3736975</wp:posOffset>
            </wp:positionV>
            <wp:extent cx="6466205" cy="37439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37">
                      <a:extLst>
                        <a:ext uri="{28A0092B-C50C-407E-A947-70E740481C1C}"/>
                      </a:extLst>
                    </a:blip>
                    <a:srcRect/>
                    <a:stretch>
                      <a:fillRect/>
                    </a:stretch>
                  </pic:blipFill>
                  <pic:spPr bwMode="auto">
                    <a:xfrm>
                      <a:off x="0" y="0"/>
                      <a:ext cx="6466205" cy="3743960"/>
                    </a:xfrm>
                    <a:prstGeom prst="rect">
                      <a:avLst/>
                    </a:prstGeom>
                    <a:noFill/>
                  </pic:spPr>
                </pic:pic>
              </a:graphicData>
            </a:graphic>
          </wp:anchor>
        </w:drawing>
      </w:r>
    </w:p>
    <w:p>
      <w:pPr>
        <w:spacing w:after="0" w:line="10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During the year ended December 31, 2024, the actuarial gain of $35 million on pension benefits was primarily driven by increasing discount rates.</w:t>
      </w:r>
    </w:p>
    <w:p>
      <w:pPr>
        <w:spacing w:after="0" w:line="6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During the year ended December 31, 2023, the actuarial loss of $22 million on pension benefits was primarily driven by decreasing discount rates.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Amounts recognized in NRG's balance sheets were as follows:</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6"/>
                <w:szCs w:val="16"/>
                <w:b w:val="1"/>
                <w:bCs w:val="1"/>
                <w:color w:val="auto"/>
              </w:rPr>
              <w:t>As of December 31,</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6"/>
            <w:vMerge w:val="restart"/>
          </w:tcPr>
          <w:p>
            <w:pPr>
              <w:ind w:left="440"/>
              <w:spacing w:after="0"/>
              <w:rPr>
                <w:sz w:val="20"/>
                <w:szCs w:val="20"/>
                <w:color w:val="auto"/>
              </w:rPr>
            </w:pPr>
            <w:r>
              <w:rPr>
                <w:rFonts w:ascii="Arial" w:cs="Arial" w:eastAsia="Arial" w:hAnsi="Arial"/>
                <w:sz w:val="16"/>
                <w:szCs w:val="16"/>
                <w:b w:val="1"/>
                <w:bCs w:val="1"/>
                <w:color w:val="auto"/>
              </w:rPr>
              <w:t>Pension Benefits</w:t>
            </w:r>
          </w:p>
        </w:tc>
        <w:tc>
          <w:tcPr>
            <w:tcW w:w="2340" w:type="dxa"/>
            <w:vAlign w:val="bottom"/>
            <w:gridSpan w:val="4"/>
          </w:tcPr>
          <w:p>
            <w:pPr>
              <w:jc w:val="center"/>
              <w:ind w:right="228"/>
              <w:spacing w:after="0" w:line="169" w:lineRule="exact"/>
              <w:rPr>
                <w:sz w:val="20"/>
                <w:szCs w:val="20"/>
                <w:color w:val="auto"/>
              </w:rPr>
            </w:pPr>
            <w:r>
              <w:rPr>
                <w:rFonts w:ascii="Arial" w:cs="Arial" w:eastAsia="Arial" w:hAnsi="Arial"/>
                <w:sz w:val="16"/>
                <w:szCs w:val="16"/>
                <w:b w:val="1"/>
                <w:bCs w:val="1"/>
                <w:color w:val="auto"/>
                <w:w w:val="91"/>
              </w:rPr>
              <w:t>Other Postretirement</w:t>
            </w:r>
          </w:p>
        </w:tc>
        <w:tc>
          <w:tcPr>
            <w:tcW w:w="0" w:type="dxa"/>
            <w:vAlign w:val="bottom"/>
          </w:tcPr>
          <w:p>
            <w:pPr>
              <w:spacing w:after="0"/>
              <w:rPr>
                <w:sz w:val="1"/>
                <w:szCs w:val="1"/>
                <w:color w:val="auto"/>
              </w:rPr>
            </w:pPr>
          </w:p>
        </w:tc>
      </w:tr>
      <w:tr>
        <w:trPr>
          <w:trHeight w:val="212"/>
        </w:trPr>
        <w:tc>
          <w:tcPr>
            <w:tcW w:w="4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6"/>
            <w:vMerge w:val="continue"/>
          </w:tcPr>
          <w:p>
            <w:pPr>
              <w:spacing w:after="0"/>
              <w:rPr>
                <w:sz w:val="18"/>
                <w:szCs w:val="18"/>
                <w:color w:val="auto"/>
              </w:rPr>
            </w:pPr>
          </w:p>
        </w:tc>
        <w:tc>
          <w:tcPr>
            <w:tcW w:w="1420" w:type="dxa"/>
            <w:vAlign w:val="bottom"/>
            <w:gridSpan w:val="3"/>
          </w:tcPr>
          <w:p>
            <w:pPr>
              <w:jc w:val="center"/>
              <w:ind w:left="513"/>
              <w:spacing w:after="0"/>
              <w:rPr>
                <w:sz w:val="20"/>
                <w:szCs w:val="20"/>
                <w:color w:val="auto"/>
              </w:rPr>
            </w:pPr>
            <w:r>
              <w:rPr>
                <w:rFonts w:ascii="Arial" w:cs="Arial" w:eastAsia="Arial" w:hAnsi="Arial"/>
                <w:sz w:val="16"/>
                <w:szCs w:val="16"/>
                <w:b w:val="1"/>
                <w:bCs w:val="1"/>
                <w:color w:val="auto"/>
                <w:w w:val="85"/>
              </w:rPr>
              <w:t>Benefits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0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75"/>
        </w:trPr>
        <w:tc>
          <w:tcPr>
            <w:tcW w:w="4700" w:type="dxa"/>
            <w:vAlign w:val="bottom"/>
          </w:tcPr>
          <w:p>
            <w:pPr>
              <w:spacing w:after="0"/>
              <w:rPr>
                <w:sz w:val="20"/>
                <w:szCs w:val="20"/>
                <w:color w:val="auto"/>
              </w:rPr>
            </w:pPr>
            <w:r>
              <w:rPr>
                <w:rFonts w:ascii="Arial" w:cs="Arial" w:eastAsia="Arial" w:hAnsi="Arial"/>
                <w:sz w:val="20"/>
                <w:szCs w:val="20"/>
                <w:color w:val="auto"/>
                <w:w w:val="91"/>
              </w:rPr>
              <w:t xml:space="preserve">Other current liabilities </w:t>
            </w:r>
            <w:r>
              <w:rPr>
                <w:rFonts w:ascii="Arial" w:cs="Arial" w:eastAsia="Arial" w:hAnsi="Arial"/>
                <w:sz w:val="20"/>
                <w:szCs w:val="20"/>
                <w:color w:val="B4B4B4"/>
                <w:w w:val="91"/>
              </w:rPr>
              <w:t>. . . . . . . . . . . . . . . . . . . . . . . . . . . .</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360" w:type="dxa"/>
            <w:vAlign w:val="bottom"/>
            <w:gridSpan w:val="3"/>
          </w:tcPr>
          <w:p>
            <w:pPr>
              <w:ind w:left="680"/>
              <w:spacing w:after="0"/>
              <w:rPr>
                <w:sz w:val="20"/>
                <w:szCs w:val="20"/>
                <w:color w:val="auto"/>
              </w:rPr>
            </w:pPr>
            <w:r>
              <w:rPr>
                <w:rFonts w:ascii="Arial" w:cs="Arial" w:eastAsia="Arial" w:hAnsi="Arial"/>
                <w:sz w:val="20"/>
                <w:szCs w:val="20"/>
                <w:color w:val="auto"/>
              </w:rPr>
              <w:t>—  $</w:t>
            </w:r>
          </w:p>
        </w:tc>
        <w:tc>
          <w:tcPr>
            <w:tcW w:w="1360" w:type="dxa"/>
            <w:vAlign w:val="bottom"/>
            <w:gridSpan w:val="3"/>
          </w:tcPr>
          <w:p>
            <w:pPr>
              <w:ind w:left="700"/>
              <w:spacing w:after="0"/>
              <w:rPr>
                <w:sz w:val="20"/>
                <w:szCs w:val="20"/>
                <w:color w:val="auto"/>
              </w:rPr>
            </w:pPr>
            <w:r>
              <w:rPr>
                <w:rFonts w:ascii="Arial" w:cs="Arial" w:eastAsia="Arial" w:hAnsi="Arial"/>
                <w:sz w:val="20"/>
                <w:szCs w:val="20"/>
                <w:color w:val="auto"/>
              </w:rPr>
              <w:t>—  $</w:t>
            </w:r>
          </w:p>
        </w:tc>
        <w:tc>
          <w:tcPr>
            <w:tcW w:w="980" w:type="dxa"/>
            <w:vAlign w:val="bottom"/>
          </w:tcPr>
          <w:p>
            <w:pPr>
              <w:jc w:val="right"/>
              <w:spacing w:after="0"/>
              <w:rPr>
                <w:sz w:val="20"/>
                <w:szCs w:val="20"/>
                <w:color w:val="auto"/>
              </w:rPr>
            </w:pPr>
            <w:r>
              <w:rPr>
                <w:rFonts w:ascii="Arial" w:cs="Arial" w:eastAsia="Arial" w:hAnsi="Arial"/>
                <w:sz w:val="20"/>
                <w:szCs w:val="20"/>
                <w:color w:val="auto"/>
              </w:rPr>
              <w:t>5</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0"/>
                <w:szCs w:val="20"/>
                <w:color w:val="auto"/>
              </w:rPr>
            </w:pPr>
            <w:r>
              <w:rPr>
                <w:rFonts w:ascii="Arial" w:cs="Arial" w:eastAsia="Arial" w:hAnsi="Arial"/>
                <w:sz w:val="20"/>
                <w:szCs w:val="20"/>
                <w:color w:val="auto"/>
                <w:w w:val="92"/>
              </w:rPr>
              <w:t xml:space="preserve">Other non-current liabilities </w:t>
            </w:r>
            <w:r>
              <w:rPr>
                <w:rFonts w:ascii="Arial" w:cs="Arial" w:eastAsia="Arial" w:hAnsi="Arial"/>
                <w:sz w:val="20"/>
                <w:szCs w:val="20"/>
                <w:color w:val="B4B4B4"/>
                <w:w w:val="92"/>
              </w:rPr>
              <w:t>. . . . . . . . . . . . . . . . . . . . . . . .</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134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172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-381635</wp:posOffset>
            </wp:positionV>
            <wp:extent cx="6466205" cy="402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38">
                      <a:extLst>
                        <a:ext uri="{28A0092B-C50C-407E-A947-70E740481C1C}"/>
                      </a:extLst>
                    </a:blip>
                    <a:srcRect/>
                    <a:stretch>
                      <a:fillRect/>
                    </a:stretch>
                  </pic:blipFill>
                  <pic:spPr bwMode="auto">
                    <a:xfrm>
                      <a:off x="0" y="0"/>
                      <a:ext cx="6466205" cy="402590"/>
                    </a:xfrm>
                    <a:prstGeom prst="rect">
                      <a:avLst/>
                    </a:prstGeom>
                    <a:noFill/>
                  </pic:spPr>
                </pic:pic>
              </a:graphicData>
            </a:graphic>
          </wp:anchor>
        </w:drawing>
      </w:r>
    </w:p>
    <w:p>
      <w:pPr>
        <w:spacing w:after="0" w:line="220" w:lineRule="exact"/>
        <w:rPr>
          <w:sz w:val="20"/>
          <w:szCs w:val="20"/>
          <w:color w:val="auto"/>
        </w:rPr>
      </w:pPr>
    </w:p>
    <w:p>
      <w:pPr>
        <w:ind w:right="120" w:firstLine="445"/>
        <w:spacing w:after="0" w:line="277" w:lineRule="auto"/>
        <w:rPr>
          <w:sz w:val="20"/>
          <w:szCs w:val="20"/>
          <w:color w:val="auto"/>
        </w:rPr>
      </w:pPr>
      <w:r>
        <w:rPr>
          <w:rFonts w:ascii="Arial" w:cs="Arial" w:eastAsia="Arial" w:hAnsi="Arial"/>
          <w:sz w:val="20"/>
          <w:szCs w:val="20"/>
          <w:color w:val="auto"/>
        </w:rPr>
        <w:t>Amounts recognized in NRG's accumulated OCI that have not yet been recognized as components of net periodic benefit cost were as follows:</w:t>
      </w:r>
    </w:p>
    <w:p>
      <w:pPr>
        <w:spacing w:after="0" w:line="3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6"/>
                <w:szCs w:val="16"/>
                <w:b w:val="1"/>
                <w:bCs w:val="1"/>
                <w:color w:val="auto"/>
              </w:rPr>
              <w:t>As of December 31,</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gridSpan w:val="4"/>
            <w:vMerge w:val="restart"/>
          </w:tcPr>
          <w:p>
            <w:pPr>
              <w:jc w:val="right"/>
              <w:ind w:right="689"/>
              <w:spacing w:after="0"/>
              <w:rPr>
                <w:sz w:val="20"/>
                <w:szCs w:val="20"/>
                <w:color w:val="auto"/>
              </w:rPr>
            </w:pPr>
            <w:r>
              <w:rPr>
                <w:rFonts w:ascii="Arial" w:cs="Arial" w:eastAsia="Arial" w:hAnsi="Arial"/>
                <w:sz w:val="16"/>
                <w:szCs w:val="16"/>
                <w:b w:val="1"/>
                <w:bCs w:val="1"/>
                <w:color w:val="auto"/>
              </w:rPr>
              <w:t>Pension Benefits</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gridSpan w:val="4"/>
          </w:tcPr>
          <w:p>
            <w:pPr>
              <w:jc w:val="right"/>
              <w:ind w:right="506"/>
              <w:spacing w:after="0" w:line="169" w:lineRule="exact"/>
              <w:rPr>
                <w:sz w:val="20"/>
                <w:szCs w:val="20"/>
                <w:color w:val="auto"/>
              </w:rPr>
            </w:pPr>
            <w:r>
              <w:rPr>
                <w:rFonts w:ascii="Arial" w:cs="Arial" w:eastAsia="Arial" w:hAnsi="Arial"/>
                <w:sz w:val="16"/>
                <w:szCs w:val="16"/>
                <w:b w:val="1"/>
                <w:bCs w:val="1"/>
                <w:color w:val="auto"/>
              </w:rPr>
              <w:t>Other Postretirement</w:t>
            </w:r>
          </w:p>
        </w:tc>
        <w:tc>
          <w:tcPr>
            <w:tcW w:w="0" w:type="dxa"/>
            <w:vAlign w:val="bottom"/>
          </w:tcPr>
          <w:p>
            <w:pPr>
              <w:spacing w:after="0"/>
              <w:rPr>
                <w:sz w:val="1"/>
                <w:szCs w:val="1"/>
                <w:color w:val="auto"/>
              </w:rPr>
            </w:pPr>
          </w:p>
        </w:tc>
      </w:tr>
      <w:tr>
        <w:trPr>
          <w:trHeight w:val="212"/>
        </w:trPr>
        <w:tc>
          <w:tcPr>
            <w:tcW w:w="4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Benefits</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0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60"/>
        </w:trPr>
        <w:tc>
          <w:tcPr>
            <w:tcW w:w="4700" w:type="dxa"/>
            <w:vAlign w:val="bottom"/>
          </w:tcPr>
          <w:p>
            <w:pPr>
              <w:spacing w:after="0"/>
              <w:rPr>
                <w:sz w:val="20"/>
                <w:szCs w:val="20"/>
                <w:color w:val="auto"/>
              </w:rPr>
            </w:pPr>
            <w:r>
              <w:rPr>
                <w:rFonts w:ascii="Arial" w:cs="Arial" w:eastAsia="Arial" w:hAnsi="Arial"/>
                <w:sz w:val="20"/>
                <w:szCs w:val="20"/>
                <w:color w:val="auto"/>
                <w:w w:val="90"/>
              </w:rPr>
              <w:t xml:space="preserve">Net loss/(gain) </w:t>
            </w:r>
            <w:r>
              <w:rPr>
                <w:rFonts w:ascii="Arial" w:cs="Arial" w:eastAsia="Arial" w:hAnsi="Arial"/>
                <w:sz w:val="20"/>
                <w:szCs w:val="20"/>
                <w:color w:val="B4B4B4"/>
                <w:w w:val="90"/>
              </w:rPr>
              <w:t>. . . . . . . . . . . . . . . . . . . . . . . . . . . . . . . . . . .</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73</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73</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(14)</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84"/>
        </w:trPr>
        <w:tc>
          <w:tcPr>
            <w:tcW w:w="4700" w:type="dxa"/>
            <w:vAlign w:val="bottom"/>
          </w:tcPr>
          <w:p>
            <w:pPr>
              <w:spacing w:after="0"/>
              <w:rPr>
                <w:sz w:val="20"/>
                <w:szCs w:val="20"/>
                <w:color w:val="auto"/>
              </w:rPr>
            </w:pPr>
            <w:r>
              <w:rPr>
                <w:rFonts w:ascii="Arial" w:cs="Arial" w:eastAsia="Arial" w:hAnsi="Arial"/>
                <w:sz w:val="20"/>
                <w:szCs w:val="20"/>
                <w:color w:val="auto"/>
                <w:w w:val="91"/>
              </w:rPr>
              <w:t xml:space="preserve">Prior service cost/(credit) </w:t>
            </w:r>
            <w:r>
              <w:rPr>
                <w:rFonts w:ascii="Arial" w:cs="Arial" w:eastAsia="Arial" w:hAnsi="Arial"/>
                <w:sz w:val="20"/>
                <w:szCs w:val="20"/>
                <w:color w:val="B4B4B4"/>
                <w:w w:val="91"/>
              </w:rPr>
              <w:t>. . . . . . . . . . . . . . . . . . . . . . . . . .</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0"/>
                <w:szCs w:val="20"/>
                <w:color w:val="auto"/>
              </w:rPr>
            </w:pPr>
            <w:r>
              <w:rPr>
                <w:rFonts w:ascii="Arial" w:cs="Arial" w:eastAsia="Arial" w:hAnsi="Arial"/>
                <w:sz w:val="20"/>
                <w:szCs w:val="20"/>
                <w:color w:val="auto"/>
                <w:w w:val="90"/>
              </w:rPr>
              <w:t xml:space="preserve">Total accumulated OCI </w:t>
            </w:r>
            <w:r>
              <w:rPr>
                <w:rFonts w:ascii="Arial" w:cs="Arial" w:eastAsia="Arial" w:hAnsi="Arial"/>
                <w:sz w:val="20"/>
                <w:szCs w:val="20"/>
                <w:color w:val="B4B4B4"/>
                <w:w w:val="90"/>
              </w:rPr>
              <w:t>. . . . . . . . . . . . . . . . . . . . . . . . . . . .</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73</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73</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(15)</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-568325</wp:posOffset>
            </wp:positionV>
            <wp:extent cx="6466205" cy="5753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39">
                      <a:extLst>
                        <a:ext uri="{28A0092B-C50C-407E-A947-70E740481C1C}"/>
                      </a:extLst>
                    </a:blip>
                    <a:srcRect/>
                    <a:stretch>
                      <a:fillRect/>
                    </a:stretch>
                  </pic:blipFill>
                  <pic:spPr bwMode="auto">
                    <a:xfrm>
                      <a:off x="0" y="0"/>
                      <a:ext cx="6466205" cy="575310"/>
                    </a:xfrm>
                    <a:prstGeom prst="rect">
                      <a:avLst/>
                    </a:prstGeom>
                    <a:noFill/>
                  </pic:spPr>
                </pic:pic>
              </a:graphicData>
            </a:graphic>
          </wp:anchor>
        </w:drawing>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ectPr>
          <w:pgSz w:w="11880" w:h="15480" w:orient="portrait"/>
          <w:cols w:equalWidth="0" w:num="1">
            <w:col w:w="10160"/>
          </w:cols>
          <w:pgMar w:left="860" w:top="512" w:right="860" w:bottom="0" w:gutter="0" w:footer="0" w:header="0"/>
          <w:type w:val="continuous"/>
        </w:sectPr>
      </w:pPr>
    </w:p>
    <w:bookmarkStart w:id="141" w:name="page142"/>
    <w:bookmarkEnd w:id="141"/>
    <w:p>
      <w:pPr>
        <w:ind w:left="440"/>
        <w:spacing w:after="0"/>
        <w:rPr>
          <w:sz w:val="20"/>
          <w:szCs w:val="20"/>
          <w:color w:val="auto"/>
        </w:rPr>
      </w:pPr>
      <w:r>
        <w:rPr>
          <w:rFonts w:ascii="Arial" w:cs="Arial" w:eastAsia="Arial" w:hAnsi="Arial"/>
          <w:sz w:val="20"/>
          <w:szCs w:val="20"/>
          <w:color w:val="auto"/>
        </w:rPr>
        <w:t>Other changes in plan assets and benefit obligations recognized in OCI were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46"/>
              <w:spacing w:after="0"/>
              <w:rPr>
                <w:sz w:val="20"/>
                <w:szCs w:val="20"/>
                <w:color w:val="auto"/>
              </w:rPr>
            </w:pPr>
            <w:r>
              <w:rPr>
                <w:rFonts w:ascii="Arial" w:cs="Arial" w:eastAsia="Arial" w:hAnsi="Arial"/>
                <w:sz w:val="16"/>
                <w:szCs w:val="16"/>
                <w:b w:val="1"/>
                <w:bCs w:val="1"/>
                <w:color w:val="auto"/>
                <w:w w:val="96"/>
              </w:rPr>
              <w:t>Year Ended December 31,</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gridSpan w:val="4"/>
            <w:vMerge w:val="restart"/>
          </w:tcPr>
          <w:p>
            <w:pPr>
              <w:jc w:val="right"/>
              <w:ind w:right="685"/>
              <w:spacing w:after="0"/>
              <w:rPr>
                <w:sz w:val="20"/>
                <w:szCs w:val="20"/>
                <w:color w:val="auto"/>
              </w:rPr>
            </w:pPr>
            <w:r>
              <w:rPr>
                <w:rFonts w:ascii="Arial" w:cs="Arial" w:eastAsia="Arial" w:hAnsi="Arial"/>
                <w:sz w:val="16"/>
                <w:szCs w:val="16"/>
                <w:b w:val="1"/>
                <w:bCs w:val="1"/>
                <w:color w:val="auto"/>
              </w:rPr>
              <w:t>Pension Benefits</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gridSpan w:val="4"/>
          </w:tcPr>
          <w:p>
            <w:pPr>
              <w:jc w:val="right"/>
              <w:ind w:right="503"/>
              <w:spacing w:after="0" w:line="169" w:lineRule="exact"/>
              <w:rPr>
                <w:sz w:val="20"/>
                <w:szCs w:val="20"/>
                <w:color w:val="auto"/>
              </w:rPr>
            </w:pPr>
            <w:r>
              <w:rPr>
                <w:rFonts w:ascii="Arial" w:cs="Arial" w:eastAsia="Arial" w:hAnsi="Arial"/>
                <w:sz w:val="16"/>
                <w:szCs w:val="16"/>
                <w:b w:val="1"/>
                <w:bCs w:val="1"/>
                <w:color w:val="auto"/>
              </w:rPr>
              <w:t>Other Postretirement</w:t>
            </w:r>
          </w:p>
        </w:tc>
        <w:tc>
          <w:tcPr>
            <w:tcW w:w="0" w:type="dxa"/>
            <w:vAlign w:val="bottom"/>
          </w:tcPr>
          <w:p>
            <w:pPr>
              <w:spacing w:after="0"/>
              <w:rPr>
                <w:sz w:val="1"/>
                <w:szCs w:val="1"/>
                <w:color w:val="auto"/>
              </w:rPr>
            </w:pPr>
          </w:p>
        </w:tc>
      </w:tr>
      <w:tr>
        <w:trPr>
          <w:trHeight w:val="212"/>
        </w:trPr>
        <w:tc>
          <w:tcPr>
            <w:tcW w:w="4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Benefits</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0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75"/>
        </w:trPr>
        <w:tc>
          <w:tcPr>
            <w:tcW w:w="4700" w:type="dxa"/>
            <w:vAlign w:val="bottom"/>
          </w:tcPr>
          <w:p>
            <w:pPr>
              <w:spacing w:after="0"/>
              <w:rPr>
                <w:sz w:val="20"/>
                <w:szCs w:val="20"/>
                <w:color w:val="auto"/>
              </w:rPr>
            </w:pPr>
            <w:r>
              <w:rPr>
                <w:rFonts w:ascii="Arial" w:cs="Arial" w:eastAsia="Arial" w:hAnsi="Arial"/>
                <w:sz w:val="20"/>
                <w:szCs w:val="20"/>
                <w:color w:val="auto"/>
                <w:w w:val="91"/>
              </w:rPr>
              <w:t xml:space="preserve">Net actuarial (gain)/loss </w:t>
            </w:r>
            <w:r>
              <w:rPr>
                <w:rFonts w:ascii="Arial" w:cs="Arial" w:eastAsia="Arial" w:hAnsi="Arial"/>
                <w:sz w:val="20"/>
                <w:szCs w:val="20"/>
                <w:color w:val="B4B4B4"/>
                <w:w w:val="91"/>
              </w:rPr>
              <w:t>. . . . . . . . . . . . . . . . . . . . . . . . . . .</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(31)</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0"/>
                <w:szCs w:val="20"/>
                <w:color w:val="auto"/>
              </w:rPr>
            </w:pPr>
            <w:r>
              <w:rPr>
                <w:rFonts w:ascii="Arial" w:cs="Arial" w:eastAsia="Arial" w:hAnsi="Arial"/>
                <w:sz w:val="20"/>
                <w:szCs w:val="20"/>
                <w:color w:val="auto"/>
                <w:w w:val="91"/>
              </w:rPr>
              <w:t xml:space="preserve">Amortization of net actuarial loss </w:t>
            </w:r>
            <w:r>
              <w:rPr>
                <w:rFonts w:ascii="Arial" w:cs="Arial" w:eastAsia="Arial" w:hAnsi="Arial"/>
                <w:sz w:val="20"/>
                <w:szCs w:val="20"/>
                <w:color w:val="B4B4B4"/>
                <w:w w:val="91"/>
              </w:rPr>
              <w:t>. . . . . . . . . . . . . . . . . . . .</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0"/>
                <w:szCs w:val="20"/>
                <w:color w:val="auto"/>
              </w:rPr>
            </w:pPr>
            <w:r>
              <w:rPr>
                <w:rFonts w:ascii="Arial" w:cs="Arial" w:eastAsia="Arial" w:hAnsi="Arial"/>
                <w:sz w:val="20"/>
                <w:szCs w:val="20"/>
                <w:color w:val="auto"/>
                <w:w w:val="90"/>
              </w:rPr>
              <w:t xml:space="preserve">Settlement (gain)/loss </w:t>
            </w:r>
            <w:r>
              <w:rPr>
                <w:rFonts w:ascii="Arial" w:cs="Arial" w:eastAsia="Arial" w:hAnsi="Arial"/>
                <w:sz w:val="20"/>
                <w:szCs w:val="20"/>
                <w:color w:val="B4B4B4"/>
                <w:w w:val="90"/>
              </w:rPr>
              <w:t>. . . . . . . . . . . . . . . . . . . . . . . . . . . . .</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0"/>
                <w:szCs w:val="20"/>
                <w:color w:val="auto"/>
              </w:rPr>
            </w:pPr>
            <w:r>
              <w:rPr>
                <w:rFonts w:ascii="Arial" w:cs="Arial" w:eastAsia="Arial" w:hAnsi="Arial"/>
                <w:sz w:val="20"/>
                <w:szCs w:val="20"/>
                <w:color w:val="auto"/>
                <w:w w:val="92"/>
              </w:rPr>
              <w:t xml:space="preserve">Amortization of prior service cost  </w:t>
            </w:r>
            <w:r>
              <w:rPr>
                <w:rFonts w:ascii="Arial" w:cs="Arial" w:eastAsia="Arial" w:hAnsi="Arial"/>
                <w:sz w:val="20"/>
                <w:szCs w:val="20"/>
                <w:color w:val="B4B4B4"/>
                <w:w w:val="92"/>
              </w:rPr>
              <w:t>. . . . . . . . . . . . . . . . . . .</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99"/>
        </w:trPr>
        <w:tc>
          <w:tcPr>
            <w:tcW w:w="4700" w:type="dxa"/>
            <w:vAlign w:val="bottom"/>
          </w:tcPr>
          <w:p>
            <w:pPr>
              <w:spacing w:after="0"/>
              <w:rPr>
                <w:sz w:val="20"/>
                <w:szCs w:val="20"/>
                <w:color w:val="auto"/>
              </w:rPr>
            </w:pPr>
            <w:r>
              <w:rPr>
                <w:rFonts w:ascii="Arial" w:cs="Arial" w:eastAsia="Arial" w:hAnsi="Arial"/>
                <w:sz w:val="20"/>
                <w:szCs w:val="20"/>
                <w:color w:val="auto"/>
                <w:w w:val="92"/>
              </w:rPr>
              <w:t xml:space="preserve">Effect of settlement/curtailment </w:t>
            </w:r>
            <w:r>
              <w:rPr>
                <w:rFonts w:ascii="Arial" w:cs="Arial" w:eastAsia="Arial" w:hAnsi="Arial"/>
                <w:sz w:val="20"/>
                <w:szCs w:val="20"/>
                <w:color w:val="B4B4B4"/>
                <w:w w:val="92"/>
              </w:rPr>
              <w:t>. . . . . . . . . . . . . . . . . . . . .</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77"/>
        </w:trPr>
        <w:tc>
          <w:tcPr>
            <w:tcW w:w="4700" w:type="dxa"/>
            <w:vAlign w:val="bottom"/>
          </w:tcPr>
          <w:p>
            <w:pPr>
              <w:spacing w:after="0"/>
              <w:rPr>
                <w:sz w:val="20"/>
                <w:szCs w:val="20"/>
                <w:color w:val="auto"/>
              </w:rPr>
            </w:pPr>
            <w:r>
              <w:rPr>
                <w:rFonts w:ascii="Arial" w:cs="Arial" w:eastAsia="Arial" w:hAnsi="Arial"/>
                <w:sz w:val="20"/>
                <w:szCs w:val="20"/>
                <w:color w:val="auto"/>
                <w:w w:val="91"/>
              </w:rPr>
              <w:t xml:space="preserve">Total recognized in OCI </w:t>
            </w:r>
            <w:r>
              <w:rPr>
                <w:rFonts w:ascii="Arial" w:cs="Arial" w:eastAsia="Arial" w:hAnsi="Arial"/>
                <w:sz w:val="20"/>
                <w:szCs w:val="20"/>
                <w:color w:val="B4B4B4"/>
                <w:w w:val="91"/>
              </w:rPr>
              <w:t>. . . . . . . . . . . . . . . . . . . . . . . . . . .</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(38)</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77"/>
        </w:trPr>
        <w:tc>
          <w:tcPr>
            <w:tcW w:w="4700" w:type="dxa"/>
            <w:vAlign w:val="bottom"/>
          </w:tcPr>
          <w:p>
            <w:pPr>
              <w:spacing w:after="0"/>
              <w:rPr>
                <w:sz w:val="20"/>
                <w:szCs w:val="20"/>
                <w:color w:val="auto"/>
              </w:rPr>
            </w:pPr>
            <w:r>
              <w:rPr>
                <w:rFonts w:ascii="Arial" w:cs="Arial" w:eastAsia="Arial" w:hAnsi="Arial"/>
                <w:sz w:val="20"/>
                <w:szCs w:val="20"/>
                <w:color w:val="auto"/>
                <w:w w:val="92"/>
              </w:rPr>
              <w:t xml:space="preserve">Net periodic benefit cost/(credit) </w:t>
            </w:r>
            <w:r>
              <w:rPr>
                <w:rFonts w:ascii="Arial" w:cs="Arial" w:eastAsia="Arial" w:hAnsi="Arial"/>
                <w:sz w:val="20"/>
                <w:szCs w:val="20"/>
                <w:color w:val="B4B4B4"/>
                <w:w w:val="92"/>
              </w:rPr>
              <w:t>. . . . . . . . . . . . . . . . . . . .</w:t>
            </w:r>
          </w:p>
        </w:tc>
        <w:tc>
          <w:tcPr>
            <w:tcW w:w="3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w:t>
            </w:r>
          </w:p>
        </w:tc>
        <w:tc>
          <w:tcPr>
            <w:tcW w:w="6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10"/>
        </w:trPr>
        <w:tc>
          <w:tcPr>
            <w:tcW w:w="4700" w:type="dxa"/>
            <w:vAlign w:val="bottom"/>
          </w:tcPr>
          <w:p>
            <w:pPr>
              <w:spacing w:after="0" w:line="209" w:lineRule="exact"/>
              <w:rPr>
                <w:sz w:val="20"/>
                <w:szCs w:val="20"/>
                <w:color w:val="auto"/>
              </w:rPr>
            </w:pPr>
            <w:r>
              <w:rPr>
                <w:rFonts w:ascii="Arial" w:cs="Arial" w:eastAsia="Arial" w:hAnsi="Arial"/>
                <w:sz w:val="20"/>
                <w:szCs w:val="20"/>
                <w:color w:val="auto"/>
                <w:w w:val="95"/>
              </w:rPr>
              <w:t>Net recognized in net periodic pension (credit)/cost and</w:t>
            </w:r>
          </w:p>
        </w:tc>
        <w:tc>
          <w:tcPr>
            <w:tcW w:w="320" w:type="dxa"/>
            <w:vAlign w:val="bottom"/>
            <w:vMerge w:val="restart"/>
          </w:tcPr>
          <w:p>
            <w:pPr>
              <w:jc w:val="right"/>
              <w:ind w:right="81"/>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(17)</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20"/>
                <w:szCs w:val="20"/>
                <w:color w:val="auto"/>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40"/>
        </w:trPr>
        <w:tc>
          <w:tcPr>
            <w:tcW w:w="4700" w:type="dxa"/>
            <w:vAlign w:val="bottom"/>
          </w:tcPr>
          <w:p>
            <w:pPr>
              <w:ind w:left="180"/>
              <w:spacing w:after="0"/>
              <w:rPr>
                <w:sz w:val="20"/>
                <w:szCs w:val="20"/>
                <w:color w:val="auto"/>
              </w:rPr>
            </w:pPr>
            <w:r>
              <w:rPr>
                <w:rFonts w:ascii="Arial" w:cs="Arial" w:eastAsia="Arial" w:hAnsi="Arial"/>
                <w:sz w:val="20"/>
                <w:szCs w:val="20"/>
                <w:color w:val="auto"/>
                <w:w w:val="91"/>
              </w:rPr>
              <w:t xml:space="preserve">OCI </w:t>
            </w:r>
            <w:r>
              <w:rPr>
                <w:rFonts w:ascii="Arial" w:cs="Arial" w:eastAsia="Arial" w:hAnsi="Arial"/>
                <w:sz w:val="20"/>
                <w:szCs w:val="20"/>
                <w:color w:val="B4B4B4"/>
                <w:w w:val="91"/>
              </w:rPr>
              <w:t>. . . . . . . . . . . . . . . . . . . . . . . . . . . . . . . . . . . . . . . . .</w:t>
            </w:r>
          </w:p>
        </w:tc>
        <w:tc>
          <w:tcPr>
            <w:tcW w:w="32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-1662430</wp:posOffset>
            </wp:positionV>
            <wp:extent cx="6466205" cy="1669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40">
                      <a:extLst>
                        <a:ext uri="{28A0092B-C50C-407E-A947-70E740481C1C}"/>
                      </a:extLst>
                    </a:blip>
                    <a:srcRect/>
                    <a:stretch>
                      <a:fillRect/>
                    </a:stretch>
                  </pic:blipFill>
                  <pic:spPr bwMode="auto">
                    <a:xfrm>
                      <a:off x="0" y="0"/>
                      <a:ext cx="6466205" cy="1669415"/>
                    </a:xfrm>
                    <a:prstGeom prst="rect">
                      <a:avLst/>
                    </a:prstGeom>
                    <a:noFill/>
                  </pic:spPr>
                </pic:pic>
              </a:graphicData>
            </a:graphic>
          </wp:anchor>
        </w:drawing>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presents the balances of significant components of NRG's pension plan:</w:t>
      </w: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center"/>
              <w:ind w:right="266"/>
              <w:spacing w:after="0"/>
              <w:rPr>
                <w:sz w:val="20"/>
                <w:szCs w:val="20"/>
                <w:color w:val="auto"/>
              </w:rPr>
            </w:pPr>
            <w:r>
              <w:rPr>
                <w:rFonts w:ascii="Arial" w:cs="Arial" w:eastAsia="Arial" w:hAnsi="Arial"/>
                <w:sz w:val="16"/>
                <w:szCs w:val="16"/>
                <w:b w:val="1"/>
                <w:bCs w:val="1"/>
                <w:color w:val="auto"/>
                <w:w w:val="87"/>
              </w:rPr>
              <w:t>As of December 31,</w:t>
            </w:r>
          </w:p>
        </w:tc>
      </w:tr>
      <w:tr>
        <w:trPr>
          <w:trHeight w:val="218"/>
        </w:trPr>
        <w:tc>
          <w:tcPr>
            <w:tcW w:w="7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left="471"/>
              <w:spacing w:after="0"/>
              <w:rPr>
                <w:sz w:val="20"/>
                <w:szCs w:val="20"/>
                <w:color w:val="auto"/>
              </w:rPr>
            </w:pPr>
            <w:r>
              <w:rPr>
                <w:rFonts w:ascii="Arial" w:cs="Arial" w:eastAsia="Arial" w:hAnsi="Arial"/>
                <w:sz w:val="16"/>
                <w:szCs w:val="16"/>
                <w:b w:val="1"/>
                <w:bCs w:val="1"/>
                <w:color w:val="auto"/>
                <w:w w:val="84"/>
              </w:rPr>
              <w:t>Pension Benefits</w:t>
            </w:r>
          </w:p>
        </w:tc>
        <w:tc>
          <w:tcPr>
            <w:tcW w:w="920" w:type="dxa"/>
            <w:vAlign w:val="bottom"/>
            <w:tcBorders>
              <w:bottom w:val="single" w:sz="8" w:color="auto"/>
            </w:tcBorders>
          </w:tcPr>
          <w:p>
            <w:pPr>
              <w:spacing w:after="0"/>
              <w:rPr>
                <w:sz w:val="18"/>
                <w:szCs w:val="18"/>
                <w:color w:val="auto"/>
              </w:rPr>
            </w:pPr>
          </w:p>
        </w:tc>
      </w:tr>
      <w:tr>
        <w:trPr>
          <w:trHeight w:val="218"/>
        </w:trPr>
        <w:tc>
          <w:tcPr>
            <w:tcW w:w="702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86"/>
              <w:spacing w:after="0"/>
              <w:rPr>
                <w:sz w:val="20"/>
                <w:szCs w:val="20"/>
                <w:color w:val="auto"/>
              </w:rPr>
            </w:pPr>
            <w:r>
              <w:rPr>
                <w:rFonts w:ascii="Arial" w:cs="Arial" w:eastAsia="Arial" w:hAnsi="Arial"/>
                <w:sz w:val="16"/>
                <w:szCs w:val="16"/>
                <w:b w:val="1"/>
                <w:bCs w:val="1"/>
                <w:color w:val="auto"/>
                <w:w w:val="89"/>
              </w:rPr>
              <w:t>2023</w:t>
            </w:r>
          </w:p>
        </w:tc>
      </w:tr>
      <w:tr>
        <w:trPr>
          <w:trHeight w:val="275"/>
        </w:trPr>
        <w:tc>
          <w:tcPr>
            <w:tcW w:w="7020" w:type="dxa"/>
            <w:vAlign w:val="bottom"/>
          </w:tcPr>
          <w:p>
            <w:pPr>
              <w:spacing w:after="0"/>
              <w:rPr>
                <w:sz w:val="20"/>
                <w:szCs w:val="20"/>
                <w:color w:val="auto"/>
              </w:rPr>
            </w:pPr>
            <w:r>
              <w:rPr>
                <w:rFonts w:ascii="Arial" w:cs="Arial" w:eastAsia="Arial" w:hAnsi="Arial"/>
                <w:sz w:val="20"/>
                <w:szCs w:val="20"/>
                <w:color w:val="auto"/>
                <w:w w:val="90"/>
              </w:rPr>
              <w:t xml:space="preserve">Projected benefit obligation </w:t>
            </w:r>
            <w:r>
              <w:rPr>
                <w:rFonts w:ascii="Arial" w:cs="Arial" w:eastAsia="Arial" w:hAnsi="Arial"/>
                <w:sz w:val="20"/>
                <w:szCs w:val="20"/>
                <w:color w:val="B4B4B4"/>
                <w:w w:val="90"/>
              </w:rPr>
              <w:t>. . . . . . . . . . . . . . . . . . . . . . . . . . . . . . . . . . . . . . . . . . . . . . . .</w:t>
            </w:r>
          </w:p>
        </w:tc>
        <w:tc>
          <w:tcPr>
            <w:tcW w:w="3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901</w:t>
            </w:r>
          </w:p>
        </w:tc>
        <w:tc>
          <w:tcPr>
            <w:tcW w:w="64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1,023</w:t>
            </w:r>
          </w:p>
        </w:tc>
      </w:tr>
      <w:tr>
        <w:trPr>
          <w:trHeight w:val="297"/>
        </w:trPr>
        <w:tc>
          <w:tcPr>
            <w:tcW w:w="7020" w:type="dxa"/>
            <w:vAlign w:val="bottom"/>
          </w:tcPr>
          <w:p>
            <w:pPr>
              <w:spacing w:after="0"/>
              <w:rPr>
                <w:sz w:val="20"/>
                <w:szCs w:val="20"/>
                <w:color w:val="auto"/>
              </w:rPr>
            </w:pPr>
            <w:r>
              <w:rPr>
                <w:rFonts w:ascii="Arial" w:cs="Arial" w:eastAsia="Arial" w:hAnsi="Arial"/>
                <w:sz w:val="20"/>
                <w:szCs w:val="20"/>
                <w:color w:val="auto"/>
                <w:w w:val="90"/>
              </w:rPr>
              <w:t xml:space="preserve">Accumulated benefit obligation </w:t>
            </w:r>
            <w:r>
              <w:rPr>
                <w:rFonts w:ascii="Arial" w:cs="Arial" w:eastAsia="Arial" w:hAnsi="Arial"/>
                <w:sz w:val="20"/>
                <w:szCs w:val="20"/>
                <w:color w:val="B4B4B4"/>
                <w:w w:val="90"/>
              </w:rPr>
              <w:t>. . . . . . . . . . . . . . . . . . . . . . . . . . . . . . . . . . . . . . . . . . . . .</w:t>
            </w:r>
          </w:p>
        </w:tc>
        <w:tc>
          <w:tcPr>
            <w:tcW w:w="3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895</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1,015</w:t>
            </w:r>
          </w:p>
        </w:tc>
      </w:tr>
      <w:tr>
        <w:trPr>
          <w:trHeight w:val="297"/>
        </w:trPr>
        <w:tc>
          <w:tcPr>
            <w:tcW w:w="7020" w:type="dxa"/>
            <w:vAlign w:val="bottom"/>
          </w:tcPr>
          <w:p>
            <w:pPr>
              <w:spacing w:after="0"/>
              <w:rPr>
                <w:sz w:val="20"/>
                <w:szCs w:val="20"/>
                <w:color w:val="auto"/>
              </w:rPr>
            </w:pPr>
            <w:r>
              <w:rPr>
                <w:rFonts w:ascii="Arial" w:cs="Arial" w:eastAsia="Arial" w:hAnsi="Arial"/>
                <w:sz w:val="20"/>
                <w:szCs w:val="20"/>
                <w:color w:val="auto"/>
                <w:w w:val="89"/>
              </w:rPr>
              <w:t xml:space="preserve">Fair value of plan assets </w:t>
            </w:r>
            <w:r>
              <w:rPr>
                <w:rFonts w:ascii="Arial" w:cs="Arial" w:eastAsia="Arial" w:hAnsi="Arial"/>
                <w:sz w:val="20"/>
                <w:szCs w:val="20"/>
                <w:color w:val="B4B4B4"/>
                <w:w w:val="89"/>
              </w:rPr>
              <w:t>. . . . . . . . . . . . . . . . . . . . . . . . . . . . . . . . . . . . . . . . . . . . . . . . . . .</w:t>
            </w:r>
          </w:p>
        </w:tc>
        <w:tc>
          <w:tcPr>
            <w:tcW w:w="3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767</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-570230</wp:posOffset>
            </wp:positionV>
            <wp:extent cx="6456680" cy="5911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41">
                      <a:extLst>
                        <a:ext uri="{28A0092B-C50C-407E-A947-70E740481C1C}"/>
                      </a:extLst>
                    </a:blip>
                    <a:srcRect/>
                    <a:stretch>
                      <a:fillRect/>
                    </a:stretch>
                  </pic:blipFill>
                  <pic:spPr bwMode="auto">
                    <a:xfrm>
                      <a:off x="0" y="0"/>
                      <a:ext cx="6456680" cy="591185"/>
                    </a:xfrm>
                    <a:prstGeom prst="rect">
                      <a:avLst/>
                    </a:prstGeom>
                    <a:noFill/>
                  </pic:spPr>
                </pic:pic>
              </a:graphicData>
            </a:graphic>
          </wp:anchor>
        </w:drawing>
      </w:r>
    </w:p>
    <w:p>
      <w:pPr>
        <w:spacing w:after="0" w:line="26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NRG's market-related value of its plan assets is the fair value of the assets. The fair values of the Company's pension plan assets by asset category and their level within the fair value hierarchy are as follows:</w:t>
      </w:r>
    </w:p>
    <w:p>
      <w:pPr>
        <w:spacing w:after="0" w:line="3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gridSpan w:val="7"/>
          </w:tcPr>
          <w:p>
            <w:pPr>
              <w:jc w:val="right"/>
              <w:ind w:right="363"/>
              <w:spacing w:after="0"/>
              <w:rPr>
                <w:sz w:val="20"/>
                <w:szCs w:val="20"/>
                <w:color w:val="auto"/>
              </w:rPr>
            </w:pPr>
            <w:r>
              <w:rPr>
                <w:rFonts w:ascii="Arial" w:cs="Arial" w:eastAsia="Arial" w:hAnsi="Arial"/>
                <w:sz w:val="16"/>
                <w:szCs w:val="16"/>
                <w:b w:val="1"/>
                <w:bCs w:val="1"/>
                <w:color w:val="auto"/>
                <w:w w:val="96"/>
              </w:rPr>
              <w:t>Fair Value Measurements as of December 31, 2024</w:t>
            </w:r>
          </w:p>
        </w:tc>
        <w:tc>
          <w:tcPr>
            <w:tcW w:w="0" w:type="dxa"/>
            <w:vAlign w:val="bottom"/>
          </w:tcPr>
          <w:p>
            <w:pPr>
              <w:spacing w:after="0"/>
              <w:rPr>
                <w:sz w:val="1"/>
                <w:szCs w:val="1"/>
                <w:color w:val="auto"/>
              </w:rPr>
            </w:pPr>
          </w:p>
        </w:tc>
      </w:tr>
      <w:tr>
        <w:trPr>
          <w:trHeight w:val="164"/>
        </w:trPr>
        <w:tc>
          <w:tcPr>
            <w:tcW w:w="5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66"/>
              <w:spacing w:after="0" w:line="164" w:lineRule="exact"/>
              <w:rPr>
                <w:sz w:val="20"/>
                <w:szCs w:val="20"/>
                <w:color w:val="auto"/>
              </w:rPr>
            </w:pPr>
            <w:r>
              <w:rPr>
                <w:rFonts w:ascii="Arial" w:cs="Arial" w:eastAsia="Arial" w:hAnsi="Arial"/>
                <w:sz w:val="16"/>
                <w:szCs w:val="16"/>
                <w:b w:val="1"/>
                <w:bCs w:val="1"/>
                <w:color w:val="auto"/>
                <w:w w:val="88"/>
              </w:rPr>
              <w:t>Quoted Prices in</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center"/>
              <w:ind w:right="244"/>
              <w:spacing w:after="0"/>
              <w:rPr>
                <w:sz w:val="20"/>
                <w:szCs w:val="20"/>
                <w:color w:val="auto"/>
              </w:rPr>
            </w:pPr>
            <w:r>
              <w:rPr>
                <w:rFonts w:ascii="Arial" w:cs="Arial" w:eastAsia="Arial" w:hAnsi="Arial"/>
                <w:sz w:val="16"/>
                <w:szCs w:val="16"/>
                <w:b w:val="1"/>
                <w:bCs w:val="1"/>
                <w:color w:val="auto"/>
                <w:w w:val="90"/>
              </w:rPr>
              <w:t>Significant</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720" w:type="dxa"/>
            <w:vAlign w:val="bottom"/>
          </w:tcPr>
          <w:p>
            <w:pPr>
              <w:spacing w:after="0"/>
              <w:rPr>
                <w:sz w:val="13"/>
                <w:szCs w:val="13"/>
                <w:color w:val="auto"/>
              </w:rPr>
            </w:pPr>
          </w:p>
        </w:tc>
        <w:tc>
          <w:tcPr>
            <w:tcW w:w="144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6"/>
              </w:rPr>
              <w:t>Active Markets for</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72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3"/>
                <w:szCs w:val="13"/>
                <w:color w:val="auto"/>
              </w:rPr>
            </w:pPr>
          </w:p>
        </w:tc>
        <w:tc>
          <w:tcPr>
            <w:tcW w:w="1280" w:type="dxa"/>
            <w:vAlign w:val="bottom"/>
          </w:tcPr>
          <w:p>
            <w:pPr>
              <w:jc w:val="center"/>
              <w:ind w:right="86"/>
              <w:spacing w:after="0" w:line="158" w:lineRule="exact"/>
              <w:rPr>
                <w:sz w:val="20"/>
                <w:szCs w:val="20"/>
                <w:color w:val="auto"/>
              </w:rPr>
            </w:pPr>
            <w:r>
              <w:rPr>
                <w:rFonts w:ascii="Arial" w:cs="Arial" w:eastAsia="Arial" w:hAnsi="Arial"/>
                <w:sz w:val="16"/>
                <w:szCs w:val="16"/>
                <w:b w:val="1"/>
                <w:bCs w:val="1"/>
                <w:color w:val="auto"/>
                <w:w w:val="86"/>
              </w:rPr>
              <w:t>Identical Assets</w:t>
            </w:r>
          </w:p>
        </w:tc>
        <w:tc>
          <w:tcPr>
            <w:tcW w:w="80" w:type="dxa"/>
            <w:vAlign w:val="bottom"/>
          </w:tcPr>
          <w:p>
            <w:pPr>
              <w:spacing w:after="0"/>
              <w:rPr>
                <w:sz w:val="13"/>
                <w:szCs w:val="13"/>
                <w:color w:val="auto"/>
              </w:rPr>
            </w:pPr>
          </w:p>
        </w:tc>
        <w:tc>
          <w:tcPr>
            <w:tcW w:w="144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0"/>
              </w:rPr>
              <w:t>Observable Inputs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ind w:right="38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57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66"/>
              <w:spacing w:after="0"/>
              <w:rPr>
                <w:sz w:val="20"/>
                <w:szCs w:val="20"/>
                <w:color w:val="auto"/>
              </w:rPr>
            </w:pPr>
            <w:r>
              <w:rPr>
                <w:rFonts w:ascii="Arial" w:cs="Arial" w:eastAsia="Arial" w:hAnsi="Arial"/>
                <w:sz w:val="16"/>
                <w:szCs w:val="16"/>
                <w:b w:val="1"/>
                <w:bCs w:val="1"/>
                <w:color w:val="auto"/>
                <w:w w:val="92"/>
              </w:rPr>
              <w:t>(Level 1)</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224"/>
              <w:spacing w:after="0"/>
              <w:rPr>
                <w:sz w:val="20"/>
                <w:szCs w:val="20"/>
                <w:color w:val="auto"/>
              </w:rPr>
            </w:pPr>
            <w:r>
              <w:rPr>
                <w:rFonts w:ascii="Arial" w:cs="Arial" w:eastAsia="Arial" w:hAnsi="Arial"/>
                <w:sz w:val="16"/>
                <w:szCs w:val="16"/>
                <w:b w:val="1"/>
                <w:bCs w:val="1"/>
                <w:color w:val="auto"/>
                <w:w w:val="92"/>
              </w:rPr>
              <w:t>(Level 2)</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720" w:type="dxa"/>
            <w:vAlign w:val="bottom"/>
          </w:tcPr>
          <w:p>
            <w:pPr>
              <w:spacing w:after="0"/>
              <w:rPr>
                <w:sz w:val="20"/>
                <w:szCs w:val="20"/>
                <w:color w:val="auto"/>
              </w:rPr>
            </w:pPr>
            <w:r>
              <w:rPr>
                <w:rFonts w:ascii="Arial" w:cs="Arial" w:eastAsia="Arial" w:hAnsi="Arial"/>
                <w:sz w:val="20"/>
                <w:szCs w:val="20"/>
                <w:color w:val="auto"/>
                <w:w w:val="91"/>
              </w:rPr>
              <w:t xml:space="preserve">Common/collective trust investment — U.S. equity </w:t>
            </w:r>
            <w:r>
              <w:rPr>
                <w:rFonts w:ascii="Arial" w:cs="Arial" w:eastAsia="Arial" w:hAnsi="Arial"/>
                <w:sz w:val="20"/>
                <w:szCs w:val="20"/>
                <w:color w:val="B4B4B4"/>
                <w:w w:val="91"/>
              </w:rPr>
              <w:t>.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142</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142</w:t>
            </w:r>
          </w:p>
        </w:tc>
        <w:tc>
          <w:tcPr>
            <w:tcW w:w="0" w:type="dxa"/>
            <w:vAlign w:val="bottom"/>
          </w:tcPr>
          <w:p>
            <w:pPr>
              <w:spacing w:after="0"/>
              <w:rPr>
                <w:sz w:val="1"/>
                <w:szCs w:val="1"/>
                <w:color w:val="auto"/>
              </w:rPr>
            </w:pPr>
          </w:p>
        </w:tc>
      </w:tr>
      <w:tr>
        <w:trPr>
          <w:trHeight w:val="297"/>
        </w:trPr>
        <w:tc>
          <w:tcPr>
            <w:tcW w:w="5720" w:type="dxa"/>
            <w:vAlign w:val="bottom"/>
          </w:tcPr>
          <w:p>
            <w:pPr>
              <w:spacing w:after="0"/>
              <w:rPr>
                <w:sz w:val="20"/>
                <w:szCs w:val="20"/>
                <w:color w:val="auto"/>
              </w:rPr>
            </w:pPr>
            <w:r>
              <w:rPr>
                <w:rFonts w:ascii="Arial" w:cs="Arial" w:eastAsia="Arial" w:hAnsi="Arial"/>
                <w:sz w:val="20"/>
                <w:szCs w:val="20"/>
                <w:color w:val="auto"/>
                <w:w w:val="92"/>
              </w:rPr>
              <w:t xml:space="preserve">Common/collective trust investment — non-U.S. equity </w:t>
            </w:r>
            <w:r>
              <w:rPr>
                <w:rFonts w:ascii="Arial" w:cs="Arial" w:eastAsia="Arial" w:hAnsi="Arial"/>
                <w:sz w:val="20"/>
                <w:szCs w:val="20"/>
                <w:color w:val="B4B4B4"/>
                <w:w w:val="92"/>
              </w:rPr>
              <w:t>. . . . . . . . . . . .</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105</w:t>
            </w:r>
          </w:p>
        </w:tc>
        <w:tc>
          <w:tcPr>
            <w:tcW w:w="0" w:type="dxa"/>
            <w:vAlign w:val="bottom"/>
          </w:tcPr>
          <w:p>
            <w:pPr>
              <w:spacing w:after="0"/>
              <w:rPr>
                <w:sz w:val="1"/>
                <w:szCs w:val="1"/>
                <w:color w:val="auto"/>
              </w:rPr>
            </w:pPr>
          </w:p>
        </w:tc>
      </w:tr>
      <w:tr>
        <w:trPr>
          <w:trHeight w:val="297"/>
        </w:trPr>
        <w:tc>
          <w:tcPr>
            <w:tcW w:w="5720" w:type="dxa"/>
            <w:vAlign w:val="bottom"/>
          </w:tcPr>
          <w:p>
            <w:pPr>
              <w:spacing w:after="0"/>
              <w:rPr>
                <w:sz w:val="20"/>
                <w:szCs w:val="20"/>
                <w:color w:val="auto"/>
              </w:rPr>
            </w:pPr>
            <w:r>
              <w:rPr>
                <w:rFonts w:ascii="Arial" w:cs="Arial" w:eastAsia="Arial" w:hAnsi="Arial"/>
                <w:sz w:val="20"/>
                <w:szCs w:val="20"/>
                <w:color w:val="auto"/>
                <w:w w:val="90"/>
              </w:rPr>
              <w:t xml:space="preserve">Common/collective trust investment — non-core assets  </w:t>
            </w:r>
            <w:r>
              <w:rPr>
                <w:rFonts w:ascii="Arial" w:cs="Arial" w:eastAsia="Arial" w:hAnsi="Arial"/>
                <w:sz w:val="20"/>
                <w:szCs w:val="20"/>
                <w:color w:val="B4B4B4"/>
                <w:w w:val="90"/>
              </w:rPr>
              <w:t>. . . . . . . . . . . .</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97"/>
        </w:trPr>
        <w:tc>
          <w:tcPr>
            <w:tcW w:w="5720" w:type="dxa"/>
            <w:vAlign w:val="bottom"/>
          </w:tcPr>
          <w:p>
            <w:pPr>
              <w:spacing w:after="0"/>
              <w:rPr>
                <w:sz w:val="20"/>
                <w:szCs w:val="20"/>
                <w:color w:val="auto"/>
              </w:rPr>
            </w:pPr>
            <w:r>
              <w:rPr>
                <w:rFonts w:ascii="Arial" w:cs="Arial" w:eastAsia="Arial" w:hAnsi="Arial"/>
                <w:sz w:val="20"/>
                <w:szCs w:val="20"/>
                <w:color w:val="auto"/>
                <w:w w:val="92"/>
              </w:rPr>
              <w:t xml:space="preserve">Common/collective trust investment — fixed income </w:t>
            </w:r>
            <w:r>
              <w:rPr>
                <w:rFonts w:ascii="Arial" w:cs="Arial" w:eastAsia="Arial" w:hAnsi="Arial"/>
                <w:sz w:val="20"/>
                <w:szCs w:val="20"/>
                <w:color w:val="B4B4B4"/>
                <w:w w:val="92"/>
              </w:rPr>
              <w:t>. . . . . . . . . . . . . .</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199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199</w:t>
            </w:r>
          </w:p>
        </w:tc>
        <w:tc>
          <w:tcPr>
            <w:tcW w:w="0" w:type="dxa"/>
            <w:vAlign w:val="bottom"/>
          </w:tcPr>
          <w:p>
            <w:pPr>
              <w:spacing w:after="0"/>
              <w:rPr>
                <w:sz w:val="1"/>
                <w:szCs w:val="1"/>
                <w:color w:val="auto"/>
              </w:rPr>
            </w:pPr>
          </w:p>
        </w:tc>
      </w:tr>
      <w:tr>
        <w:trPr>
          <w:trHeight w:val="299"/>
        </w:trPr>
        <w:tc>
          <w:tcPr>
            <w:tcW w:w="5720" w:type="dxa"/>
            <w:vAlign w:val="bottom"/>
          </w:tcPr>
          <w:p>
            <w:pPr>
              <w:spacing w:after="0"/>
              <w:rPr>
                <w:sz w:val="20"/>
                <w:szCs w:val="20"/>
                <w:color w:val="auto"/>
              </w:rPr>
            </w:pPr>
            <w:r>
              <w:rPr>
                <w:rFonts w:ascii="Arial" w:cs="Arial" w:eastAsia="Arial" w:hAnsi="Arial"/>
                <w:sz w:val="20"/>
                <w:szCs w:val="20"/>
                <w:color w:val="auto"/>
                <w:w w:val="90"/>
              </w:rPr>
              <w:t xml:space="preserve">Short-term investment fund </w:t>
            </w:r>
            <w:r>
              <w:rPr>
                <w:rFonts w:ascii="Arial" w:cs="Arial" w:eastAsia="Arial" w:hAnsi="Arial"/>
                <w:sz w:val="20"/>
                <w:szCs w:val="20"/>
                <w:color w:val="B4B4B4"/>
                <w:w w:val="90"/>
              </w:rPr>
              <w:t>. . . . . . . . . . . . . . . . . . . . . . . . . . . . . . . . . . .</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75"/>
        </w:trPr>
        <w:tc>
          <w:tcPr>
            <w:tcW w:w="5720" w:type="dxa"/>
            <w:vAlign w:val="bottom"/>
          </w:tcPr>
          <w:p>
            <w:pPr>
              <w:ind w:left="120"/>
              <w:spacing w:after="0"/>
              <w:rPr>
                <w:sz w:val="20"/>
                <w:szCs w:val="20"/>
                <w:color w:val="auto"/>
              </w:rPr>
            </w:pPr>
            <w:r>
              <w:rPr>
                <w:rFonts w:ascii="Arial" w:cs="Arial" w:eastAsia="Arial" w:hAnsi="Arial"/>
                <w:sz w:val="20"/>
                <w:szCs w:val="20"/>
                <w:color w:val="auto"/>
                <w:w w:val="90"/>
              </w:rPr>
              <w:t xml:space="preserve">Subtotal fair value </w:t>
            </w:r>
            <w:r>
              <w:rPr>
                <w:rFonts w:ascii="Arial" w:cs="Arial" w:eastAsia="Arial" w:hAnsi="Arial"/>
                <w:sz w:val="20"/>
                <w:szCs w:val="20"/>
                <w:color w:val="B4B4B4"/>
                <w:w w:val="90"/>
              </w:rPr>
              <w:t>. . . . . . . . . . . . . . . . . . . .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25</w:t>
            </w:r>
          </w:p>
        </w:tc>
        <w:tc>
          <w:tcPr>
            <w:tcW w:w="4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496</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521</w:t>
            </w:r>
          </w:p>
        </w:tc>
        <w:tc>
          <w:tcPr>
            <w:tcW w:w="0" w:type="dxa"/>
            <w:vAlign w:val="bottom"/>
          </w:tcPr>
          <w:p>
            <w:pPr>
              <w:spacing w:after="0"/>
              <w:rPr>
                <w:sz w:val="1"/>
                <w:szCs w:val="1"/>
                <w:color w:val="auto"/>
              </w:rPr>
            </w:pPr>
          </w:p>
        </w:tc>
      </w:tr>
      <w:tr>
        <w:trPr>
          <w:trHeight w:val="297"/>
        </w:trPr>
        <w:tc>
          <w:tcPr>
            <w:tcW w:w="5720" w:type="dxa"/>
            <w:vAlign w:val="bottom"/>
          </w:tcPr>
          <w:p>
            <w:pPr>
              <w:spacing w:after="0"/>
              <w:rPr>
                <w:sz w:val="20"/>
                <w:szCs w:val="20"/>
                <w:color w:val="auto"/>
              </w:rPr>
            </w:pPr>
            <w:r>
              <w:rPr>
                <w:rFonts w:ascii="Arial" w:cs="Arial" w:eastAsia="Arial" w:hAnsi="Arial"/>
                <w:sz w:val="20"/>
                <w:szCs w:val="20"/>
                <w:color w:val="auto"/>
              </w:rPr>
              <w:t>Measured at net asset value practical expedient:</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80" w:type="dxa"/>
            <w:vAlign w:val="bottom"/>
            <w:gridSpan w:val="2"/>
          </w:tcPr>
          <w:p>
            <w:pPr>
              <w:spacing w:after="0"/>
              <w:rPr>
                <w:sz w:val="20"/>
                <w:szCs w:val="20"/>
                <w:color w:val="auto"/>
              </w:rPr>
            </w:pPr>
            <w:r>
              <w:rPr>
                <w:rFonts w:ascii="Arial" w:cs="Arial" w:eastAsia="Arial" w:hAnsi="Arial"/>
                <w:sz w:val="20"/>
                <w:szCs w:val="20"/>
                <w:color w:val="auto"/>
                <w:highlight w:val="white"/>
                <w:w w:val="91"/>
              </w:rPr>
              <w:t xml:space="preserve">Common/collective trust investment — non-U.S. equity </w:t>
            </w:r>
            <w:r>
              <w:rPr>
                <w:rFonts w:ascii="Arial" w:cs="Arial" w:eastAsia="Arial" w:hAnsi="Arial"/>
                <w:sz w:val="20"/>
                <w:szCs w:val="20"/>
                <w:color w:val="B4B4B4"/>
                <w:highlight w:val="white"/>
                <w:w w:val="91"/>
              </w:rPr>
              <w:t>. . . . . . . . . . . . . .</w:t>
            </w:r>
          </w:p>
        </w:tc>
        <w:tc>
          <w:tcPr>
            <w:tcW w:w="1280" w:type="dxa"/>
            <w:vAlign w:val="bottom"/>
          </w:tcPr>
          <w:p>
            <w:pPr>
              <w:jc w:val="right"/>
              <w:spacing w:after="0"/>
              <w:rPr>
                <w:sz w:val="20"/>
                <w:szCs w:val="20"/>
                <w:color w:val="auto"/>
              </w:rPr>
            </w:pPr>
            <w:r>
              <w:rPr>
                <w:rFonts w:ascii="Arial" w:cs="Arial" w:eastAsia="Arial" w:hAnsi="Arial"/>
                <w:sz w:val="20"/>
                <w:szCs w:val="20"/>
                <w:color w:val="B4B4B4"/>
                <w:highlight w:val="white"/>
                <w:w w:val="89"/>
              </w:rPr>
              <w:t>. . . . . . . . . . . . .</w:t>
            </w:r>
          </w:p>
        </w:tc>
        <w:tc>
          <w:tcPr>
            <w:tcW w:w="80" w:type="dxa"/>
            <w:vAlign w:val="bottom"/>
          </w:tcPr>
          <w:p>
            <w:pPr>
              <w:jc w:val="right"/>
              <w:spacing w:after="0"/>
              <w:rPr>
                <w:sz w:val="20"/>
                <w:szCs w:val="20"/>
                <w:color w:val="auto"/>
              </w:rPr>
            </w:pPr>
            <w:r>
              <w:rPr>
                <w:rFonts w:ascii="Arial" w:cs="Arial" w:eastAsia="Arial" w:hAnsi="Arial"/>
                <w:sz w:val="20"/>
                <w:szCs w:val="20"/>
                <w:color w:val="B4B4B4"/>
                <w:highlight w:val="white"/>
              </w:rPr>
              <w:t>.</w:t>
            </w:r>
          </w:p>
        </w:tc>
        <w:tc>
          <w:tcPr>
            <w:tcW w:w="320" w:type="dxa"/>
            <w:vAlign w:val="bottom"/>
          </w:tcPr>
          <w:p>
            <w:pPr>
              <w:ind w:left="40"/>
              <w:spacing w:after="0"/>
              <w:rPr>
                <w:sz w:val="20"/>
                <w:szCs w:val="20"/>
                <w:color w:val="auto"/>
              </w:rPr>
            </w:pPr>
            <w:r>
              <w:rPr>
                <w:rFonts w:ascii="Arial" w:cs="Arial" w:eastAsia="Arial" w:hAnsi="Arial"/>
                <w:sz w:val="20"/>
                <w:szCs w:val="20"/>
                <w:color w:val="B4B4B4"/>
                <w:highlight w:val="white"/>
                <w:w w:val="93"/>
              </w:rPr>
              <w:t>. . .</w:t>
            </w:r>
          </w:p>
        </w:tc>
        <w:tc>
          <w:tcPr>
            <w:tcW w:w="1120" w:type="dxa"/>
            <w:vAlign w:val="bottom"/>
          </w:tcPr>
          <w:p>
            <w:pPr>
              <w:jc w:val="right"/>
              <w:spacing w:after="0"/>
              <w:rPr>
                <w:sz w:val="20"/>
                <w:szCs w:val="20"/>
                <w:color w:val="auto"/>
              </w:rPr>
            </w:pPr>
            <w:r>
              <w:rPr>
                <w:rFonts w:ascii="Arial" w:cs="Arial" w:eastAsia="Arial" w:hAnsi="Arial"/>
                <w:sz w:val="20"/>
                <w:szCs w:val="20"/>
                <w:color w:val="B4B4B4"/>
                <w:highlight w:val="white"/>
                <w:w w:val="89"/>
              </w:rPr>
              <w:t>. . . . . . . . . .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97"/>
        </w:trPr>
        <w:tc>
          <w:tcPr>
            <w:tcW w:w="5880" w:type="dxa"/>
            <w:vAlign w:val="bottom"/>
            <w:gridSpan w:val="2"/>
          </w:tcPr>
          <w:p>
            <w:pPr>
              <w:spacing w:after="0"/>
              <w:rPr>
                <w:sz w:val="20"/>
                <w:szCs w:val="20"/>
                <w:color w:val="auto"/>
              </w:rPr>
            </w:pPr>
            <w:r>
              <w:rPr>
                <w:rFonts w:ascii="Arial" w:cs="Arial" w:eastAsia="Arial" w:hAnsi="Arial"/>
                <w:sz w:val="20"/>
                <w:szCs w:val="20"/>
                <w:color w:val="auto"/>
                <w:w w:val="91"/>
              </w:rPr>
              <w:t xml:space="preserve">Common/collective trust investment — fixed income </w:t>
            </w:r>
            <w:r>
              <w:rPr>
                <w:rFonts w:ascii="Arial" w:cs="Arial" w:eastAsia="Arial" w:hAnsi="Arial"/>
                <w:sz w:val="20"/>
                <w:szCs w:val="20"/>
                <w:color w:val="B4B4B4"/>
                <w:w w:val="91"/>
              </w:rPr>
              <w:t>. . . . . . . . . . . . . . . .</w:t>
            </w:r>
          </w:p>
        </w:tc>
        <w:tc>
          <w:tcPr>
            <w:tcW w:w="1280" w:type="dxa"/>
            <w:vAlign w:val="bottom"/>
          </w:tcPr>
          <w:p>
            <w:pPr>
              <w:jc w:val="right"/>
              <w:spacing w:after="0"/>
              <w:rPr>
                <w:sz w:val="20"/>
                <w:szCs w:val="20"/>
                <w:color w:val="auto"/>
              </w:rPr>
            </w:pPr>
            <w:r>
              <w:rPr>
                <w:rFonts w:ascii="Arial" w:cs="Arial" w:eastAsia="Arial" w:hAnsi="Arial"/>
                <w:sz w:val="20"/>
                <w:szCs w:val="20"/>
                <w:color w:val="B4B4B4"/>
                <w:w w:val="89"/>
              </w:rPr>
              <w:t>. . . . . . . . . . . . .</w:t>
            </w:r>
          </w:p>
        </w:tc>
        <w:tc>
          <w:tcPr>
            <w:tcW w:w="80" w:type="dxa"/>
            <w:vAlign w:val="bottom"/>
          </w:tcPr>
          <w:p>
            <w:pPr>
              <w:jc w:val="right"/>
              <w:spacing w:after="0"/>
              <w:rPr>
                <w:sz w:val="20"/>
                <w:szCs w:val="20"/>
                <w:color w:val="auto"/>
              </w:rPr>
            </w:pPr>
            <w:r>
              <w:rPr>
                <w:rFonts w:ascii="Arial" w:cs="Arial" w:eastAsia="Arial" w:hAnsi="Arial"/>
                <w:sz w:val="20"/>
                <w:szCs w:val="20"/>
                <w:color w:val="B4B4B4"/>
                <w:w w:val="71"/>
              </w:rPr>
              <w:t>.</w:t>
            </w:r>
          </w:p>
        </w:tc>
        <w:tc>
          <w:tcPr>
            <w:tcW w:w="320" w:type="dxa"/>
            <w:vAlign w:val="bottom"/>
          </w:tcPr>
          <w:p>
            <w:pPr>
              <w:ind w:left="40"/>
              <w:spacing w:after="0"/>
              <w:rPr>
                <w:sz w:val="20"/>
                <w:szCs w:val="20"/>
                <w:color w:val="auto"/>
              </w:rPr>
            </w:pPr>
            <w:r>
              <w:rPr>
                <w:rFonts w:ascii="Arial" w:cs="Arial" w:eastAsia="Arial" w:hAnsi="Arial"/>
                <w:sz w:val="20"/>
                <w:szCs w:val="20"/>
                <w:color w:val="B4B4B4"/>
                <w:w w:val="93"/>
              </w:rPr>
              <w:t>. . .</w:t>
            </w:r>
          </w:p>
        </w:tc>
        <w:tc>
          <w:tcPr>
            <w:tcW w:w="1120" w:type="dxa"/>
            <w:vAlign w:val="bottom"/>
          </w:tcPr>
          <w:p>
            <w:pPr>
              <w:jc w:val="right"/>
              <w:spacing w:after="0"/>
              <w:rPr>
                <w:sz w:val="20"/>
                <w:szCs w:val="20"/>
                <w:color w:val="auto"/>
              </w:rPr>
            </w:pPr>
            <w:r>
              <w:rPr>
                <w:rFonts w:ascii="Arial" w:cs="Arial" w:eastAsia="Arial" w:hAnsi="Arial"/>
                <w:sz w:val="20"/>
                <w:szCs w:val="20"/>
                <w:color w:val="B4B4B4"/>
                <w:w w:val="89"/>
              </w:rPr>
              <w:t>. . . . . . . . . .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177</w:t>
            </w:r>
          </w:p>
        </w:tc>
        <w:tc>
          <w:tcPr>
            <w:tcW w:w="0" w:type="dxa"/>
            <w:vAlign w:val="bottom"/>
          </w:tcPr>
          <w:p>
            <w:pPr>
              <w:spacing w:after="0"/>
              <w:rPr>
                <w:sz w:val="1"/>
                <w:szCs w:val="1"/>
                <w:color w:val="auto"/>
              </w:rPr>
            </w:pPr>
          </w:p>
        </w:tc>
      </w:tr>
      <w:tr>
        <w:trPr>
          <w:trHeight w:val="297"/>
        </w:trPr>
        <w:tc>
          <w:tcPr>
            <w:tcW w:w="5880" w:type="dxa"/>
            <w:vAlign w:val="bottom"/>
            <w:gridSpan w:val="2"/>
          </w:tcPr>
          <w:p>
            <w:pPr>
              <w:spacing w:after="0"/>
              <w:rPr>
                <w:sz w:val="20"/>
                <w:szCs w:val="20"/>
                <w:color w:val="auto"/>
              </w:rPr>
            </w:pPr>
            <w:r>
              <w:rPr>
                <w:rFonts w:ascii="Arial" w:cs="Arial" w:eastAsia="Arial" w:hAnsi="Arial"/>
                <w:sz w:val="20"/>
                <w:szCs w:val="20"/>
                <w:color w:val="auto"/>
                <w:w w:val="90"/>
              </w:rPr>
              <w:t xml:space="preserve">Common/collective trust investment — non-core assets </w:t>
            </w:r>
            <w:r>
              <w:rPr>
                <w:rFonts w:ascii="Arial" w:cs="Arial" w:eastAsia="Arial" w:hAnsi="Arial"/>
                <w:sz w:val="20"/>
                <w:szCs w:val="20"/>
                <w:color w:val="B4B4B4"/>
                <w:w w:val="90"/>
              </w:rPr>
              <w:t>. . . . . . . . . . . . . .</w:t>
            </w:r>
          </w:p>
        </w:tc>
        <w:tc>
          <w:tcPr>
            <w:tcW w:w="1280" w:type="dxa"/>
            <w:vAlign w:val="bottom"/>
          </w:tcPr>
          <w:p>
            <w:pPr>
              <w:jc w:val="right"/>
              <w:spacing w:after="0"/>
              <w:rPr>
                <w:sz w:val="20"/>
                <w:szCs w:val="20"/>
                <w:color w:val="auto"/>
              </w:rPr>
            </w:pPr>
            <w:r>
              <w:rPr>
                <w:rFonts w:ascii="Arial" w:cs="Arial" w:eastAsia="Arial" w:hAnsi="Arial"/>
                <w:sz w:val="20"/>
                <w:szCs w:val="20"/>
                <w:color w:val="B4B4B4"/>
                <w:w w:val="87"/>
              </w:rPr>
              <w:t>. . . . . . . . . . . . .</w:t>
            </w:r>
          </w:p>
        </w:tc>
        <w:tc>
          <w:tcPr>
            <w:tcW w:w="80" w:type="dxa"/>
            <w:vAlign w:val="bottom"/>
          </w:tcPr>
          <w:p>
            <w:pPr>
              <w:jc w:val="right"/>
              <w:spacing w:after="0"/>
              <w:rPr>
                <w:sz w:val="20"/>
                <w:szCs w:val="20"/>
                <w:color w:val="auto"/>
              </w:rPr>
            </w:pPr>
            <w:r>
              <w:rPr>
                <w:rFonts w:ascii="Arial" w:cs="Arial" w:eastAsia="Arial" w:hAnsi="Arial"/>
                <w:sz w:val="20"/>
                <w:szCs w:val="20"/>
                <w:color w:val="B4B4B4"/>
                <w:w w:val="71"/>
              </w:rPr>
              <w:t>.</w:t>
            </w:r>
          </w:p>
        </w:tc>
        <w:tc>
          <w:tcPr>
            <w:tcW w:w="320" w:type="dxa"/>
            <w:vAlign w:val="bottom"/>
          </w:tcPr>
          <w:p>
            <w:pPr>
              <w:ind w:left="40"/>
              <w:spacing w:after="0"/>
              <w:rPr>
                <w:sz w:val="20"/>
                <w:szCs w:val="20"/>
                <w:color w:val="auto"/>
              </w:rPr>
            </w:pPr>
            <w:r>
              <w:rPr>
                <w:rFonts w:ascii="Arial" w:cs="Arial" w:eastAsia="Arial" w:hAnsi="Arial"/>
                <w:sz w:val="20"/>
                <w:szCs w:val="20"/>
                <w:color w:val="B4B4B4"/>
                <w:w w:val="93"/>
              </w:rPr>
              <w:t>. . .</w:t>
            </w:r>
          </w:p>
        </w:tc>
        <w:tc>
          <w:tcPr>
            <w:tcW w:w="1120" w:type="dxa"/>
            <w:vAlign w:val="bottom"/>
          </w:tcPr>
          <w:p>
            <w:pPr>
              <w:jc w:val="right"/>
              <w:spacing w:after="0"/>
              <w:rPr>
                <w:sz w:val="20"/>
                <w:szCs w:val="20"/>
                <w:color w:val="auto"/>
              </w:rPr>
            </w:pPr>
            <w:r>
              <w:rPr>
                <w:rFonts w:ascii="Arial" w:cs="Arial" w:eastAsia="Arial" w:hAnsi="Arial"/>
                <w:sz w:val="20"/>
                <w:szCs w:val="20"/>
                <w:color w:val="B4B4B4"/>
                <w:w w:val="89"/>
              </w:rPr>
              <w:t>. . . . . . . . . .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99"/>
        </w:trPr>
        <w:tc>
          <w:tcPr>
            <w:tcW w:w="5880" w:type="dxa"/>
            <w:vAlign w:val="bottom"/>
            <w:gridSpan w:val="2"/>
          </w:tcPr>
          <w:p>
            <w:pPr>
              <w:spacing w:after="0"/>
              <w:rPr>
                <w:sz w:val="20"/>
                <w:szCs w:val="20"/>
                <w:color w:val="auto"/>
              </w:rPr>
            </w:pPr>
            <w:r>
              <w:rPr>
                <w:rFonts w:ascii="Arial" w:cs="Arial" w:eastAsia="Arial" w:hAnsi="Arial"/>
                <w:sz w:val="20"/>
                <w:szCs w:val="20"/>
                <w:color w:val="auto"/>
                <w:w w:val="90"/>
              </w:rPr>
              <w:t xml:space="preserve">Partnerships/joint ventures </w:t>
            </w:r>
            <w:r>
              <w:rPr>
                <w:rFonts w:ascii="Arial" w:cs="Arial" w:eastAsia="Arial" w:hAnsi="Arial"/>
                <w:sz w:val="20"/>
                <w:szCs w:val="20"/>
                <w:color w:val="B4B4B4"/>
                <w:w w:val="90"/>
              </w:rPr>
              <w:t>. . . . . . . . . . . . . . . . . . . . . . . . . . . . . . . . . . . . .</w:t>
            </w:r>
          </w:p>
        </w:tc>
        <w:tc>
          <w:tcPr>
            <w:tcW w:w="1280" w:type="dxa"/>
            <w:vAlign w:val="bottom"/>
          </w:tcPr>
          <w:p>
            <w:pPr>
              <w:jc w:val="right"/>
              <w:spacing w:after="0"/>
              <w:rPr>
                <w:sz w:val="20"/>
                <w:szCs w:val="20"/>
                <w:color w:val="auto"/>
              </w:rPr>
            </w:pPr>
            <w:r>
              <w:rPr>
                <w:rFonts w:ascii="Arial" w:cs="Arial" w:eastAsia="Arial" w:hAnsi="Arial"/>
                <w:sz w:val="20"/>
                <w:szCs w:val="20"/>
                <w:color w:val="B4B4B4"/>
                <w:w w:val="87"/>
              </w:rPr>
              <w:t>. . . . . . . . . . . . .</w:t>
            </w:r>
          </w:p>
        </w:tc>
        <w:tc>
          <w:tcPr>
            <w:tcW w:w="80" w:type="dxa"/>
            <w:vAlign w:val="bottom"/>
          </w:tcPr>
          <w:p>
            <w:pPr>
              <w:jc w:val="right"/>
              <w:spacing w:after="0"/>
              <w:rPr>
                <w:sz w:val="20"/>
                <w:szCs w:val="20"/>
                <w:color w:val="auto"/>
              </w:rPr>
            </w:pPr>
            <w:r>
              <w:rPr>
                <w:rFonts w:ascii="Arial" w:cs="Arial" w:eastAsia="Arial" w:hAnsi="Arial"/>
                <w:sz w:val="20"/>
                <w:szCs w:val="20"/>
                <w:color w:val="B4B4B4"/>
                <w:w w:val="71"/>
              </w:rPr>
              <w:t>.</w:t>
            </w:r>
          </w:p>
        </w:tc>
        <w:tc>
          <w:tcPr>
            <w:tcW w:w="320" w:type="dxa"/>
            <w:vAlign w:val="bottom"/>
          </w:tcPr>
          <w:p>
            <w:pPr>
              <w:ind w:left="40"/>
              <w:spacing w:after="0"/>
              <w:rPr>
                <w:sz w:val="20"/>
                <w:szCs w:val="20"/>
                <w:color w:val="auto"/>
              </w:rPr>
            </w:pPr>
            <w:r>
              <w:rPr>
                <w:rFonts w:ascii="Arial" w:cs="Arial" w:eastAsia="Arial" w:hAnsi="Arial"/>
                <w:sz w:val="20"/>
                <w:szCs w:val="20"/>
                <w:color w:val="B4B4B4"/>
                <w:w w:val="93"/>
              </w:rPr>
              <w:t>. . .</w:t>
            </w:r>
          </w:p>
        </w:tc>
        <w:tc>
          <w:tcPr>
            <w:tcW w:w="1120" w:type="dxa"/>
            <w:vAlign w:val="bottom"/>
          </w:tcPr>
          <w:p>
            <w:pPr>
              <w:jc w:val="right"/>
              <w:spacing w:after="0"/>
              <w:rPr>
                <w:sz w:val="20"/>
                <w:szCs w:val="20"/>
                <w:color w:val="auto"/>
              </w:rPr>
            </w:pPr>
            <w:r>
              <w:rPr>
                <w:rFonts w:ascii="Arial" w:cs="Arial" w:eastAsia="Arial" w:hAnsi="Arial"/>
                <w:sz w:val="20"/>
                <w:szCs w:val="20"/>
                <w:color w:val="B4B4B4"/>
                <w:w w:val="89"/>
              </w:rPr>
              <w:t>. . . . . . . . . . .</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57"/>
        </w:trPr>
        <w:tc>
          <w:tcPr>
            <w:tcW w:w="5880" w:type="dxa"/>
            <w:vAlign w:val="bottom"/>
            <w:gridSpan w:val="2"/>
          </w:tcPr>
          <w:p>
            <w:pPr>
              <w:ind w:left="120"/>
              <w:spacing w:after="0"/>
              <w:rPr>
                <w:sz w:val="20"/>
                <w:szCs w:val="20"/>
                <w:color w:val="auto"/>
              </w:rPr>
            </w:pPr>
            <w:r>
              <w:rPr>
                <w:rFonts w:ascii="Arial" w:cs="Arial" w:eastAsia="Arial" w:hAnsi="Arial"/>
                <w:sz w:val="20"/>
                <w:szCs w:val="20"/>
                <w:color w:val="auto"/>
                <w:w w:val="90"/>
              </w:rPr>
              <w:t xml:space="preserve">Total fair value </w:t>
            </w:r>
            <w:r>
              <w:rPr>
                <w:rFonts w:ascii="Arial" w:cs="Arial" w:eastAsia="Arial" w:hAnsi="Arial"/>
                <w:sz w:val="20"/>
                <w:szCs w:val="20"/>
                <w:color w:val="B4B4B4"/>
                <w:w w:val="90"/>
              </w:rPr>
              <w:t>. . . . . . . . . . . . . . . . . . . . . . . . . . . . . . . . . . . . . . . . . . . . .</w:t>
            </w:r>
          </w:p>
        </w:tc>
        <w:tc>
          <w:tcPr>
            <w:tcW w:w="1280" w:type="dxa"/>
            <w:vAlign w:val="bottom"/>
          </w:tcPr>
          <w:p>
            <w:pPr>
              <w:jc w:val="right"/>
              <w:spacing w:after="0"/>
              <w:rPr>
                <w:sz w:val="20"/>
                <w:szCs w:val="20"/>
                <w:color w:val="auto"/>
              </w:rPr>
            </w:pPr>
            <w:r>
              <w:rPr>
                <w:rFonts w:ascii="Arial" w:cs="Arial" w:eastAsia="Arial" w:hAnsi="Arial"/>
                <w:sz w:val="20"/>
                <w:szCs w:val="20"/>
                <w:color w:val="B4B4B4"/>
                <w:w w:val="89"/>
              </w:rPr>
              <w:t>. . . . . . . . . . . . .</w:t>
            </w:r>
          </w:p>
        </w:tc>
        <w:tc>
          <w:tcPr>
            <w:tcW w:w="80" w:type="dxa"/>
            <w:vAlign w:val="bottom"/>
          </w:tcPr>
          <w:p>
            <w:pPr>
              <w:jc w:val="right"/>
              <w:spacing w:after="0"/>
              <w:rPr>
                <w:sz w:val="20"/>
                <w:szCs w:val="20"/>
                <w:color w:val="auto"/>
              </w:rPr>
            </w:pPr>
            <w:r>
              <w:rPr>
                <w:rFonts w:ascii="Arial" w:cs="Arial" w:eastAsia="Arial" w:hAnsi="Arial"/>
                <w:sz w:val="20"/>
                <w:szCs w:val="20"/>
                <w:color w:val="B4B4B4"/>
              </w:rPr>
              <w:t>.</w:t>
            </w:r>
          </w:p>
        </w:tc>
        <w:tc>
          <w:tcPr>
            <w:tcW w:w="320" w:type="dxa"/>
            <w:vAlign w:val="bottom"/>
          </w:tcPr>
          <w:p>
            <w:pPr>
              <w:ind w:left="40"/>
              <w:spacing w:after="0"/>
              <w:rPr>
                <w:sz w:val="20"/>
                <w:szCs w:val="20"/>
                <w:color w:val="auto"/>
              </w:rPr>
            </w:pPr>
            <w:r>
              <w:rPr>
                <w:rFonts w:ascii="Arial" w:cs="Arial" w:eastAsia="Arial" w:hAnsi="Arial"/>
                <w:sz w:val="20"/>
                <w:szCs w:val="20"/>
                <w:color w:val="B4B4B4"/>
                <w:w w:val="93"/>
              </w:rPr>
              <w:t>. . .</w:t>
            </w:r>
          </w:p>
        </w:tc>
        <w:tc>
          <w:tcPr>
            <w:tcW w:w="1120" w:type="dxa"/>
            <w:vAlign w:val="bottom"/>
          </w:tcPr>
          <w:p>
            <w:pPr>
              <w:jc w:val="right"/>
              <w:spacing w:after="0"/>
              <w:rPr>
                <w:sz w:val="20"/>
                <w:szCs w:val="20"/>
                <w:color w:val="auto"/>
              </w:rPr>
            </w:pPr>
            <w:r>
              <w:rPr>
                <w:rFonts w:ascii="Arial" w:cs="Arial" w:eastAsia="Arial" w:hAnsi="Arial"/>
                <w:sz w:val="20"/>
                <w:szCs w:val="20"/>
                <w:color w:val="B4B4B4"/>
                <w:w w:val="89"/>
              </w:rPr>
              <w:t>. . . . . . . . . . .</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767</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-2294255</wp:posOffset>
            </wp:positionV>
            <wp:extent cx="6447155" cy="2301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42">
                      <a:extLst>
                        <a:ext uri="{28A0092B-C50C-407E-A947-70E740481C1C}"/>
                      </a:extLst>
                    </a:blip>
                    <a:srcRect/>
                    <a:stretch>
                      <a:fillRect/>
                    </a:stretch>
                  </pic:blipFill>
                  <pic:spPr bwMode="auto">
                    <a:xfrm>
                      <a:off x="0" y="0"/>
                      <a:ext cx="6447155" cy="2301240"/>
                    </a:xfrm>
                    <a:prstGeom prst="rect">
                      <a:avLst/>
                    </a:prstGeom>
                    <a:noFill/>
                  </pic:spPr>
                </pic:pic>
              </a:graphicData>
            </a:graphic>
          </wp:anchor>
        </w:drawing>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ectPr>
          <w:pgSz w:w="11880" w:h="15480" w:orient="portrait"/>
          <w:cols w:equalWidth="0" w:num="1">
            <w:col w:w="10160"/>
          </w:cols>
          <w:pgMar w:left="860" w:top="512" w:right="860" w:bottom="0" w:gutter="0" w:footer="0" w:header="0"/>
          <w:type w:val="continuous"/>
        </w:sectPr>
      </w:pPr>
    </w:p>
    <w:bookmarkStart w:id="142" w:name="page143"/>
    <w:bookmarkEnd w:id="142"/>
    <w:tbl>
      <w:tblPr>
        <w:tblLayout w:type="fixed"/>
        <w:tblInd w:w="6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7"/>
          </w:tcPr>
          <w:p>
            <w:pPr>
              <w:jc w:val="right"/>
              <w:ind w:right="363"/>
              <w:spacing w:after="0"/>
              <w:rPr>
                <w:sz w:val="20"/>
                <w:szCs w:val="20"/>
                <w:color w:val="auto"/>
              </w:rPr>
            </w:pPr>
            <w:r>
              <w:rPr>
                <w:rFonts w:ascii="Arial" w:cs="Arial" w:eastAsia="Arial" w:hAnsi="Arial"/>
                <w:sz w:val="16"/>
                <w:szCs w:val="16"/>
                <w:b w:val="1"/>
                <w:bCs w:val="1"/>
                <w:color w:val="auto"/>
                <w:w w:val="97"/>
              </w:rPr>
              <w:t>Fair Value Measurements as of December 31, 2023</w:t>
            </w:r>
          </w:p>
        </w:tc>
        <w:tc>
          <w:tcPr>
            <w:tcW w:w="0" w:type="dxa"/>
            <w:vAlign w:val="bottom"/>
          </w:tcPr>
          <w:p>
            <w:pPr>
              <w:spacing w:after="0"/>
              <w:rPr>
                <w:sz w:val="1"/>
                <w:szCs w:val="1"/>
                <w:color w:val="auto"/>
              </w:rPr>
            </w:pPr>
          </w:p>
        </w:tc>
      </w:tr>
      <w:tr>
        <w:trPr>
          <w:trHeight w:val="164"/>
        </w:trPr>
        <w:tc>
          <w:tcPr>
            <w:tcW w:w="5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46"/>
              <w:spacing w:after="0" w:line="164" w:lineRule="exact"/>
              <w:rPr>
                <w:sz w:val="20"/>
                <w:szCs w:val="20"/>
                <w:color w:val="auto"/>
              </w:rPr>
            </w:pPr>
            <w:r>
              <w:rPr>
                <w:rFonts w:ascii="Arial" w:cs="Arial" w:eastAsia="Arial" w:hAnsi="Arial"/>
                <w:sz w:val="16"/>
                <w:szCs w:val="16"/>
                <w:b w:val="1"/>
                <w:bCs w:val="1"/>
                <w:color w:val="auto"/>
                <w:w w:val="88"/>
              </w:rPr>
              <w:t>Quoted Prices in</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center"/>
              <w:ind w:right="224"/>
              <w:spacing w:after="0"/>
              <w:rPr>
                <w:sz w:val="20"/>
                <w:szCs w:val="20"/>
                <w:color w:val="auto"/>
              </w:rPr>
            </w:pPr>
            <w:r>
              <w:rPr>
                <w:rFonts w:ascii="Arial" w:cs="Arial" w:eastAsia="Arial" w:hAnsi="Arial"/>
                <w:sz w:val="16"/>
                <w:szCs w:val="16"/>
                <w:b w:val="1"/>
                <w:bCs w:val="1"/>
                <w:color w:val="auto"/>
                <w:w w:val="87"/>
              </w:rPr>
              <w:t>Significant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720" w:type="dxa"/>
            <w:vAlign w:val="bottom"/>
          </w:tcPr>
          <w:p>
            <w:pPr>
              <w:spacing w:after="0"/>
              <w:rPr>
                <w:sz w:val="13"/>
                <w:szCs w:val="13"/>
                <w:color w:val="auto"/>
              </w:rPr>
            </w:pPr>
          </w:p>
        </w:tc>
        <w:tc>
          <w:tcPr>
            <w:tcW w:w="146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2"/>
              </w:rPr>
              <w:t>Active Markets for</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72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3"/>
                <w:szCs w:val="13"/>
                <w:color w:val="auto"/>
              </w:rPr>
            </w:pPr>
          </w:p>
        </w:tc>
        <w:tc>
          <w:tcPr>
            <w:tcW w:w="1300" w:type="dxa"/>
            <w:vAlign w:val="bottom"/>
          </w:tcPr>
          <w:p>
            <w:pPr>
              <w:ind w:left="40"/>
              <w:spacing w:after="0" w:line="158" w:lineRule="exact"/>
              <w:rPr>
                <w:sz w:val="20"/>
                <w:szCs w:val="20"/>
                <w:color w:val="auto"/>
              </w:rPr>
            </w:pPr>
            <w:r>
              <w:rPr>
                <w:rFonts w:ascii="Arial" w:cs="Arial" w:eastAsia="Arial" w:hAnsi="Arial"/>
                <w:sz w:val="16"/>
                <w:szCs w:val="16"/>
                <w:b w:val="1"/>
                <w:bCs w:val="1"/>
                <w:color w:val="auto"/>
              </w:rPr>
              <w:t>Identical Assets</w:t>
            </w:r>
          </w:p>
        </w:tc>
        <w:tc>
          <w:tcPr>
            <w:tcW w:w="80" w:type="dxa"/>
            <w:vAlign w:val="bottom"/>
          </w:tcPr>
          <w:p>
            <w:pPr>
              <w:spacing w:after="0"/>
              <w:rPr>
                <w:sz w:val="13"/>
                <w:szCs w:val="13"/>
                <w:color w:val="auto"/>
              </w:rPr>
            </w:pPr>
          </w:p>
        </w:tc>
        <w:tc>
          <w:tcPr>
            <w:tcW w:w="144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88"/>
              </w:rPr>
              <w:t>Observable Inputs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36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57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46"/>
              <w:spacing w:after="0"/>
              <w:rPr>
                <w:sz w:val="20"/>
                <w:szCs w:val="20"/>
                <w:color w:val="auto"/>
              </w:rPr>
            </w:pPr>
            <w:r>
              <w:rPr>
                <w:rFonts w:ascii="Arial" w:cs="Arial" w:eastAsia="Arial" w:hAnsi="Arial"/>
                <w:sz w:val="16"/>
                <w:szCs w:val="16"/>
                <w:b w:val="1"/>
                <w:bCs w:val="1"/>
                <w:color w:val="auto"/>
                <w:w w:val="92"/>
              </w:rPr>
              <w:t>(Level 1)</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224"/>
              <w:spacing w:after="0"/>
              <w:rPr>
                <w:sz w:val="20"/>
                <w:szCs w:val="20"/>
                <w:color w:val="auto"/>
              </w:rPr>
            </w:pPr>
            <w:r>
              <w:rPr>
                <w:rFonts w:ascii="Arial" w:cs="Arial" w:eastAsia="Arial" w:hAnsi="Arial"/>
                <w:sz w:val="16"/>
                <w:szCs w:val="16"/>
                <w:b w:val="1"/>
                <w:bCs w:val="1"/>
                <w:color w:val="auto"/>
                <w:w w:val="92"/>
              </w:rPr>
              <w:t>(Level 2)</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720" w:type="dxa"/>
            <w:vAlign w:val="bottom"/>
          </w:tcPr>
          <w:p>
            <w:pPr>
              <w:spacing w:after="0"/>
              <w:rPr>
                <w:sz w:val="20"/>
                <w:szCs w:val="20"/>
                <w:color w:val="auto"/>
              </w:rPr>
            </w:pPr>
            <w:r>
              <w:rPr>
                <w:rFonts w:ascii="Arial" w:cs="Arial" w:eastAsia="Arial" w:hAnsi="Arial"/>
                <w:sz w:val="20"/>
                <w:szCs w:val="20"/>
                <w:color w:val="auto"/>
                <w:w w:val="91"/>
              </w:rPr>
              <w:t xml:space="preserve">Common/collective trust investment — U.S. equity </w:t>
            </w:r>
            <w:r>
              <w:rPr>
                <w:rFonts w:ascii="Arial" w:cs="Arial" w:eastAsia="Arial" w:hAnsi="Arial"/>
                <w:sz w:val="20"/>
                <w:szCs w:val="20"/>
                <w:color w:val="B4B4B4"/>
                <w:w w:val="91"/>
              </w:rPr>
              <w:t>.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ind w:left="1020"/>
              <w:spacing w:after="0"/>
              <w:rPr>
                <w:sz w:val="20"/>
                <w:szCs w:val="20"/>
                <w:color w:val="auto"/>
              </w:rPr>
            </w:pPr>
            <w:r>
              <w:rPr>
                <w:rFonts w:ascii="Arial" w:cs="Arial" w:eastAsia="Arial" w:hAnsi="Arial"/>
                <w:sz w:val="20"/>
                <w:szCs w:val="20"/>
                <w:color w:val="auto"/>
              </w:rPr>
              <w:t>—</w:t>
            </w:r>
          </w:p>
        </w:tc>
        <w:tc>
          <w:tcPr>
            <w:tcW w:w="400" w:type="dxa"/>
            <w:vAlign w:val="bottom"/>
            <w:gridSpan w:val="2"/>
          </w:tcPr>
          <w:p>
            <w:pPr>
              <w:jc w:val="right"/>
              <w:ind w:right="66"/>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156</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156</w:t>
            </w:r>
          </w:p>
        </w:tc>
        <w:tc>
          <w:tcPr>
            <w:tcW w:w="0" w:type="dxa"/>
            <w:vAlign w:val="bottom"/>
          </w:tcPr>
          <w:p>
            <w:pPr>
              <w:spacing w:after="0"/>
              <w:rPr>
                <w:sz w:val="1"/>
                <w:szCs w:val="1"/>
                <w:color w:val="auto"/>
              </w:rPr>
            </w:pPr>
          </w:p>
        </w:tc>
      </w:tr>
      <w:tr>
        <w:trPr>
          <w:trHeight w:val="297"/>
        </w:trPr>
        <w:tc>
          <w:tcPr>
            <w:tcW w:w="5720" w:type="dxa"/>
            <w:vAlign w:val="bottom"/>
          </w:tcPr>
          <w:p>
            <w:pPr>
              <w:spacing w:after="0"/>
              <w:rPr>
                <w:sz w:val="20"/>
                <w:szCs w:val="20"/>
                <w:color w:val="auto"/>
              </w:rPr>
            </w:pPr>
            <w:r>
              <w:rPr>
                <w:rFonts w:ascii="Arial" w:cs="Arial" w:eastAsia="Arial" w:hAnsi="Arial"/>
                <w:sz w:val="20"/>
                <w:szCs w:val="20"/>
                <w:color w:val="auto"/>
                <w:w w:val="92"/>
              </w:rPr>
              <w:t xml:space="preserve">Common/collective trust investment — non-U.S. equity </w:t>
            </w:r>
            <w:r>
              <w:rPr>
                <w:rFonts w:ascii="Arial" w:cs="Arial" w:eastAsia="Arial" w:hAnsi="Arial"/>
                <w:sz w:val="20"/>
                <w:szCs w:val="20"/>
                <w:color w:val="B4B4B4"/>
                <w:w w:val="92"/>
              </w:rPr>
              <w:t>. . . . . . . . . . . .</w:t>
            </w:r>
          </w:p>
        </w:tc>
        <w:tc>
          <w:tcPr>
            <w:tcW w:w="160" w:type="dxa"/>
            <w:vAlign w:val="bottom"/>
          </w:tcPr>
          <w:p>
            <w:pPr>
              <w:spacing w:after="0"/>
              <w:rPr>
                <w:sz w:val="24"/>
                <w:szCs w:val="24"/>
                <w:color w:val="auto"/>
              </w:rPr>
            </w:pPr>
          </w:p>
        </w:tc>
        <w:tc>
          <w:tcPr>
            <w:tcW w:w="1300" w:type="dxa"/>
            <w:vAlign w:val="bottom"/>
          </w:tcPr>
          <w:p>
            <w:pPr>
              <w:ind w:left="10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297"/>
        </w:trPr>
        <w:tc>
          <w:tcPr>
            <w:tcW w:w="5720" w:type="dxa"/>
            <w:vAlign w:val="bottom"/>
          </w:tcPr>
          <w:p>
            <w:pPr>
              <w:spacing w:after="0"/>
              <w:rPr>
                <w:sz w:val="20"/>
                <w:szCs w:val="20"/>
                <w:color w:val="auto"/>
              </w:rPr>
            </w:pPr>
            <w:r>
              <w:rPr>
                <w:rFonts w:ascii="Arial" w:cs="Arial" w:eastAsia="Arial" w:hAnsi="Arial"/>
                <w:sz w:val="20"/>
                <w:szCs w:val="20"/>
                <w:color w:val="auto"/>
                <w:w w:val="90"/>
              </w:rPr>
              <w:t xml:space="preserve">Common/collective trust investment — non-core assets  </w:t>
            </w:r>
            <w:r>
              <w:rPr>
                <w:rFonts w:ascii="Arial" w:cs="Arial" w:eastAsia="Arial" w:hAnsi="Arial"/>
                <w:sz w:val="20"/>
                <w:szCs w:val="20"/>
                <w:color w:val="B4B4B4"/>
                <w:w w:val="90"/>
              </w:rPr>
              <w:t>. . . . . . . . . . . .</w:t>
            </w:r>
          </w:p>
        </w:tc>
        <w:tc>
          <w:tcPr>
            <w:tcW w:w="160" w:type="dxa"/>
            <w:vAlign w:val="bottom"/>
          </w:tcPr>
          <w:p>
            <w:pPr>
              <w:spacing w:after="0"/>
              <w:rPr>
                <w:sz w:val="24"/>
                <w:szCs w:val="24"/>
                <w:color w:val="auto"/>
              </w:rPr>
            </w:pPr>
          </w:p>
        </w:tc>
        <w:tc>
          <w:tcPr>
            <w:tcW w:w="1300" w:type="dxa"/>
            <w:vAlign w:val="bottom"/>
          </w:tcPr>
          <w:p>
            <w:pPr>
              <w:ind w:left="10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97"/>
        </w:trPr>
        <w:tc>
          <w:tcPr>
            <w:tcW w:w="5720" w:type="dxa"/>
            <w:vAlign w:val="bottom"/>
          </w:tcPr>
          <w:p>
            <w:pPr>
              <w:spacing w:after="0"/>
              <w:rPr>
                <w:sz w:val="20"/>
                <w:szCs w:val="20"/>
                <w:color w:val="auto"/>
              </w:rPr>
            </w:pPr>
            <w:r>
              <w:rPr>
                <w:rFonts w:ascii="Arial" w:cs="Arial" w:eastAsia="Arial" w:hAnsi="Arial"/>
                <w:sz w:val="20"/>
                <w:szCs w:val="20"/>
                <w:color w:val="auto"/>
                <w:w w:val="92"/>
              </w:rPr>
              <w:t xml:space="preserve">Common/collective trust investment — fixed income </w:t>
            </w:r>
            <w:r>
              <w:rPr>
                <w:rFonts w:ascii="Arial" w:cs="Arial" w:eastAsia="Arial" w:hAnsi="Arial"/>
                <w:sz w:val="20"/>
                <w:szCs w:val="20"/>
                <w:color w:val="B4B4B4"/>
                <w:w w:val="92"/>
              </w:rPr>
              <w:t>. . . . . . . . . . . . . .</w:t>
            </w:r>
          </w:p>
        </w:tc>
        <w:tc>
          <w:tcPr>
            <w:tcW w:w="160" w:type="dxa"/>
            <w:vAlign w:val="bottom"/>
          </w:tcPr>
          <w:p>
            <w:pPr>
              <w:spacing w:after="0"/>
              <w:rPr>
                <w:sz w:val="24"/>
                <w:szCs w:val="24"/>
                <w:color w:val="auto"/>
              </w:rPr>
            </w:pPr>
          </w:p>
        </w:tc>
        <w:tc>
          <w:tcPr>
            <w:tcW w:w="1300" w:type="dxa"/>
            <w:vAlign w:val="bottom"/>
          </w:tcPr>
          <w:p>
            <w:pPr>
              <w:ind w:left="10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188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188</w:t>
            </w:r>
          </w:p>
        </w:tc>
        <w:tc>
          <w:tcPr>
            <w:tcW w:w="0" w:type="dxa"/>
            <w:vAlign w:val="bottom"/>
          </w:tcPr>
          <w:p>
            <w:pPr>
              <w:spacing w:after="0"/>
              <w:rPr>
                <w:sz w:val="1"/>
                <w:szCs w:val="1"/>
                <w:color w:val="auto"/>
              </w:rPr>
            </w:pPr>
          </w:p>
        </w:tc>
      </w:tr>
      <w:tr>
        <w:trPr>
          <w:trHeight w:val="299"/>
        </w:trPr>
        <w:tc>
          <w:tcPr>
            <w:tcW w:w="5720" w:type="dxa"/>
            <w:vAlign w:val="bottom"/>
          </w:tcPr>
          <w:p>
            <w:pPr>
              <w:spacing w:after="0"/>
              <w:rPr>
                <w:sz w:val="20"/>
                <w:szCs w:val="20"/>
                <w:color w:val="auto"/>
              </w:rPr>
            </w:pPr>
            <w:r>
              <w:rPr>
                <w:rFonts w:ascii="Arial" w:cs="Arial" w:eastAsia="Arial" w:hAnsi="Arial"/>
                <w:sz w:val="20"/>
                <w:szCs w:val="20"/>
                <w:color w:val="auto"/>
                <w:w w:val="90"/>
              </w:rPr>
              <w:t xml:space="preserve">Short-term investment fund </w:t>
            </w:r>
            <w:r>
              <w:rPr>
                <w:rFonts w:ascii="Arial" w:cs="Arial" w:eastAsia="Arial" w:hAnsi="Arial"/>
                <w:sz w:val="20"/>
                <w:szCs w:val="20"/>
                <w:color w:val="B4B4B4"/>
                <w:w w:val="90"/>
              </w:rPr>
              <w:t>. . . . . . . . . . . . . . . . . . . . . . . . . . . . . . . . . . .</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20"/>
                <w:szCs w:val="20"/>
                <w:color w:val="auto"/>
              </w:rPr>
              <w:t>19</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75"/>
        </w:trPr>
        <w:tc>
          <w:tcPr>
            <w:tcW w:w="5720" w:type="dxa"/>
            <w:vAlign w:val="bottom"/>
          </w:tcPr>
          <w:p>
            <w:pPr>
              <w:ind w:left="120"/>
              <w:spacing w:after="0"/>
              <w:rPr>
                <w:sz w:val="20"/>
                <w:szCs w:val="20"/>
                <w:color w:val="auto"/>
              </w:rPr>
            </w:pPr>
            <w:r>
              <w:rPr>
                <w:rFonts w:ascii="Arial" w:cs="Arial" w:eastAsia="Arial" w:hAnsi="Arial"/>
                <w:sz w:val="20"/>
                <w:szCs w:val="20"/>
                <w:color w:val="auto"/>
                <w:w w:val="90"/>
              </w:rPr>
              <w:t xml:space="preserve">Subtotal fair value </w:t>
            </w:r>
            <w:r>
              <w:rPr>
                <w:rFonts w:ascii="Arial" w:cs="Arial" w:eastAsia="Arial" w:hAnsi="Arial"/>
                <w:sz w:val="20"/>
                <w:szCs w:val="20"/>
                <w:color w:val="B4B4B4"/>
                <w:w w:val="90"/>
              </w:rPr>
              <w:t>. . . . . . . . . . . . . . . . . . . .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ind w:left="1020"/>
              <w:spacing w:after="0"/>
              <w:rPr>
                <w:sz w:val="20"/>
                <w:szCs w:val="20"/>
                <w:color w:val="auto"/>
              </w:rPr>
            </w:pPr>
            <w:r>
              <w:rPr>
                <w:rFonts w:ascii="Arial" w:cs="Arial" w:eastAsia="Arial" w:hAnsi="Arial"/>
                <w:sz w:val="20"/>
                <w:szCs w:val="20"/>
                <w:color w:val="auto"/>
              </w:rPr>
              <w:t>19</w:t>
            </w:r>
          </w:p>
        </w:tc>
        <w:tc>
          <w:tcPr>
            <w:tcW w:w="400" w:type="dxa"/>
            <w:vAlign w:val="bottom"/>
            <w:gridSpan w:val="2"/>
          </w:tcPr>
          <w:p>
            <w:pPr>
              <w:jc w:val="right"/>
              <w:ind w:right="66"/>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483</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502</w:t>
            </w:r>
          </w:p>
        </w:tc>
        <w:tc>
          <w:tcPr>
            <w:tcW w:w="0" w:type="dxa"/>
            <w:vAlign w:val="bottom"/>
          </w:tcPr>
          <w:p>
            <w:pPr>
              <w:spacing w:after="0"/>
              <w:rPr>
                <w:sz w:val="1"/>
                <w:szCs w:val="1"/>
                <w:color w:val="auto"/>
              </w:rPr>
            </w:pPr>
          </w:p>
        </w:tc>
      </w:tr>
      <w:tr>
        <w:trPr>
          <w:trHeight w:val="297"/>
        </w:trPr>
        <w:tc>
          <w:tcPr>
            <w:tcW w:w="5720" w:type="dxa"/>
            <w:vAlign w:val="bottom"/>
          </w:tcPr>
          <w:p>
            <w:pPr>
              <w:spacing w:after="0"/>
              <w:rPr>
                <w:sz w:val="20"/>
                <w:szCs w:val="20"/>
                <w:color w:val="auto"/>
              </w:rPr>
            </w:pPr>
            <w:r>
              <w:rPr>
                <w:rFonts w:ascii="Arial" w:cs="Arial" w:eastAsia="Arial" w:hAnsi="Arial"/>
                <w:sz w:val="20"/>
                <w:szCs w:val="20"/>
                <w:color w:val="auto"/>
              </w:rPr>
              <w:t>Measured at net asset value practical expedient:</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20" w:type="dxa"/>
            <w:vAlign w:val="bottom"/>
          </w:tcPr>
          <w:p>
            <w:pPr>
              <w:spacing w:after="0"/>
              <w:rPr>
                <w:sz w:val="20"/>
                <w:szCs w:val="20"/>
                <w:color w:val="auto"/>
              </w:rPr>
            </w:pPr>
            <w:r>
              <w:rPr>
                <w:rFonts w:ascii="Arial" w:cs="Arial" w:eastAsia="Arial" w:hAnsi="Arial"/>
                <w:sz w:val="20"/>
                <w:szCs w:val="20"/>
                <w:color w:val="auto"/>
                <w:w w:val="92"/>
              </w:rPr>
              <w:t xml:space="preserve">Common/collective trust investment — non-U.S. equity </w:t>
            </w:r>
            <w:r>
              <w:rPr>
                <w:rFonts w:ascii="Arial" w:cs="Arial" w:eastAsia="Arial" w:hAnsi="Arial"/>
                <w:sz w:val="20"/>
                <w:szCs w:val="20"/>
                <w:color w:val="B4B4B4"/>
                <w:w w:val="92"/>
              </w:rPr>
              <w:t>. . . . . . . . . . . .</w:t>
            </w:r>
          </w:p>
        </w:tc>
        <w:tc>
          <w:tcPr>
            <w:tcW w:w="160" w:type="dxa"/>
            <w:vAlign w:val="bottom"/>
          </w:tcPr>
          <w:p>
            <w:pPr>
              <w:jc w:val="right"/>
              <w:spacing w:after="0"/>
              <w:rPr>
                <w:sz w:val="20"/>
                <w:szCs w:val="20"/>
                <w:color w:val="auto"/>
              </w:rPr>
            </w:pPr>
            <w:r>
              <w:rPr>
                <w:rFonts w:ascii="Arial" w:cs="Arial" w:eastAsia="Arial" w:hAnsi="Arial"/>
                <w:sz w:val="20"/>
                <w:szCs w:val="20"/>
                <w:color w:val="B4B4B4"/>
                <w:w w:val="83"/>
              </w:rPr>
              <w:t>. .</w:t>
            </w:r>
          </w:p>
        </w:tc>
        <w:tc>
          <w:tcPr>
            <w:tcW w:w="1300" w:type="dxa"/>
            <w:vAlign w:val="bottom"/>
          </w:tcPr>
          <w:p>
            <w:pPr>
              <w:ind w:left="40"/>
              <w:spacing w:after="0"/>
              <w:rPr>
                <w:sz w:val="20"/>
                <w:szCs w:val="20"/>
                <w:color w:val="auto"/>
              </w:rPr>
            </w:pPr>
            <w:r>
              <w:rPr>
                <w:rFonts w:ascii="Arial" w:cs="Arial" w:eastAsia="Arial" w:hAnsi="Arial"/>
                <w:sz w:val="20"/>
                <w:szCs w:val="20"/>
                <w:color w:val="B4B4B4"/>
                <w:w w:val="89"/>
              </w:rPr>
              <w:t>. . . . . . . . . . . . .</w:t>
            </w:r>
          </w:p>
        </w:tc>
        <w:tc>
          <w:tcPr>
            <w:tcW w:w="80" w:type="dxa"/>
            <w:vAlign w:val="bottom"/>
          </w:tcPr>
          <w:p>
            <w:pPr>
              <w:jc w:val="right"/>
              <w:spacing w:after="0"/>
              <w:rPr>
                <w:sz w:val="20"/>
                <w:szCs w:val="20"/>
                <w:color w:val="auto"/>
              </w:rPr>
            </w:pPr>
            <w:r>
              <w:rPr>
                <w:rFonts w:ascii="Arial" w:cs="Arial" w:eastAsia="Arial" w:hAnsi="Arial"/>
                <w:sz w:val="20"/>
                <w:szCs w:val="20"/>
                <w:color w:val="B4B4B4"/>
              </w:rPr>
              <w:t>.</w:t>
            </w:r>
          </w:p>
        </w:tc>
        <w:tc>
          <w:tcPr>
            <w:tcW w:w="320" w:type="dxa"/>
            <w:vAlign w:val="bottom"/>
          </w:tcPr>
          <w:p>
            <w:pPr>
              <w:jc w:val="right"/>
              <w:spacing w:after="0"/>
              <w:rPr>
                <w:sz w:val="20"/>
                <w:szCs w:val="20"/>
                <w:color w:val="auto"/>
              </w:rPr>
            </w:pPr>
            <w:r>
              <w:rPr>
                <w:rFonts w:ascii="Arial" w:cs="Arial" w:eastAsia="Arial" w:hAnsi="Arial"/>
                <w:sz w:val="20"/>
                <w:szCs w:val="20"/>
                <w:color w:val="B4B4B4"/>
              </w:rPr>
              <w:t>. . .</w:t>
            </w:r>
          </w:p>
        </w:tc>
        <w:tc>
          <w:tcPr>
            <w:tcW w:w="1120" w:type="dxa"/>
            <w:vAlign w:val="bottom"/>
          </w:tcPr>
          <w:p>
            <w:pPr>
              <w:jc w:val="right"/>
              <w:spacing w:after="0"/>
              <w:rPr>
                <w:sz w:val="20"/>
                <w:szCs w:val="20"/>
                <w:color w:val="auto"/>
              </w:rPr>
            </w:pPr>
            <w:r>
              <w:rPr>
                <w:rFonts w:ascii="Arial" w:cs="Arial" w:eastAsia="Arial" w:hAnsi="Arial"/>
                <w:sz w:val="20"/>
                <w:szCs w:val="20"/>
                <w:color w:val="B4B4B4"/>
                <w:w w:val="89"/>
              </w:rPr>
              <w:t>. . . . . . . . . .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97"/>
        </w:trPr>
        <w:tc>
          <w:tcPr>
            <w:tcW w:w="5720" w:type="dxa"/>
            <w:vAlign w:val="bottom"/>
          </w:tcPr>
          <w:p>
            <w:pPr>
              <w:spacing w:after="0"/>
              <w:rPr>
                <w:sz w:val="20"/>
                <w:szCs w:val="20"/>
                <w:color w:val="auto"/>
              </w:rPr>
            </w:pPr>
            <w:r>
              <w:rPr>
                <w:rFonts w:ascii="Arial" w:cs="Arial" w:eastAsia="Arial" w:hAnsi="Arial"/>
                <w:sz w:val="20"/>
                <w:szCs w:val="20"/>
                <w:color w:val="auto"/>
                <w:w w:val="91"/>
              </w:rPr>
              <w:t xml:space="preserve">Common/collective trust investment — fixed income  </w:t>
            </w:r>
            <w:r>
              <w:rPr>
                <w:rFonts w:ascii="Arial" w:cs="Arial" w:eastAsia="Arial" w:hAnsi="Arial"/>
                <w:sz w:val="20"/>
                <w:szCs w:val="20"/>
                <w:color w:val="B4B4B4"/>
                <w:w w:val="91"/>
              </w:rPr>
              <w:t>. . . . . . . . . . . . . .</w:t>
            </w:r>
          </w:p>
        </w:tc>
        <w:tc>
          <w:tcPr>
            <w:tcW w:w="160" w:type="dxa"/>
            <w:vAlign w:val="bottom"/>
          </w:tcPr>
          <w:p>
            <w:pPr>
              <w:jc w:val="right"/>
              <w:spacing w:after="0"/>
              <w:rPr>
                <w:sz w:val="20"/>
                <w:szCs w:val="20"/>
                <w:color w:val="auto"/>
              </w:rPr>
            </w:pPr>
            <w:r>
              <w:rPr>
                <w:rFonts w:ascii="Arial" w:cs="Arial" w:eastAsia="Arial" w:hAnsi="Arial"/>
                <w:sz w:val="20"/>
                <w:szCs w:val="20"/>
                <w:color w:val="B4B4B4"/>
                <w:w w:val="83"/>
              </w:rPr>
              <w:t>. .</w:t>
            </w:r>
          </w:p>
        </w:tc>
        <w:tc>
          <w:tcPr>
            <w:tcW w:w="1300" w:type="dxa"/>
            <w:vAlign w:val="bottom"/>
          </w:tcPr>
          <w:p>
            <w:pPr>
              <w:ind w:left="40"/>
              <w:spacing w:after="0"/>
              <w:rPr>
                <w:sz w:val="20"/>
                <w:szCs w:val="20"/>
                <w:color w:val="auto"/>
              </w:rPr>
            </w:pPr>
            <w:r>
              <w:rPr>
                <w:rFonts w:ascii="Arial" w:cs="Arial" w:eastAsia="Arial" w:hAnsi="Arial"/>
                <w:sz w:val="20"/>
                <w:szCs w:val="20"/>
                <w:color w:val="B4B4B4"/>
                <w:w w:val="89"/>
              </w:rPr>
              <w:t>. . . . . . . . . . . . .</w:t>
            </w:r>
          </w:p>
        </w:tc>
        <w:tc>
          <w:tcPr>
            <w:tcW w:w="80" w:type="dxa"/>
            <w:vAlign w:val="bottom"/>
          </w:tcPr>
          <w:p>
            <w:pPr>
              <w:jc w:val="right"/>
              <w:spacing w:after="0"/>
              <w:rPr>
                <w:sz w:val="20"/>
                <w:szCs w:val="20"/>
                <w:color w:val="auto"/>
              </w:rPr>
            </w:pPr>
            <w:r>
              <w:rPr>
                <w:rFonts w:ascii="Arial" w:cs="Arial" w:eastAsia="Arial" w:hAnsi="Arial"/>
                <w:sz w:val="20"/>
                <w:szCs w:val="20"/>
                <w:color w:val="B4B4B4"/>
              </w:rPr>
              <w:t>.</w:t>
            </w:r>
          </w:p>
        </w:tc>
        <w:tc>
          <w:tcPr>
            <w:tcW w:w="320" w:type="dxa"/>
            <w:vAlign w:val="bottom"/>
          </w:tcPr>
          <w:p>
            <w:pPr>
              <w:jc w:val="right"/>
              <w:spacing w:after="0"/>
              <w:rPr>
                <w:sz w:val="20"/>
                <w:szCs w:val="20"/>
                <w:color w:val="auto"/>
              </w:rPr>
            </w:pPr>
            <w:r>
              <w:rPr>
                <w:rFonts w:ascii="Arial" w:cs="Arial" w:eastAsia="Arial" w:hAnsi="Arial"/>
                <w:sz w:val="20"/>
                <w:szCs w:val="20"/>
                <w:color w:val="B4B4B4"/>
              </w:rPr>
              <w:t>. . .</w:t>
            </w:r>
          </w:p>
        </w:tc>
        <w:tc>
          <w:tcPr>
            <w:tcW w:w="1120" w:type="dxa"/>
            <w:vAlign w:val="bottom"/>
          </w:tcPr>
          <w:p>
            <w:pPr>
              <w:jc w:val="right"/>
              <w:spacing w:after="0"/>
              <w:rPr>
                <w:sz w:val="20"/>
                <w:szCs w:val="20"/>
                <w:color w:val="auto"/>
              </w:rPr>
            </w:pPr>
            <w:r>
              <w:rPr>
                <w:rFonts w:ascii="Arial" w:cs="Arial" w:eastAsia="Arial" w:hAnsi="Arial"/>
                <w:sz w:val="20"/>
                <w:szCs w:val="20"/>
                <w:color w:val="B4B4B4"/>
                <w:w w:val="89"/>
              </w:rPr>
              <w:t>. . . . . . . . . .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243</w:t>
            </w:r>
          </w:p>
        </w:tc>
        <w:tc>
          <w:tcPr>
            <w:tcW w:w="0" w:type="dxa"/>
            <w:vAlign w:val="bottom"/>
          </w:tcPr>
          <w:p>
            <w:pPr>
              <w:spacing w:after="0"/>
              <w:rPr>
                <w:sz w:val="1"/>
                <w:szCs w:val="1"/>
                <w:color w:val="auto"/>
              </w:rPr>
            </w:pPr>
          </w:p>
        </w:tc>
      </w:tr>
      <w:tr>
        <w:trPr>
          <w:trHeight w:val="297"/>
        </w:trPr>
        <w:tc>
          <w:tcPr>
            <w:tcW w:w="5720" w:type="dxa"/>
            <w:vAlign w:val="bottom"/>
          </w:tcPr>
          <w:p>
            <w:pPr>
              <w:spacing w:after="0"/>
              <w:rPr>
                <w:sz w:val="20"/>
                <w:szCs w:val="20"/>
                <w:color w:val="auto"/>
              </w:rPr>
            </w:pPr>
            <w:r>
              <w:rPr>
                <w:rFonts w:ascii="Arial" w:cs="Arial" w:eastAsia="Arial" w:hAnsi="Arial"/>
                <w:sz w:val="20"/>
                <w:szCs w:val="20"/>
                <w:color w:val="auto"/>
                <w:highlight w:val="white"/>
                <w:w w:val="89"/>
              </w:rPr>
              <w:t xml:space="preserve">Common/collective trust investment — non-core assets </w:t>
            </w:r>
            <w:r>
              <w:rPr>
                <w:rFonts w:ascii="Arial" w:cs="Arial" w:eastAsia="Arial" w:hAnsi="Arial"/>
                <w:sz w:val="20"/>
                <w:szCs w:val="20"/>
                <w:color w:val="B4B4B4"/>
                <w:highlight w:val="white"/>
                <w:w w:val="89"/>
              </w:rPr>
              <w:t>. . . . . . . . . . . . .</w:t>
            </w:r>
          </w:p>
        </w:tc>
        <w:tc>
          <w:tcPr>
            <w:tcW w:w="160" w:type="dxa"/>
            <w:vAlign w:val="bottom"/>
          </w:tcPr>
          <w:p>
            <w:pPr>
              <w:jc w:val="right"/>
              <w:spacing w:after="0"/>
              <w:rPr>
                <w:sz w:val="20"/>
                <w:szCs w:val="20"/>
                <w:color w:val="auto"/>
              </w:rPr>
            </w:pPr>
            <w:r>
              <w:rPr>
                <w:rFonts w:ascii="Arial" w:cs="Arial" w:eastAsia="Arial" w:hAnsi="Arial"/>
                <w:sz w:val="20"/>
                <w:szCs w:val="20"/>
                <w:color w:val="B4B4B4"/>
                <w:highlight w:val="white"/>
                <w:w w:val="83"/>
              </w:rPr>
              <w:t>. .</w:t>
            </w:r>
          </w:p>
        </w:tc>
        <w:tc>
          <w:tcPr>
            <w:tcW w:w="1300" w:type="dxa"/>
            <w:vAlign w:val="bottom"/>
          </w:tcPr>
          <w:p>
            <w:pPr>
              <w:ind w:left="40"/>
              <w:spacing w:after="0"/>
              <w:rPr>
                <w:sz w:val="20"/>
                <w:szCs w:val="20"/>
                <w:color w:val="auto"/>
              </w:rPr>
            </w:pPr>
            <w:r>
              <w:rPr>
                <w:rFonts w:ascii="Arial" w:cs="Arial" w:eastAsia="Arial" w:hAnsi="Arial"/>
                <w:sz w:val="20"/>
                <w:szCs w:val="20"/>
                <w:color w:val="B4B4B4"/>
                <w:highlight w:val="white"/>
                <w:w w:val="89"/>
              </w:rPr>
              <w:t>. . . . . . . . . . . . .</w:t>
            </w:r>
          </w:p>
        </w:tc>
        <w:tc>
          <w:tcPr>
            <w:tcW w:w="400" w:type="dxa"/>
            <w:vAlign w:val="bottom"/>
            <w:gridSpan w:val="2"/>
          </w:tcPr>
          <w:p>
            <w:pPr>
              <w:jc w:val="right"/>
              <w:spacing w:after="0"/>
              <w:rPr>
                <w:sz w:val="20"/>
                <w:szCs w:val="20"/>
                <w:color w:val="auto"/>
              </w:rPr>
            </w:pPr>
            <w:r>
              <w:rPr>
                <w:rFonts w:ascii="Arial" w:cs="Arial" w:eastAsia="Arial" w:hAnsi="Arial"/>
                <w:sz w:val="20"/>
                <w:szCs w:val="20"/>
                <w:color w:val="B4B4B4"/>
                <w:highlight w:val="white"/>
                <w:w w:val="92"/>
              </w:rPr>
              <w:t>. . . .</w:t>
            </w:r>
          </w:p>
        </w:tc>
        <w:tc>
          <w:tcPr>
            <w:tcW w:w="1120" w:type="dxa"/>
            <w:vAlign w:val="bottom"/>
          </w:tcPr>
          <w:p>
            <w:pPr>
              <w:jc w:val="right"/>
              <w:spacing w:after="0"/>
              <w:rPr>
                <w:sz w:val="20"/>
                <w:szCs w:val="20"/>
                <w:color w:val="auto"/>
              </w:rPr>
            </w:pPr>
            <w:r>
              <w:rPr>
                <w:rFonts w:ascii="Arial" w:cs="Arial" w:eastAsia="Arial" w:hAnsi="Arial"/>
                <w:sz w:val="20"/>
                <w:szCs w:val="20"/>
                <w:color w:val="B4B4B4"/>
                <w:highlight w:val="white"/>
                <w:w w:val="90"/>
              </w:rPr>
              <w:t>. . . . . . . . . .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99"/>
        </w:trPr>
        <w:tc>
          <w:tcPr>
            <w:tcW w:w="5720" w:type="dxa"/>
            <w:vAlign w:val="bottom"/>
          </w:tcPr>
          <w:p>
            <w:pPr>
              <w:spacing w:after="0"/>
              <w:rPr>
                <w:sz w:val="20"/>
                <w:szCs w:val="20"/>
                <w:color w:val="auto"/>
              </w:rPr>
            </w:pPr>
            <w:r>
              <w:rPr>
                <w:rFonts w:ascii="Arial" w:cs="Arial" w:eastAsia="Arial" w:hAnsi="Arial"/>
                <w:sz w:val="20"/>
                <w:szCs w:val="20"/>
                <w:color w:val="auto"/>
                <w:w w:val="89"/>
                <w:shd w:val="clear" w:color="auto" w:fill="E6E6E6"/>
              </w:rPr>
              <w:t xml:space="preserve">Partnerships/joint ventures </w:t>
            </w:r>
            <w:r>
              <w:rPr>
                <w:rFonts w:ascii="Arial" w:cs="Arial" w:eastAsia="Arial" w:hAnsi="Arial"/>
                <w:sz w:val="20"/>
                <w:szCs w:val="20"/>
                <w:color w:val="B4B4B4"/>
                <w:w w:val="89"/>
                <w:shd w:val="clear" w:color="auto" w:fill="E6E6E6"/>
              </w:rPr>
              <w:t>. . . . . . . . . . . . . . .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B4B4B4"/>
                <w:w w:val="83"/>
                <w:shd w:val="clear" w:color="auto" w:fill="E6E6E6"/>
              </w:rPr>
              <w:t>. .</w:t>
            </w:r>
          </w:p>
        </w:tc>
        <w:tc>
          <w:tcPr>
            <w:tcW w:w="1300" w:type="dxa"/>
            <w:vAlign w:val="bottom"/>
          </w:tcPr>
          <w:p>
            <w:pPr>
              <w:ind w:left="40"/>
              <w:spacing w:after="0"/>
              <w:rPr>
                <w:sz w:val="20"/>
                <w:szCs w:val="20"/>
                <w:color w:val="auto"/>
              </w:rPr>
            </w:pPr>
            <w:r>
              <w:rPr>
                <w:rFonts w:ascii="Arial" w:cs="Arial" w:eastAsia="Arial" w:hAnsi="Arial"/>
                <w:sz w:val="20"/>
                <w:szCs w:val="20"/>
                <w:color w:val="B4B4B4"/>
                <w:w w:val="89"/>
                <w:shd w:val="clear" w:color="auto" w:fill="E6E6E6"/>
              </w:rPr>
              <w:t>. . . . . . . . . . . . .</w:t>
            </w:r>
          </w:p>
        </w:tc>
        <w:tc>
          <w:tcPr>
            <w:tcW w:w="400" w:type="dxa"/>
            <w:vAlign w:val="bottom"/>
            <w:gridSpan w:val="2"/>
          </w:tcPr>
          <w:p>
            <w:pPr>
              <w:jc w:val="right"/>
              <w:spacing w:after="0"/>
              <w:rPr>
                <w:sz w:val="20"/>
                <w:szCs w:val="20"/>
                <w:color w:val="auto"/>
              </w:rPr>
            </w:pPr>
            <w:r>
              <w:rPr>
                <w:rFonts w:ascii="Arial" w:cs="Arial" w:eastAsia="Arial" w:hAnsi="Arial"/>
                <w:sz w:val="20"/>
                <w:szCs w:val="20"/>
                <w:color w:val="B4B4B4"/>
                <w:w w:val="92"/>
                <w:shd w:val="clear" w:color="auto" w:fill="E6E6E6"/>
              </w:rPr>
              <w:t>. . . .</w:t>
            </w:r>
          </w:p>
        </w:tc>
        <w:tc>
          <w:tcPr>
            <w:tcW w:w="1120" w:type="dxa"/>
            <w:vAlign w:val="bottom"/>
          </w:tcPr>
          <w:p>
            <w:pPr>
              <w:jc w:val="right"/>
              <w:spacing w:after="0"/>
              <w:rPr>
                <w:sz w:val="20"/>
                <w:szCs w:val="20"/>
                <w:color w:val="auto"/>
              </w:rPr>
            </w:pPr>
            <w:r>
              <w:rPr>
                <w:rFonts w:ascii="Arial" w:cs="Arial" w:eastAsia="Arial" w:hAnsi="Arial"/>
                <w:sz w:val="20"/>
                <w:szCs w:val="20"/>
                <w:color w:val="B4B4B4"/>
                <w:w w:val="90"/>
                <w:shd w:val="clear" w:color="auto" w:fill="E6E6E6"/>
              </w:rPr>
              <w:t>. . . . . . . . . . .</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57"/>
        </w:trPr>
        <w:tc>
          <w:tcPr>
            <w:tcW w:w="5720" w:type="dxa"/>
            <w:vAlign w:val="bottom"/>
          </w:tcPr>
          <w:p>
            <w:pPr>
              <w:ind w:left="120"/>
              <w:spacing w:after="0"/>
              <w:rPr>
                <w:sz w:val="20"/>
                <w:szCs w:val="20"/>
                <w:color w:val="auto"/>
              </w:rPr>
            </w:pPr>
            <w:r>
              <w:rPr>
                <w:rFonts w:ascii="Arial" w:cs="Arial" w:eastAsia="Arial" w:hAnsi="Arial"/>
                <w:sz w:val="20"/>
                <w:szCs w:val="20"/>
                <w:color w:val="auto"/>
                <w:w w:val="91"/>
              </w:rPr>
              <w:t xml:space="preserve">Total fair value </w:t>
            </w:r>
            <w:r>
              <w:rPr>
                <w:rFonts w:ascii="Arial" w:cs="Arial" w:eastAsia="Arial" w:hAnsi="Arial"/>
                <w:sz w:val="20"/>
                <w:szCs w:val="20"/>
                <w:color w:val="B4B4B4"/>
                <w:w w:val="91"/>
              </w:rPr>
              <w:t>. . . . . . . . . . . . . . . . . . . . . .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B4B4B4"/>
                <w:w w:val="83"/>
              </w:rPr>
              <w:t>. .</w:t>
            </w:r>
          </w:p>
        </w:tc>
        <w:tc>
          <w:tcPr>
            <w:tcW w:w="1300" w:type="dxa"/>
            <w:vAlign w:val="bottom"/>
          </w:tcPr>
          <w:p>
            <w:pPr>
              <w:ind w:left="40"/>
              <w:spacing w:after="0"/>
              <w:rPr>
                <w:sz w:val="20"/>
                <w:szCs w:val="20"/>
                <w:color w:val="auto"/>
              </w:rPr>
            </w:pPr>
            <w:r>
              <w:rPr>
                <w:rFonts w:ascii="Arial" w:cs="Arial" w:eastAsia="Arial" w:hAnsi="Arial"/>
                <w:sz w:val="20"/>
                <w:szCs w:val="20"/>
                <w:color w:val="B4B4B4"/>
                <w:w w:val="89"/>
              </w:rPr>
              <w:t>. . . . . . . . . . . . .</w:t>
            </w:r>
          </w:p>
        </w:tc>
        <w:tc>
          <w:tcPr>
            <w:tcW w:w="80" w:type="dxa"/>
            <w:vAlign w:val="bottom"/>
          </w:tcPr>
          <w:p>
            <w:pPr>
              <w:jc w:val="right"/>
              <w:spacing w:after="0"/>
              <w:rPr>
                <w:sz w:val="20"/>
                <w:szCs w:val="20"/>
                <w:color w:val="auto"/>
              </w:rPr>
            </w:pPr>
            <w:r>
              <w:rPr>
                <w:rFonts w:ascii="Arial" w:cs="Arial" w:eastAsia="Arial" w:hAnsi="Arial"/>
                <w:sz w:val="20"/>
                <w:szCs w:val="20"/>
                <w:color w:val="B4B4B4"/>
              </w:rPr>
              <w:t>.</w:t>
            </w:r>
          </w:p>
        </w:tc>
        <w:tc>
          <w:tcPr>
            <w:tcW w:w="320" w:type="dxa"/>
            <w:vAlign w:val="bottom"/>
          </w:tcPr>
          <w:p>
            <w:pPr>
              <w:jc w:val="right"/>
              <w:spacing w:after="0"/>
              <w:rPr>
                <w:sz w:val="20"/>
                <w:szCs w:val="20"/>
                <w:color w:val="auto"/>
              </w:rPr>
            </w:pPr>
            <w:r>
              <w:rPr>
                <w:rFonts w:ascii="Arial" w:cs="Arial" w:eastAsia="Arial" w:hAnsi="Arial"/>
                <w:sz w:val="20"/>
                <w:szCs w:val="20"/>
                <w:color w:val="B4B4B4"/>
              </w:rPr>
              <w:t>. . .</w:t>
            </w:r>
          </w:p>
        </w:tc>
        <w:tc>
          <w:tcPr>
            <w:tcW w:w="1120" w:type="dxa"/>
            <w:vAlign w:val="bottom"/>
          </w:tcPr>
          <w:p>
            <w:pPr>
              <w:jc w:val="right"/>
              <w:spacing w:after="0"/>
              <w:rPr>
                <w:sz w:val="20"/>
                <w:szCs w:val="20"/>
                <w:color w:val="auto"/>
              </w:rPr>
            </w:pPr>
            <w:r>
              <w:rPr>
                <w:rFonts w:ascii="Arial" w:cs="Arial" w:eastAsia="Arial" w:hAnsi="Arial"/>
                <w:sz w:val="20"/>
                <w:szCs w:val="20"/>
                <w:color w:val="B4B4B4"/>
                <w:w w:val="89"/>
              </w:rPr>
              <w:t>. . . . . . . . . . .</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851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-2294255</wp:posOffset>
            </wp:positionV>
            <wp:extent cx="6466205" cy="2301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43">
                      <a:extLst>
                        <a:ext uri="{28A0092B-C50C-407E-A947-70E740481C1C}"/>
                      </a:extLst>
                    </a:blip>
                    <a:srcRect/>
                    <a:stretch>
                      <a:fillRect/>
                    </a:stretch>
                  </pic:blipFill>
                  <pic:spPr bwMode="auto">
                    <a:xfrm>
                      <a:off x="0" y="0"/>
                      <a:ext cx="6466205" cy="2301240"/>
                    </a:xfrm>
                    <a:prstGeom prst="rect">
                      <a:avLst/>
                    </a:prstGeom>
                    <a:noFill/>
                  </pic:spPr>
                </pic:pic>
              </a:graphicData>
            </a:graphic>
          </wp:anchor>
        </w:drawing>
      </w:r>
    </w:p>
    <w:p>
      <w:pPr>
        <w:spacing w:after="0" w:line="166"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9"/>
          <w:szCs w:val="19"/>
          <w:color w:val="auto"/>
        </w:rPr>
        <w:t>In accordance with ASC 820, the Company determines the level in the fair value hierarchy within which each fair value measurement in its entirety falls, based on the lowest level input that is significant to the fair value measurement in its entirety. The fair value of the common/collective trust investments is valued at fair value which is equal to the sum of the market value of all of the fund's underlying investments. Certain common/collective trust investments have readily determinable fair value as they publish daily net asset value, or NAV, per share and are categorized as Level 2. Certain other common/collective trust investments and partnerships/joint ventures use NAV per share, or its equivalent, as a practical expedient for valuation, and thus have been removed from the fair value hierarchy table.</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presents the significant assumptions used to calculate NRG's benefit obligations:</w:t>
      </w: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ind w:right="646"/>
              <w:spacing w:after="0"/>
              <w:rPr>
                <w:sz w:val="20"/>
                <w:szCs w:val="20"/>
                <w:color w:val="auto"/>
              </w:rPr>
            </w:pPr>
            <w:r>
              <w:rPr>
                <w:rFonts w:ascii="Arial" w:cs="Arial" w:eastAsia="Arial" w:hAnsi="Arial"/>
                <w:sz w:val="16"/>
                <w:szCs w:val="16"/>
                <w:b w:val="1"/>
                <w:bCs w:val="1"/>
                <w:color w:val="auto"/>
              </w:rPr>
              <w:t>As of December 31,</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780" w:type="dxa"/>
            <w:vAlign w:val="bottom"/>
            <w:tcBorders>
              <w:bottom w:val="single" w:sz="8" w:color="auto"/>
            </w:tcBorders>
            <w:gridSpan w:val="3"/>
          </w:tcPr>
          <w:p>
            <w:pPr>
              <w:jc w:val="right"/>
              <w:ind w:right="751"/>
              <w:spacing w:after="0"/>
              <w:rPr>
                <w:sz w:val="20"/>
                <w:szCs w:val="20"/>
                <w:color w:val="auto"/>
              </w:rPr>
            </w:pPr>
            <w:r>
              <w:rPr>
                <w:rFonts w:ascii="Arial" w:cs="Arial" w:eastAsia="Arial" w:hAnsi="Arial"/>
                <w:sz w:val="16"/>
                <w:szCs w:val="16"/>
                <w:b w:val="1"/>
                <w:bCs w:val="1"/>
                <w:color w:val="auto"/>
              </w:rPr>
              <w:t>Pension Benefits</w:t>
            </w:r>
          </w:p>
        </w:tc>
        <w:tc>
          <w:tcPr>
            <w:tcW w:w="80" w:type="dxa"/>
            <w:vAlign w:val="bottom"/>
          </w:tcPr>
          <w:p>
            <w:pPr>
              <w:spacing w:after="0"/>
              <w:rPr>
                <w:sz w:val="18"/>
                <w:szCs w:val="18"/>
                <w:color w:val="auto"/>
              </w:rPr>
            </w:pPr>
          </w:p>
        </w:tc>
        <w:tc>
          <w:tcPr>
            <w:tcW w:w="292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6"/>
                <w:szCs w:val="16"/>
                <w:b w:val="1"/>
                <w:bCs w:val="1"/>
                <w:color w:val="auto"/>
              </w:rPr>
              <w:t>Other Postretirement Benefits</w:t>
            </w:r>
          </w:p>
        </w:tc>
        <w:tc>
          <w:tcPr>
            <w:tcW w:w="0" w:type="dxa"/>
            <w:vAlign w:val="bottom"/>
          </w:tcPr>
          <w:p>
            <w:pPr>
              <w:spacing w:after="0"/>
              <w:rPr>
                <w:sz w:val="1"/>
                <w:szCs w:val="1"/>
                <w:color w:val="auto"/>
              </w:rPr>
            </w:pPr>
          </w:p>
        </w:tc>
      </w:tr>
      <w:tr>
        <w:trPr>
          <w:trHeight w:val="192"/>
        </w:trPr>
        <w:tc>
          <w:tcPr>
            <w:tcW w:w="4320" w:type="dxa"/>
            <w:vAlign w:val="bottom"/>
            <w:gridSpan w:val="2"/>
          </w:tcPr>
          <w:p>
            <w:pPr>
              <w:spacing w:after="0"/>
              <w:rPr>
                <w:sz w:val="20"/>
                <w:szCs w:val="20"/>
                <w:color w:val="auto"/>
              </w:rPr>
            </w:pPr>
            <w:r>
              <w:rPr>
                <w:rFonts w:ascii="Arial" w:cs="Arial" w:eastAsia="Arial" w:hAnsi="Arial"/>
                <w:sz w:val="16"/>
                <w:szCs w:val="16"/>
                <w:b w:val="1"/>
                <w:bCs w:val="1"/>
                <w:color w:val="auto"/>
              </w:rPr>
              <w:t>Weighted-Average Assumptions</w:t>
            </w:r>
          </w:p>
        </w:tc>
        <w:tc>
          <w:tcPr>
            <w:tcW w:w="1360" w:type="dxa"/>
            <w:vAlign w:val="bottom"/>
          </w:tcPr>
          <w:p>
            <w:pPr>
              <w:jc w:val="right"/>
              <w:ind w:right="428"/>
              <w:spacing w:after="0"/>
              <w:rPr>
                <w:sz w:val="20"/>
                <w:szCs w:val="20"/>
                <w:color w:val="auto"/>
              </w:rPr>
            </w:pPr>
            <w:r>
              <w:rPr>
                <w:rFonts w:ascii="Arial" w:cs="Arial" w:eastAsia="Arial" w:hAnsi="Arial"/>
                <w:sz w:val="16"/>
                <w:szCs w:val="16"/>
                <w:b w:val="1"/>
                <w:bCs w:val="1"/>
                <w:color w:val="auto"/>
              </w:rPr>
              <w:t>2024</w:t>
            </w:r>
          </w:p>
        </w:tc>
        <w:tc>
          <w:tcPr>
            <w:tcW w:w="1420" w:type="dxa"/>
            <w:vAlign w:val="bottom"/>
            <w:gridSpan w:val="2"/>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1500" w:type="dxa"/>
            <w:vAlign w:val="bottom"/>
            <w:gridSpan w:val="2"/>
          </w:tcPr>
          <w:p>
            <w:pPr>
              <w:jc w:val="right"/>
              <w:ind w:right="466"/>
              <w:spacing w:after="0"/>
              <w:rPr>
                <w:sz w:val="20"/>
                <w:szCs w:val="20"/>
                <w:color w:val="auto"/>
              </w:rPr>
            </w:pPr>
            <w:r>
              <w:rPr>
                <w:rFonts w:ascii="Arial" w:cs="Arial" w:eastAsia="Arial" w:hAnsi="Arial"/>
                <w:sz w:val="16"/>
                <w:szCs w:val="16"/>
                <w:b w:val="1"/>
                <w:bCs w:val="1"/>
                <w:color w:val="auto"/>
              </w:rPr>
              <w:t>2024</w:t>
            </w:r>
          </w:p>
        </w:tc>
        <w:tc>
          <w:tcPr>
            <w:tcW w:w="1500" w:type="dxa"/>
            <w:vAlign w:val="bottom"/>
            <w:gridSpan w:val="2"/>
          </w:tcPr>
          <w:p>
            <w:pPr>
              <w:jc w:val="right"/>
              <w:ind w:right="44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216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320" w:type="dxa"/>
            <w:vAlign w:val="bottom"/>
            <w:gridSpan w:val="2"/>
          </w:tcPr>
          <w:p>
            <w:pPr>
              <w:spacing w:after="0"/>
              <w:rPr>
                <w:sz w:val="20"/>
                <w:szCs w:val="20"/>
                <w:color w:val="auto"/>
              </w:rPr>
            </w:pPr>
            <w:r>
              <w:rPr>
                <w:rFonts w:ascii="Arial" w:cs="Arial" w:eastAsia="Arial" w:hAnsi="Arial"/>
                <w:sz w:val="20"/>
                <w:szCs w:val="20"/>
                <w:color w:val="auto"/>
                <w:w w:val="90"/>
              </w:rPr>
              <w:t xml:space="preserve">Discount rate </w:t>
            </w:r>
            <w:r>
              <w:rPr>
                <w:rFonts w:ascii="Arial" w:cs="Arial" w:eastAsia="Arial" w:hAnsi="Arial"/>
                <w:sz w:val="20"/>
                <w:szCs w:val="20"/>
                <w:color w:val="B4B4B4"/>
                <w:w w:val="90"/>
              </w:rPr>
              <w:t>. . . . . . . . . . . . . . . . . . . . . . . . . . . . . . . .</w:t>
            </w:r>
          </w:p>
        </w:tc>
        <w:tc>
          <w:tcPr>
            <w:tcW w:w="1360" w:type="dxa"/>
            <w:vAlign w:val="bottom"/>
          </w:tcPr>
          <w:p>
            <w:pPr>
              <w:jc w:val="right"/>
              <w:spacing w:after="0"/>
              <w:rPr>
                <w:sz w:val="20"/>
                <w:szCs w:val="20"/>
                <w:color w:val="auto"/>
              </w:rPr>
            </w:pPr>
            <w:r>
              <w:rPr>
                <w:rFonts w:ascii="Arial" w:cs="Arial" w:eastAsia="Arial" w:hAnsi="Arial"/>
                <w:sz w:val="20"/>
                <w:szCs w:val="20"/>
                <w:color w:val="auto"/>
              </w:rPr>
              <w:t>5.63 %</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4.97 %</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5.55 %</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4.96 %</w:t>
            </w:r>
          </w:p>
        </w:tc>
        <w:tc>
          <w:tcPr>
            <w:tcW w:w="0" w:type="dxa"/>
            <w:vAlign w:val="bottom"/>
          </w:tcPr>
          <w:p>
            <w:pPr>
              <w:spacing w:after="0"/>
              <w:rPr>
                <w:sz w:val="1"/>
                <w:szCs w:val="1"/>
                <w:color w:val="auto"/>
              </w:rPr>
            </w:pPr>
          </w:p>
        </w:tc>
      </w:tr>
      <w:tr>
        <w:trPr>
          <w:trHeight w:val="297"/>
        </w:trPr>
        <w:tc>
          <w:tcPr>
            <w:tcW w:w="4320" w:type="dxa"/>
            <w:vAlign w:val="bottom"/>
            <w:gridSpan w:val="2"/>
          </w:tcPr>
          <w:p>
            <w:pPr>
              <w:spacing w:after="0"/>
              <w:rPr>
                <w:sz w:val="20"/>
                <w:szCs w:val="20"/>
                <w:color w:val="auto"/>
              </w:rPr>
            </w:pPr>
            <w:r>
              <w:rPr>
                <w:rFonts w:ascii="Arial" w:cs="Arial" w:eastAsia="Arial" w:hAnsi="Arial"/>
                <w:sz w:val="20"/>
                <w:szCs w:val="20"/>
                <w:color w:val="auto"/>
                <w:w w:val="90"/>
              </w:rPr>
              <w:t xml:space="preserve">Interest crediting rate </w:t>
            </w:r>
            <w:r>
              <w:rPr>
                <w:rFonts w:ascii="Arial" w:cs="Arial" w:eastAsia="Arial" w:hAnsi="Arial"/>
                <w:sz w:val="20"/>
                <w:szCs w:val="20"/>
                <w:color w:val="B4B4B4"/>
                <w:w w:val="90"/>
              </w:rPr>
              <w:t>. . . . . . . . . . . . . . . . . . . . . . . . . .</w:t>
            </w:r>
          </w:p>
        </w:tc>
        <w:tc>
          <w:tcPr>
            <w:tcW w:w="1360" w:type="dxa"/>
            <w:vAlign w:val="bottom"/>
          </w:tcPr>
          <w:p>
            <w:pPr>
              <w:jc w:val="right"/>
              <w:spacing w:after="0"/>
              <w:rPr>
                <w:sz w:val="20"/>
                <w:szCs w:val="20"/>
                <w:color w:val="auto"/>
              </w:rPr>
            </w:pPr>
            <w:r>
              <w:rPr>
                <w:rFonts w:ascii="Arial" w:cs="Arial" w:eastAsia="Arial" w:hAnsi="Arial"/>
                <w:sz w:val="20"/>
                <w:szCs w:val="20"/>
                <w:color w:val="auto"/>
              </w:rPr>
              <w:t>5.38 %</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5.67 %</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4.54 %</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4.66 %</w:t>
            </w:r>
          </w:p>
        </w:tc>
        <w:tc>
          <w:tcPr>
            <w:tcW w:w="0" w:type="dxa"/>
            <w:vAlign w:val="bottom"/>
          </w:tcPr>
          <w:p>
            <w:pPr>
              <w:spacing w:after="0"/>
              <w:rPr>
                <w:sz w:val="1"/>
                <w:szCs w:val="1"/>
                <w:color w:val="auto"/>
              </w:rPr>
            </w:pPr>
          </w:p>
        </w:tc>
      </w:tr>
      <w:tr>
        <w:trPr>
          <w:trHeight w:val="297"/>
        </w:trPr>
        <w:tc>
          <w:tcPr>
            <w:tcW w:w="4320" w:type="dxa"/>
            <w:vAlign w:val="bottom"/>
            <w:gridSpan w:val="2"/>
          </w:tcPr>
          <w:p>
            <w:pPr>
              <w:spacing w:after="0"/>
              <w:rPr>
                <w:sz w:val="20"/>
                <w:szCs w:val="20"/>
                <w:color w:val="auto"/>
              </w:rPr>
            </w:pPr>
            <w:r>
              <w:rPr>
                <w:rFonts w:ascii="Arial" w:cs="Arial" w:eastAsia="Arial" w:hAnsi="Arial"/>
                <w:sz w:val="20"/>
                <w:szCs w:val="20"/>
                <w:color w:val="auto"/>
                <w:w w:val="90"/>
              </w:rPr>
              <w:t xml:space="preserve">Rate of compensation increase </w:t>
            </w:r>
            <w:r>
              <w:rPr>
                <w:rFonts w:ascii="Arial" w:cs="Arial" w:eastAsia="Arial" w:hAnsi="Arial"/>
                <w:sz w:val="20"/>
                <w:szCs w:val="20"/>
                <w:color w:val="B4B4B4"/>
                <w:w w:val="90"/>
              </w:rPr>
              <w:t>. . . . . . . . . . . . . . . . . .</w:t>
            </w:r>
          </w:p>
        </w:tc>
        <w:tc>
          <w:tcPr>
            <w:tcW w:w="1360" w:type="dxa"/>
            <w:vAlign w:val="bottom"/>
          </w:tcPr>
          <w:p>
            <w:pPr>
              <w:jc w:val="right"/>
              <w:spacing w:after="0"/>
              <w:rPr>
                <w:sz w:val="20"/>
                <w:szCs w:val="20"/>
                <w:color w:val="auto"/>
              </w:rPr>
            </w:pPr>
            <w:r>
              <w:rPr>
                <w:rFonts w:ascii="Arial" w:cs="Arial" w:eastAsia="Arial" w:hAnsi="Arial"/>
                <w:sz w:val="20"/>
                <w:szCs w:val="20"/>
                <w:color w:val="auto"/>
              </w:rPr>
              <w:t>3.00 %</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3.06 %</w:t>
            </w:r>
          </w:p>
        </w:tc>
        <w:tc>
          <w:tcPr>
            <w:tcW w:w="80" w:type="dxa"/>
            <w:vAlign w:val="bottom"/>
          </w:tcPr>
          <w:p>
            <w:pPr>
              <w:spacing w:after="0"/>
              <w:rPr>
                <w:sz w:val="24"/>
                <w:szCs w:val="24"/>
                <w:color w:val="auto"/>
              </w:rPr>
            </w:pPr>
          </w:p>
        </w:tc>
        <w:tc>
          <w:tcPr>
            <w:tcW w:w="1420" w:type="dxa"/>
            <w:vAlign w:val="bottom"/>
          </w:tcPr>
          <w:p>
            <w:pPr>
              <w:jc w:val="right"/>
              <w:ind w:right="146"/>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40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2"/>
        </w:trPr>
        <w:tc>
          <w:tcPr>
            <w:tcW w:w="4320" w:type="dxa"/>
            <w:vAlign w:val="bottom"/>
            <w:gridSpan w:val="2"/>
            <w:vMerge w:val="restart"/>
          </w:tcPr>
          <w:p>
            <w:pPr>
              <w:spacing w:after="0"/>
              <w:rPr>
                <w:sz w:val="20"/>
                <w:szCs w:val="20"/>
                <w:color w:val="auto"/>
              </w:rPr>
            </w:pPr>
            <w:r>
              <w:rPr>
                <w:rFonts w:ascii="Arial" w:cs="Arial" w:eastAsia="Arial" w:hAnsi="Arial"/>
                <w:sz w:val="20"/>
                <w:szCs w:val="20"/>
                <w:color w:val="auto"/>
              </w:rPr>
              <w:t xml:space="preserve">Health care trend rate  </w:t>
            </w:r>
            <w:r>
              <w:rPr>
                <w:rFonts w:ascii="Arial" w:cs="Arial" w:eastAsia="Arial" w:hAnsi="Arial"/>
                <w:sz w:val="20"/>
                <w:szCs w:val="20"/>
                <w:color w:val="B4B4B4"/>
              </w:rPr>
              <w:t>. . . .</w:t>
            </w:r>
          </w:p>
        </w:tc>
        <w:tc>
          <w:tcPr>
            <w:tcW w:w="1360" w:type="dxa"/>
            <w:vAlign w:val="bottom"/>
            <w:vMerge w:val="restart"/>
          </w:tcPr>
          <w:p>
            <w:pPr>
              <w:jc w:val="right"/>
              <w:ind w:right="168"/>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360" w:type="dxa"/>
            <w:vAlign w:val="bottom"/>
            <w:vMerge w:val="restart"/>
          </w:tcPr>
          <w:p>
            <w:pPr>
              <w:jc w:val="right"/>
              <w:ind w:right="151"/>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w w:val="95"/>
              </w:rPr>
              <w:t>8.3% grading to</w:t>
            </w: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w w:val="94"/>
              </w:rPr>
              <w:t>7.7% grading to</w:t>
            </w:r>
          </w:p>
        </w:tc>
        <w:tc>
          <w:tcPr>
            <w:tcW w:w="0" w:type="dxa"/>
            <w:vAlign w:val="bottom"/>
          </w:tcPr>
          <w:p>
            <w:pPr>
              <w:spacing w:after="0"/>
              <w:rPr>
                <w:sz w:val="1"/>
                <w:szCs w:val="1"/>
                <w:color w:val="auto"/>
              </w:rPr>
            </w:pPr>
          </w:p>
        </w:tc>
      </w:tr>
      <w:tr>
        <w:trPr>
          <w:trHeight w:val="258"/>
        </w:trPr>
        <w:tc>
          <w:tcPr>
            <w:tcW w:w="4320" w:type="dxa"/>
            <w:vAlign w:val="bottom"/>
            <w:gridSpan w:val="2"/>
            <w:vMerge w:val="continue"/>
          </w:tcPr>
          <w:p>
            <w:pPr>
              <w:ind w:left="2240"/>
              <w:spacing w:after="0" w:line="198" w:lineRule="exact"/>
              <w:rPr>
                <w:sz w:val="20"/>
                <w:szCs w:val="20"/>
                <w:color w:val="auto"/>
              </w:rPr>
            </w:pPr>
            <w:r>
              <w:rPr>
                <w:rFonts w:ascii="Arial" w:cs="Arial" w:eastAsia="Arial" w:hAnsi="Arial"/>
                <w:sz w:val="20"/>
                <w:szCs w:val="20"/>
                <w:color w:val="B4B4B4"/>
                <w:w w:val="90"/>
              </w:rPr>
              <w:t>. . . . . . . . . . . . . . . . . . . . .</w:t>
            </w:r>
          </w:p>
        </w:tc>
        <w:tc>
          <w:tcPr>
            <w:tcW w:w="13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4.5% in 2034</w:t>
            </w: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4.5% in 2033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-900430</wp:posOffset>
            </wp:positionV>
            <wp:extent cx="6475095" cy="9213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44">
                      <a:extLst>
                        <a:ext uri="{28A0092B-C50C-407E-A947-70E740481C1C}"/>
                      </a:extLst>
                    </a:blip>
                    <a:srcRect/>
                    <a:stretch>
                      <a:fillRect/>
                    </a:stretch>
                  </pic:blipFill>
                  <pic:spPr bwMode="auto">
                    <a:xfrm>
                      <a:off x="0" y="0"/>
                      <a:ext cx="6475095" cy="921385"/>
                    </a:xfrm>
                    <a:prstGeom prst="rect">
                      <a:avLst/>
                    </a:prstGeom>
                    <a:noFill/>
                  </pic:spPr>
                </pic:pic>
              </a:graphicData>
            </a:graphic>
          </wp:anchor>
        </w:drawing>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presents the significant assumptions used to calculate NRG's benefit expense:</w:t>
      </w: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3"/>
          </w:tcPr>
          <w:p>
            <w:pPr>
              <w:jc w:val="right"/>
              <w:ind w:right="505"/>
              <w:spacing w:after="0"/>
              <w:rPr>
                <w:sz w:val="20"/>
                <w:szCs w:val="20"/>
                <w:color w:val="auto"/>
              </w:rPr>
            </w:pPr>
            <w:r>
              <w:rPr>
                <w:rFonts w:ascii="Arial" w:cs="Arial" w:eastAsia="Arial" w:hAnsi="Arial"/>
                <w:sz w:val="16"/>
                <w:szCs w:val="16"/>
                <w:b w:val="1"/>
                <w:bCs w:val="1"/>
                <w:color w:val="auto"/>
              </w:rPr>
              <w:t>As of December 31,</w:t>
            </w:r>
          </w:p>
        </w:tc>
        <w:tc>
          <w:tcPr>
            <w:tcW w:w="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1331"/>
              <w:spacing w:after="0"/>
              <w:rPr>
                <w:sz w:val="20"/>
                <w:szCs w:val="20"/>
                <w:color w:val="auto"/>
              </w:rPr>
            </w:pPr>
            <w:r>
              <w:rPr>
                <w:rFonts w:ascii="Arial" w:cs="Arial" w:eastAsia="Arial" w:hAnsi="Arial"/>
                <w:sz w:val="16"/>
                <w:szCs w:val="16"/>
                <w:b w:val="1"/>
                <w:bCs w:val="1"/>
                <w:color w:val="auto"/>
              </w:rPr>
              <w:t>Pension Benefits</w:t>
            </w:r>
          </w:p>
        </w:tc>
        <w:tc>
          <w:tcPr>
            <w:tcW w:w="60" w:type="dxa"/>
            <w:vAlign w:val="bottom"/>
          </w:tcPr>
          <w:p>
            <w:pPr>
              <w:spacing w:after="0"/>
              <w:rPr>
                <w:sz w:val="20"/>
                <w:szCs w:val="20"/>
                <w:color w:val="auto"/>
              </w:rPr>
            </w:pPr>
          </w:p>
        </w:tc>
        <w:tc>
          <w:tcPr>
            <w:tcW w:w="42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89"/>
              </w:rPr>
              <w:t>Other Postretirement Benefits</w:t>
            </w:r>
          </w:p>
        </w:tc>
        <w:tc>
          <w:tcPr>
            <w:tcW w:w="0" w:type="dxa"/>
            <w:vAlign w:val="bottom"/>
          </w:tcPr>
          <w:p>
            <w:pPr>
              <w:spacing w:after="0"/>
              <w:rPr>
                <w:sz w:val="1"/>
                <w:szCs w:val="1"/>
                <w:color w:val="auto"/>
              </w:rPr>
            </w:pPr>
          </w:p>
        </w:tc>
      </w:tr>
      <w:tr>
        <w:trPr>
          <w:trHeight w:val="197"/>
        </w:trPr>
        <w:tc>
          <w:tcPr>
            <w:tcW w:w="1840" w:type="dxa"/>
            <w:vAlign w:val="bottom"/>
            <w:gridSpan w:val="3"/>
          </w:tcPr>
          <w:p>
            <w:pPr>
              <w:spacing w:after="0"/>
              <w:rPr>
                <w:sz w:val="20"/>
                <w:szCs w:val="20"/>
                <w:color w:val="auto"/>
              </w:rPr>
            </w:pPr>
            <w:r>
              <w:rPr>
                <w:rFonts w:ascii="Arial" w:cs="Arial" w:eastAsia="Arial" w:hAnsi="Arial"/>
                <w:sz w:val="16"/>
                <w:szCs w:val="16"/>
                <w:b w:val="1"/>
                <w:bCs w:val="1"/>
                <w:color w:val="auto"/>
              </w:rPr>
              <w:t>Weighted-Average</w:t>
            </w:r>
          </w:p>
        </w:tc>
        <w:tc>
          <w:tcPr>
            <w:tcW w:w="1020" w:type="dxa"/>
            <w:vAlign w:val="bottom"/>
            <w:vMerge w:val="restart"/>
          </w:tcPr>
          <w:p>
            <w:pPr>
              <w:jc w:val="right"/>
              <w:ind w:right="244"/>
              <w:spacing w:after="0"/>
              <w:rPr>
                <w:sz w:val="20"/>
                <w:szCs w:val="20"/>
                <w:color w:val="auto"/>
              </w:rPr>
            </w:pPr>
            <w:r>
              <w:rPr>
                <w:rFonts w:ascii="Arial" w:cs="Arial" w:eastAsia="Arial" w:hAnsi="Arial"/>
                <w:sz w:val="16"/>
                <w:szCs w:val="16"/>
                <w:b w:val="1"/>
                <w:bCs w:val="1"/>
                <w:color w:val="auto"/>
              </w:rPr>
              <w:t>2024</w:t>
            </w:r>
          </w:p>
        </w:tc>
        <w:tc>
          <w:tcPr>
            <w:tcW w:w="1100" w:type="dxa"/>
            <w:vAlign w:val="bottom"/>
            <w:gridSpan w:val="2"/>
            <w:vMerge w:val="restart"/>
          </w:tcPr>
          <w:p>
            <w:pPr>
              <w:jc w:val="right"/>
              <w:ind w:right="271"/>
              <w:spacing w:after="0"/>
              <w:rPr>
                <w:sz w:val="20"/>
                <w:szCs w:val="20"/>
                <w:color w:val="auto"/>
              </w:rPr>
            </w:pPr>
            <w:r>
              <w:rPr>
                <w:rFonts w:ascii="Arial" w:cs="Arial" w:eastAsia="Arial" w:hAnsi="Arial"/>
                <w:sz w:val="16"/>
                <w:szCs w:val="16"/>
                <w:b w:val="1"/>
                <w:bCs w:val="1"/>
                <w:color w:val="auto"/>
              </w:rPr>
              <w:t>2023</w:t>
            </w:r>
          </w:p>
        </w:tc>
        <w:tc>
          <w:tcPr>
            <w:tcW w:w="1820" w:type="dxa"/>
            <w:vAlign w:val="bottom"/>
            <w:gridSpan w:val="2"/>
            <w:vMerge w:val="restart"/>
          </w:tcPr>
          <w:p>
            <w:pPr>
              <w:jc w:val="right"/>
              <w:ind w:right="631"/>
              <w:spacing w:after="0"/>
              <w:rPr>
                <w:sz w:val="20"/>
                <w:szCs w:val="20"/>
                <w:color w:val="auto"/>
              </w:rPr>
            </w:pPr>
            <w:r>
              <w:rPr>
                <w:rFonts w:ascii="Arial" w:cs="Arial" w:eastAsia="Arial" w:hAnsi="Arial"/>
                <w:sz w:val="16"/>
                <w:szCs w:val="16"/>
                <w:b w:val="1"/>
                <w:bCs w:val="1"/>
                <w:color w:val="auto"/>
              </w:rPr>
              <w:t>2022</w:t>
            </w:r>
          </w:p>
        </w:tc>
        <w:tc>
          <w:tcPr>
            <w:tcW w:w="1440" w:type="dxa"/>
            <w:vAlign w:val="bottom"/>
            <w:gridSpan w:val="2"/>
            <w:vMerge w:val="restart"/>
          </w:tcPr>
          <w:p>
            <w:pPr>
              <w:jc w:val="right"/>
              <w:ind w:right="445"/>
              <w:spacing w:after="0"/>
              <w:rPr>
                <w:sz w:val="20"/>
                <w:szCs w:val="20"/>
                <w:color w:val="auto"/>
              </w:rPr>
            </w:pPr>
            <w:r>
              <w:rPr>
                <w:rFonts w:ascii="Arial" w:cs="Arial" w:eastAsia="Arial" w:hAnsi="Arial"/>
                <w:sz w:val="16"/>
                <w:szCs w:val="16"/>
                <w:b w:val="1"/>
                <w:bCs w:val="1"/>
                <w:color w:val="auto"/>
              </w:rPr>
              <w:t>2024</w:t>
            </w:r>
          </w:p>
        </w:tc>
        <w:tc>
          <w:tcPr>
            <w:tcW w:w="14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2023</w:t>
            </w:r>
          </w:p>
        </w:tc>
        <w:tc>
          <w:tcPr>
            <w:tcW w:w="1440" w:type="dxa"/>
            <w:vAlign w:val="bottom"/>
            <w:gridSpan w:val="2"/>
            <w:vMerge w:val="restart"/>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38"/>
        </w:trPr>
        <w:tc>
          <w:tcPr>
            <w:tcW w:w="130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6"/>
                <w:szCs w:val="16"/>
                <w:b w:val="1"/>
                <w:bCs w:val="1"/>
                <w:color w:val="auto"/>
              </w:rPr>
              <w:t>Assumptions</w:t>
            </w:r>
          </w:p>
        </w:tc>
        <w:tc>
          <w:tcPr>
            <w:tcW w:w="5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1840" w:type="dxa"/>
            <w:vAlign w:val="bottom"/>
            <w:gridSpan w:val="3"/>
          </w:tcPr>
          <w:p>
            <w:pPr>
              <w:spacing w:after="0"/>
              <w:rPr>
                <w:sz w:val="20"/>
                <w:szCs w:val="20"/>
                <w:color w:val="auto"/>
              </w:rPr>
            </w:pPr>
            <w:r>
              <w:rPr>
                <w:rFonts w:ascii="Arial" w:cs="Arial" w:eastAsia="Arial" w:hAnsi="Arial"/>
                <w:sz w:val="20"/>
                <w:szCs w:val="20"/>
                <w:color w:val="auto"/>
                <w:w w:val="92"/>
              </w:rPr>
              <w:t xml:space="preserve">Discount rate </w:t>
            </w:r>
            <w:r>
              <w:rPr>
                <w:rFonts w:ascii="Arial" w:cs="Arial" w:eastAsia="Arial" w:hAnsi="Arial"/>
                <w:sz w:val="20"/>
                <w:szCs w:val="20"/>
                <w:color w:val="B4B4B4"/>
                <w:w w:val="92"/>
              </w:rPr>
              <w:t>. . . . . . .</w:t>
            </w:r>
          </w:p>
        </w:tc>
        <w:tc>
          <w:tcPr>
            <w:tcW w:w="1020" w:type="dxa"/>
            <w:vAlign w:val="bottom"/>
          </w:tcPr>
          <w:p>
            <w:pPr>
              <w:jc w:val="right"/>
              <w:spacing w:after="0"/>
              <w:rPr>
                <w:sz w:val="20"/>
                <w:szCs w:val="20"/>
                <w:color w:val="auto"/>
              </w:rPr>
            </w:pPr>
            <w:r>
              <w:rPr>
                <w:rFonts w:ascii="Arial" w:cs="Arial" w:eastAsia="Arial" w:hAnsi="Arial"/>
                <w:sz w:val="20"/>
                <w:szCs w:val="20"/>
                <w:color w:val="auto"/>
              </w:rPr>
              <w:t>4.99 %</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5.18 %</w:t>
            </w:r>
          </w:p>
        </w:tc>
        <w:tc>
          <w:tcPr>
            <w:tcW w:w="1820" w:type="dxa"/>
            <w:vAlign w:val="bottom"/>
            <w:gridSpan w:val="2"/>
          </w:tcPr>
          <w:p>
            <w:pPr>
              <w:jc w:val="right"/>
              <w:spacing w:after="0"/>
              <w:rPr>
                <w:sz w:val="20"/>
                <w:szCs w:val="20"/>
                <w:color w:val="auto"/>
              </w:rPr>
            </w:pPr>
            <w:r>
              <w:rPr>
                <w:rFonts w:ascii="Arial" w:cs="Arial" w:eastAsia="Arial" w:hAnsi="Arial"/>
                <w:sz w:val="20"/>
                <w:szCs w:val="20"/>
                <w:color w:val="auto"/>
                <w:w w:val="95"/>
              </w:rPr>
              <w:t>2.89%/4.71%/5.41%</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4.96 %</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5.19 %</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2.82 %</w:t>
            </w:r>
          </w:p>
        </w:tc>
        <w:tc>
          <w:tcPr>
            <w:tcW w:w="0" w:type="dxa"/>
            <w:vAlign w:val="bottom"/>
          </w:tcPr>
          <w:p>
            <w:pPr>
              <w:spacing w:after="0"/>
              <w:rPr>
                <w:sz w:val="1"/>
                <w:szCs w:val="1"/>
                <w:color w:val="auto"/>
              </w:rPr>
            </w:pPr>
          </w:p>
        </w:tc>
      </w:tr>
      <w:tr>
        <w:trPr>
          <w:trHeight w:val="297"/>
        </w:trPr>
        <w:tc>
          <w:tcPr>
            <w:tcW w:w="1840" w:type="dxa"/>
            <w:vAlign w:val="bottom"/>
            <w:gridSpan w:val="3"/>
          </w:tcPr>
          <w:p>
            <w:pPr>
              <w:spacing w:after="0"/>
              <w:rPr>
                <w:sz w:val="20"/>
                <w:szCs w:val="20"/>
                <w:color w:val="auto"/>
              </w:rPr>
            </w:pPr>
            <w:r>
              <w:rPr>
                <w:rFonts w:ascii="Arial" w:cs="Arial" w:eastAsia="Arial" w:hAnsi="Arial"/>
                <w:sz w:val="20"/>
                <w:szCs w:val="20"/>
                <w:color w:val="auto"/>
                <w:w w:val="91"/>
              </w:rPr>
              <w:t xml:space="preserve">Interest crediting rate </w:t>
            </w:r>
            <w:r>
              <w:rPr>
                <w:rFonts w:ascii="Arial" w:cs="Arial" w:eastAsia="Arial" w:hAnsi="Arial"/>
                <w:sz w:val="20"/>
                <w:szCs w:val="20"/>
                <w:color w:val="B4B4B4"/>
                <w:w w:val="9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5.67 %</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5.21 %</w:t>
            </w:r>
          </w:p>
        </w:tc>
        <w:tc>
          <w:tcPr>
            <w:tcW w:w="1820" w:type="dxa"/>
            <w:vAlign w:val="bottom"/>
            <w:gridSpan w:val="2"/>
          </w:tcPr>
          <w:p>
            <w:pPr>
              <w:jc w:val="right"/>
              <w:spacing w:after="0"/>
              <w:rPr>
                <w:sz w:val="20"/>
                <w:szCs w:val="20"/>
                <w:color w:val="auto"/>
              </w:rPr>
            </w:pPr>
            <w:r>
              <w:rPr>
                <w:rFonts w:ascii="Arial" w:cs="Arial" w:eastAsia="Arial" w:hAnsi="Arial"/>
                <w:sz w:val="20"/>
                <w:szCs w:val="20"/>
                <w:color w:val="auto"/>
              </w:rPr>
              <w:t>3.07 %</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4.66 %</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4.00 %</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1.94 %</w:t>
            </w:r>
          </w:p>
        </w:tc>
        <w:tc>
          <w:tcPr>
            <w:tcW w:w="0" w:type="dxa"/>
            <w:vAlign w:val="bottom"/>
          </w:tcPr>
          <w:p>
            <w:pPr>
              <w:spacing w:after="0"/>
              <w:rPr>
                <w:sz w:val="1"/>
                <w:szCs w:val="1"/>
                <w:color w:val="auto"/>
              </w:rPr>
            </w:pPr>
          </w:p>
        </w:tc>
      </w:tr>
      <w:tr>
        <w:trPr>
          <w:trHeight w:val="232"/>
        </w:trPr>
        <w:tc>
          <w:tcPr>
            <w:tcW w:w="1840" w:type="dxa"/>
            <w:vAlign w:val="bottom"/>
            <w:gridSpan w:val="3"/>
          </w:tcPr>
          <w:p>
            <w:pPr>
              <w:spacing w:after="0"/>
              <w:rPr>
                <w:sz w:val="20"/>
                <w:szCs w:val="20"/>
                <w:color w:val="auto"/>
              </w:rPr>
            </w:pPr>
            <w:r>
              <w:rPr>
                <w:rFonts w:ascii="Arial" w:cs="Arial" w:eastAsia="Arial" w:hAnsi="Arial"/>
                <w:sz w:val="20"/>
                <w:szCs w:val="20"/>
                <w:color w:val="auto"/>
              </w:rPr>
              <w:t>Expected return on</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6.65 %</w:t>
            </w: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5.55 %</w:t>
            </w:r>
          </w:p>
        </w:tc>
        <w:tc>
          <w:tcPr>
            <w:tcW w:w="1820" w:type="dxa"/>
            <w:vAlign w:val="bottom"/>
            <w:gridSpan w:val="2"/>
            <w:vMerge w:val="restart"/>
          </w:tcPr>
          <w:p>
            <w:pPr>
              <w:jc w:val="right"/>
              <w:spacing w:after="0"/>
              <w:rPr>
                <w:sz w:val="20"/>
                <w:szCs w:val="20"/>
                <w:color w:val="auto"/>
              </w:rPr>
            </w:pPr>
            <w:r>
              <w:rPr>
                <w:rFonts w:ascii="Arial" w:cs="Arial" w:eastAsia="Arial" w:hAnsi="Arial"/>
                <w:sz w:val="20"/>
                <w:szCs w:val="20"/>
                <w:color w:val="auto"/>
              </w:rPr>
              <w:t>4.99 %</w:t>
            </w:r>
          </w:p>
        </w:tc>
        <w:tc>
          <w:tcPr>
            <w:tcW w:w="60" w:type="dxa"/>
            <w:vAlign w:val="bottom"/>
          </w:tcPr>
          <w:p>
            <w:pPr>
              <w:spacing w:after="0"/>
              <w:rPr>
                <w:sz w:val="20"/>
                <w:szCs w:val="20"/>
                <w:color w:val="auto"/>
              </w:rPr>
            </w:pPr>
          </w:p>
        </w:tc>
        <w:tc>
          <w:tcPr>
            <w:tcW w:w="1380" w:type="dxa"/>
            <w:vAlign w:val="bottom"/>
            <w:vMerge w:val="restart"/>
          </w:tcPr>
          <w:p>
            <w:pPr>
              <w:jc w:val="right"/>
              <w:ind w:right="145"/>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380" w:type="dxa"/>
            <w:vAlign w:val="bottom"/>
            <w:vMerge w:val="restart"/>
          </w:tcPr>
          <w:p>
            <w:pPr>
              <w:jc w:val="right"/>
              <w:ind w:right="141"/>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380" w:type="dxa"/>
            <w:vAlign w:val="bottom"/>
            <w:vMerge w:val="restart"/>
          </w:tcPr>
          <w:p>
            <w:pPr>
              <w:jc w:val="right"/>
              <w:ind w:right="1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8"/>
        </w:trPr>
        <w:tc>
          <w:tcPr>
            <w:tcW w:w="1840" w:type="dxa"/>
            <w:vAlign w:val="bottom"/>
            <w:gridSpan w:val="3"/>
          </w:tcPr>
          <w:p>
            <w:pPr>
              <w:ind w:left="180"/>
              <w:spacing w:after="0"/>
              <w:rPr>
                <w:sz w:val="20"/>
                <w:szCs w:val="20"/>
                <w:color w:val="auto"/>
              </w:rPr>
            </w:pPr>
            <w:r>
              <w:rPr>
                <w:rFonts w:ascii="Arial" w:cs="Arial" w:eastAsia="Arial" w:hAnsi="Arial"/>
                <w:sz w:val="20"/>
                <w:szCs w:val="20"/>
                <w:color w:val="auto"/>
                <w:w w:val="91"/>
              </w:rPr>
              <w:t xml:space="preserve">plan assets </w:t>
            </w:r>
            <w:r>
              <w:rPr>
                <w:rFonts w:ascii="Arial" w:cs="Arial" w:eastAsia="Arial" w:hAnsi="Arial"/>
                <w:sz w:val="20"/>
                <w:szCs w:val="20"/>
                <w:color w:val="B4B4B4"/>
                <w:w w:val="91"/>
              </w:rPr>
              <w:t>. . . . . . .</w:t>
            </w:r>
          </w:p>
        </w:tc>
        <w:tc>
          <w:tcPr>
            <w:tcW w:w="1020" w:type="dxa"/>
            <w:vAlign w:val="bottom"/>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18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840" w:type="dxa"/>
            <w:vAlign w:val="bottom"/>
            <w:gridSpan w:val="3"/>
          </w:tcPr>
          <w:p>
            <w:pPr>
              <w:spacing w:after="0"/>
              <w:rPr>
                <w:sz w:val="20"/>
                <w:szCs w:val="20"/>
                <w:color w:val="auto"/>
              </w:rPr>
            </w:pPr>
            <w:r>
              <w:rPr>
                <w:rFonts w:ascii="Arial" w:cs="Arial" w:eastAsia="Arial" w:hAnsi="Arial"/>
                <w:sz w:val="20"/>
                <w:szCs w:val="20"/>
                <w:color w:val="auto"/>
                <w:w w:val="93"/>
              </w:rPr>
              <w:t>Rate of compensation</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3.00 %</w:t>
            </w: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3.06 %</w:t>
            </w:r>
          </w:p>
        </w:tc>
        <w:tc>
          <w:tcPr>
            <w:tcW w:w="1820" w:type="dxa"/>
            <w:vAlign w:val="bottom"/>
            <w:gridSpan w:val="2"/>
            <w:vMerge w:val="restart"/>
          </w:tcPr>
          <w:p>
            <w:pPr>
              <w:jc w:val="right"/>
              <w:spacing w:after="0"/>
              <w:rPr>
                <w:sz w:val="20"/>
                <w:szCs w:val="20"/>
                <w:color w:val="auto"/>
              </w:rPr>
            </w:pPr>
            <w:r>
              <w:rPr>
                <w:rFonts w:ascii="Arial" w:cs="Arial" w:eastAsia="Arial" w:hAnsi="Arial"/>
                <w:sz w:val="20"/>
                <w:szCs w:val="20"/>
                <w:color w:val="auto"/>
              </w:rPr>
              <w:t>3.06 %</w:t>
            </w:r>
          </w:p>
        </w:tc>
        <w:tc>
          <w:tcPr>
            <w:tcW w:w="60" w:type="dxa"/>
            <w:vAlign w:val="bottom"/>
          </w:tcPr>
          <w:p>
            <w:pPr>
              <w:spacing w:after="0"/>
              <w:rPr>
                <w:sz w:val="20"/>
                <w:szCs w:val="20"/>
                <w:color w:val="auto"/>
              </w:rPr>
            </w:pPr>
          </w:p>
        </w:tc>
        <w:tc>
          <w:tcPr>
            <w:tcW w:w="1380" w:type="dxa"/>
            <w:vAlign w:val="bottom"/>
            <w:vMerge w:val="restart"/>
          </w:tcPr>
          <w:p>
            <w:pPr>
              <w:jc w:val="right"/>
              <w:ind w:right="145"/>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380" w:type="dxa"/>
            <w:vAlign w:val="bottom"/>
            <w:vMerge w:val="restart"/>
          </w:tcPr>
          <w:p>
            <w:pPr>
              <w:jc w:val="right"/>
              <w:ind w:right="141"/>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380" w:type="dxa"/>
            <w:vAlign w:val="bottom"/>
            <w:vMerge w:val="restart"/>
          </w:tcPr>
          <w:p>
            <w:pPr>
              <w:jc w:val="right"/>
              <w:ind w:right="1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8"/>
        </w:trPr>
        <w:tc>
          <w:tcPr>
            <w:tcW w:w="1840" w:type="dxa"/>
            <w:vAlign w:val="bottom"/>
            <w:gridSpan w:val="3"/>
          </w:tcPr>
          <w:p>
            <w:pPr>
              <w:ind w:left="180"/>
              <w:spacing w:after="0"/>
              <w:rPr>
                <w:sz w:val="20"/>
                <w:szCs w:val="20"/>
                <w:color w:val="auto"/>
              </w:rPr>
            </w:pPr>
            <w:r>
              <w:rPr>
                <w:rFonts w:ascii="Arial" w:cs="Arial" w:eastAsia="Arial" w:hAnsi="Arial"/>
                <w:sz w:val="20"/>
                <w:szCs w:val="20"/>
                <w:color w:val="auto"/>
                <w:w w:val="93"/>
              </w:rPr>
              <w:t xml:space="preserve">increase </w:t>
            </w:r>
            <w:r>
              <w:rPr>
                <w:rFonts w:ascii="Arial" w:cs="Arial" w:eastAsia="Arial" w:hAnsi="Arial"/>
                <w:sz w:val="20"/>
                <w:szCs w:val="20"/>
                <w:color w:val="B4B4B4"/>
                <w:w w:val="93"/>
              </w:rPr>
              <w:t>. . . . . . . . .</w:t>
            </w:r>
          </w:p>
        </w:tc>
        <w:tc>
          <w:tcPr>
            <w:tcW w:w="1020" w:type="dxa"/>
            <w:vAlign w:val="bottom"/>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18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840" w:type="dxa"/>
            <w:vAlign w:val="bottom"/>
            <w:gridSpan w:val="3"/>
            <w:vMerge w:val="restart"/>
          </w:tcPr>
          <w:p>
            <w:pPr>
              <w:spacing w:after="0"/>
              <w:rPr>
                <w:sz w:val="20"/>
                <w:szCs w:val="20"/>
                <w:color w:val="auto"/>
              </w:rPr>
            </w:pPr>
            <w:r>
              <w:rPr>
                <w:rFonts w:ascii="Arial" w:cs="Arial" w:eastAsia="Arial" w:hAnsi="Arial"/>
                <w:sz w:val="20"/>
                <w:szCs w:val="20"/>
                <w:color w:val="auto"/>
                <w:w w:val="94"/>
              </w:rPr>
              <w:t>Health care trend rate</w:t>
            </w:r>
          </w:p>
        </w:tc>
        <w:tc>
          <w:tcPr>
            <w:tcW w:w="1020" w:type="dxa"/>
            <w:vAlign w:val="bottom"/>
            <w:vMerge w:val="restart"/>
          </w:tcPr>
          <w:p>
            <w:pPr>
              <w:jc w:val="right"/>
              <w:ind w:right="144"/>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040" w:type="dxa"/>
            <w:vAlign w:val="bottom"/>
            <w:vMerge w:val="restart"/>
          </w:tcPr>
          <w:p>
            <w:pPr>
              <w:jc w:val="right"/>
              <w:ind w:right="171"/>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760" w:type="dxa"/>
            <w:vAlign w:val="bottom"/>
            <w:vMerge w:val="restart"/>
          </w:tcPr>
          <w:p>
            <w:pPr>
              <w:jc w:val="right"/>
              <w:ind w:right="151"/>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7.4% grading</w:t>
            </w:r>
          </w:p>
        </w:tc>
        <w:tc>
          <w:tcPr>
            <w:tcW w:w="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7.2% grading</w:t>
            </w:r>
          </w:p>
        </w:tc>
        <w:tc>
          <w:tcPr>
            <w:tcW w:w="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w w:val="92"/>
              </w:rPr>
              <w:t>6.9% grading to</w:t>
            </w:r>
          </w:p>
        </w:tc>
        <w:tc>
          <w:tcPr>
            <w:tcW w:w="0" w:type="dxa"/>
            <w:vAlign w:val="bottom"/>
          </w:tcPr>
          <w:p>
            <w:pPr>
              <w:spacing w:after="0"/>
              <w:rPr>
                <w:sz w:val="1"/>
                <w:szCs w:val="1"/>
                <w:color w:val="auto"/>
              </w:rPr>
            </w:pPr>
          </w:p>
        </w:tc>
      </w:tr>
      <w:tr>
        <w:trPr>
          <w:trHeight w:val="258"/>
        </w:trPr>
        <w:tc>
          <w:tcPr>
            <w:tcW w:w="1840" w:type="dxa"/>
            <w:vAlign w:val="bottom"/>
            <w:gridSpan w:val="3"/>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w w:val="93"/>
              </w:rPr>
              <w:t>to 4.5% in 2033</w:t>
            </w:r>
          </w:p>
        </w:tc>
        <w:tc>
          <w:tcPr>
            <w:tcW w:w="6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90"/>
              </w:rPr>
              <w:t>to 4.5% in 2028</w:t>
            </w:r>
          </w:p>
        </w:tc>
        <w:tc>
          <w:tcPr>
            <w:tcW w:w="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4.4% in 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-1315085</wp:posOffset>
            </wp:positionV>
            <wp:extent cx="6475095" cy="13360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45">
                      <a:extLst>
                        <a:ext uri="{28A0092B-C50C-407E-A947-70E740481C1C}"/>
                      </a:extLst>
                    </a:blip>
                    <a:srcRect/>
                    <a:stretch>
                      <a:fillRect/>
                    </a:stretch>
                  </pic:blipFill>
                  <pic:spPr bwMode="auto">
                    <a:xfrm>
                      <a:off x="0" y="0"/>
                      <a:ext cx="6475095" cy="133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141</w:t>
      </w:r>
    </w:p>
    <w:p>
      <w:pPr>
        <w:sectPr>
          <w:pgSz w:w="11880" w:h="15480" w:orient="portrait"/>
          <w:cols w:equalWidth="0" w:num="1">
            <w:col w:w="10160"/>
          </w:cols>
          <w:pgMar w:left="860" w:top="601" w:right="860" w:bottom="0" w:gutter="0" w:footer="0" w:header="0"/>
        </w:sectPr>
      </w:pPr>
    </w:p>
    <w:bookmarkStart w:id="143" w:name="page144"/>
    <w:bookmarkEnd w:id="143"/>
    <w:p>
      <w:pPr>
        <w:jc w:val="both"/>
        <w:ind w:firstLine="445"/>
        <w:spacing w:after="0" w:line="282" w:lineRule="auto"/>
        <w:rPr>
          <w:sz w:val="20"/>
          <w:szCs w:val="20"/>
          <w:color w:val="auto"/>
        </w:rPr>
      </w:pPr>
      <w:r>
        <w:rPr>
          <w:rFonts w:ascii="Arial" w:cs="Arial" w:eastAsia="Arial" w:hAnsi="Arial"/>
          <w:sz w:val="18"/>
          <w:szCs w:val="18"/>
          <w:color w:val="auto"/>
        </w:rPr>
        <w:t>NRG uses December 31 of each respective year as the measurement date for the Company's pension and other postretirement benefit plans. The Company sets the discount rate assumptions on an annual basis for each of NRG's defined benefit retirement plans as of December 31. The discount rate assumptions represent the current rate at which the associated liabilities could be effectively settled at December 31. The Company utilizes the Aon AA Above Median, or AA-AM, yield curve and the AON Canada yield curve to select the appropriate discount rate assumption for its retirement plans. The AA-AM yield curve is a hypothetical AA yield curve represented by a series of annualized individual spot discount rates from 6 months to 99 years. Under the AA-AM yield curve, each bond issue used to build this yield curve must be non-callable, and have an average rating of AA when averaging available Moody's Investor Services, Standard &amp; Poor's and Fitch ratings. The AON Canada yield curve is based on high quality corporate bonds. Under the AON Canada yield curve, expected plan cash flows were discounted using the yield curve, and then a single rate is determined which produces an equivalent present value.</w:t>
      </w:r>
    </w:p>
    <w:p>
      <w:pPr>
        <w:spacing w:after="0" w:line="63"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8"/>
          <w:szCs w:val="18"/>
          <w:color w:val="auto"/>
        </w:rPr>
        <w:t>NRG employs a total return investment approach, whereby a mix of equities and fixed income investments are used to maximize the long-term return of plan assets for a prudent level of risk. Risk tolerance is established through careful consideration of plan liabilities, plan funded status, and corporate financial condition. The Investment Committee reviews the asset mix periodically and as the plan assets increase in future years, the Investment Committee may examine other asset classes such as real estate or private equity. NRG employs a building block approach to determining the long-term rate of return assumption for plan assets, with proper consideration given to diversification and rebalancing. Historical markets are studied and long-term historical relationships between equities and fixed income are preserved, consistent with the widely accepted capital market principle that assets with higher volatility generate a greater return over the long run. Current factors such as inflation and interest rates are evaluated before long-term capital market assumptions are determined. Peer data and historical returns are reviewed to check for reasonableness and appropriateness.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target allocations of NRG's pension plan assets were as follows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106680</wp:posOffset>
            </wp:positionV>
            <wp:extent cx="6456680" cy="7423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46">
                      <a:extLst>
                        <a:ext uri="{28A0092B-C50C-407E-A947-70E740481C1C}"/>
                      </a:extLst>
                    </a:blip>
                    <a:srcRect/>
                    <a:stretch>
                      <a:fillRect/>
                    </a:stretch>
                  </pic:blipFill>
                  <pic:spPr bwMode="auto">
                    <a:xfrm>
                      <a:off x="0" y="0"/>
                      <a:ext cx="6456680" cy="742315"/>
                    </a:xfrm>
                    <a:prstGeom prst="rect">
                      <a:avLst/>
                    </a:prstGeom>
                    <a:noFill/>
                  </pic:spPr>
                </pic:pic>
              </a:graphicData>
            </a:graphic>
          </wp:anchor>
        </w:drawing>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258"/>
        </w:trPr>
        <w:tc>
          <w:tcPr>
            <w:tcW w:w="9240" w:type="dxa"/>
            <w:vAlign w:val="bottom"/>
          </w:tcPr>
          <w:p>
            <w:pPr>
              <w:spacing w:after="0"/>
              <w:rPr>
                <w:sz w:val="20"/>
                <w:szCs w:val="20"/>
                <w:color w:val="auto"/>
              </w:rPr>
            </w:pPr>
            <w:r>
              <w:rPr>
                <w:rFonts w:ascii="Arial" w:cs="Arial" w:eastAsia="Arial" w:hAnsi="Arial"/>
                <w:sz w:val="20"/>
                <w:szCs w:val="20"/>
                <w:color w:val="auto"/>
                <w:w w:val="93"/>
              </w:rPr>
              <w:t xml:space="preserve">U.S. equity </w:t>
            </w:r>
            <w:r>
              <w:rPr>
                <w:rFonts w:ascii="Arial" w:cs="Arial" w:eastAsia="Arial" w:hAnsi="Arial"/>
                <w:sz w:val="20"/>
                <w:szCs w:val="20"/>
                <w:color w:val="B4B4B4"/>
                <w:w w:val="93"/>
              </w:rPr>
              <w:t>. . . . . . . . . . . . . . . . . . . . . . . . . . . . . . . . . . . . . . . . . . . . . . . . . . . . . . . . . . . . . . . . . . . . . . . . . . . . . . . .</w:t>
            </w:r>
          </w:p>
        </w:tc>
        <w:tc>
          <w:tcPr>
            <w:tcW w:w="820" w:type="dxa"/>
            <w:vAlign w:val="bottom"/>
          </w:tcPr>
          <w:p>
            <w:pPr>
              <w:jc w:val="right"/>
              <w:spacing w:after="0"/>
              <w:rPr>
                <w:sz w:val="20"/>
                <w:szCs w:val="20"/>
                <w:color w:val="auto"/>
              </w:rPr>
            </w:pPr>
            <w:r>
              <w:rPr>
                <w:rFonts w:ascii="Arial" w:cs="Arial" w:eastAsia="Arial" w:hAnsi="Arial"/>
                <w:sz w:val="20"/>
                <w:szCs w:val="20"/>
                <w:color w:val="auto"/>
              </w:rPr>
              <w:t>20 %</w:t>
            </w:r>
          </w:p>
        </w:tc>
      </w:tr>
      <w:tr>
        <w:trPr>
          <w:trHeight w:val="282"/>
        </w:trPr>
        <w:tc>
          <w:tcPr>
            <w:tcW w:w="9240" w:type="dxa"/>
            <w:vAlign w:val="bottom"/>
          </w:tcPr>
          <w:p>
            <w:pPr>
              <w:spacing w:after="0"/>
              <w:rPr>
                <w:sz w:val="20"/>
                <w:szCs w:val="20"/>
                <w:color w:val="auto"/>
              </w:rPr>
            </w:pPr>
            <w:r>
              <w:rPr>
                <w:rFonts w:ascii="Arial" w:cs="Arial" w:eastAsia="Arial" w:hAnsi="Arial"/>
                <w:sz w:val="20"/>
                <w:szCs w:val="20"/>
                <w:color w:val="auto"/>
                <w:w w:val="93"/>
              </w:rPr>
              <w:t xml:space="preserve">Non-U.S. equity </w:t>
            </w:r>
            <w:r>
              <w:rPr>
                <w:rFonts w:ascii="Arial" w:cs="Arial" w:eastAsia="Arial" w:hAnsi="Arial"/>
                <w:sz w:val="20"/>
                <w:szCs w:val="20"/>
                <w:color w:val="B4B4B4"/>
                <w:w w:val="93"/>
              </w:rPr>
              <w:t>. . . . . . . . . . . . . . . . . . . . . . . . . . . . . . . . . . . . . . . . . . . . . . . . . . . . . . . . . . . . . . . . . . . . . . . . . . . .</w:t>
            </w:r>
          </w:p>
        </w:tc>
        <w:tc>
          <w:tcPr>
            <w:tcW w:w="820" w:type="dxa"/>
            <w:vAlign w:val="bottom"/>
          </w:tcPr>
          <w:p>
            <w:pPr>
              <w:jc w:val="right"/>
              <w:spacing w:after="0"/>
              <w:rPr>
                <w:sz w:val="20"/>
                <w:szCs w:val="20"/>
                <w:color w:val="auto"/>
              </w:rPr>
            </w:pPr>
            <w:r>
              <w:rPr>
                <w:rFonts w:ascii="Arial" w:cs="Arial" w:eastAsia="Arial" w:hAnsi="Arial"/>
                <w:sz w:val="20"/>
                <w:szCs w:val="20"/>
                <w:color w:val="auto"/>
              </w:rPr>
              <w:t>13 %</w:t>
            </w:r>
          </w:p>
        </w:tc>
      </w:tr>
      <w:tr>
        <w:trPr>
          <w:trHeight w:val="282"/>
        </w:trPr>
        <w:tc>
          <w:tcPr>
            <w:tcW w:w="9240" w:type="dxa"/>
            <w:vAlign w:val="bottom"/>
          </w:tcPr>
          <w:p>
            <w:pPr>
              <w:spacing w:after="0"/>
              <w:rPr>
                <w:sz w:val="20"/>
                <w:szCs w:val="20"/>
                <w:color w:val="auto"/>
              </w:rPr>
            </w:pPr>
            <w:r>
              <w:rPr>
                <w:rFonts w:ascii="Arial" w:cs="Arial" w:eastAsia="Arial" w:hAnsi="Arial"/>
                <w:sz w:val="20"/>
                <w:szCs w:val="20"/>
                <w:color w:val="auto"/>
                <w:w w:val="92"/>
              </w:rPr>
              <w:t xml:space="preserve">Non-core assets  </w:t>
            </w:r>
            <w:r>
              <w:rPr>
                <w:rFonts w:ascii="Arial" w:cs="Arial" w:eastAsia="Arial" w:hAnsi="Arial"/>
                <w:sz w:val="20"/>
                <w:szCs w:val="20"/>
                <w:color w:val="B4B4B4"/>
                <w:w w:val="92"/>
              </w:rPr>
              <w:t>. . . . . . . . . . . . . . . . . . . . . . . . . . . . . . . . . . . . . . . . . . . . . . . . . . . . . . . . . . . . . . . . . . . . . . . . . . . .</w:t>
            </w:r>
          </w:p>
        </w:tc>
        <w:tc>
          <w:tcPr>
            <w:tcW w:w="820" w:type="dxa"/>
            <w:vAlign w:val="bottom"/>
          </w:tcPr>
          <w:p>
            <w:pPr>
              <w:jc w:val="right"/>
              <w:spacing w:after="0"/>
              <w:rPr>
                <w:sz w:val="20"/>
                <w:szCs w:val="20"/>
                <w:color w:val="auto"/>
              </w:rPr>
            </w:pPr>
            <w:r>
              <w:rPr>
                <w:rFonts w:ascii="Arial" w:cs="Arial" w:eastAsia="Arial" w:hAnsi="Arial"/>
                <w:sz w:val="20"/>
                <w:szCs w:val="20"/>
                <w:color w:val="auto"/>
              </w:rPr>
              <w:t>17 %</w:t>
            </w:r>
          </w:p>
        </w:tc>
      </w:tr>
      <w:tr>
        <w:trPr>
          <w:trHeight w:val="282"/>
        </w:trPr>
        <w:tc>
          <w:tcPr>
            <w:tcW w:w="9240" w:type="dxa"/>
            <w:vAlign w:val="bottom"/>
          </w:tcPr>
          <w:p>
            <w:pPr>
              <w:spacing w:after="0"/>
              <w:rPr>
                <w:sz w:val="20"/>
                <w:szCs w:val="20"/>
                <w:color w:val="auto"/>
              </w:rPr>
            </w:pPr>
            <w:r>
              <w:rPr>
                <w:rFonts w:ascii="Arial" w:cs="Arial" w:eastAsia="Arial" w:hAnsi="Arial"/>
                <w:sz w:val="20"/>
                <w:szCs w:val="20"/>
                <w:color w:val="auto"/>
                <w:w w:val="93"/>
              </w:rPr>
              <w:t xml:space="preserve">Fixed income </w:t>
            </w:r>
            <w:r>
              <w:rPr>
                <w:rFonts w:ascii="Arial" w:cs="Arial" w:eastAsia="Arial" w:hAnsi="Arial"/>
                <w:sz w:val="20"/>
                <w:szCs w:val="20"/>
                <w:color w:val="B4B4B4"/>
                <w:w w:val="93"/>
              </w:rPr>
              <w:t>. . . . . . . . . . . . . . . . . . . . . . . . . . . . . . . . . . . . . . . . . . . . . . . . . . . . . . . . . . . . . . . . . . . . . . . . . . . . . .</w:t>
            </w:r>
          </w:p>
        </w:tc>
        <w:tc>
          <w:tcPr>
            <w:tcW w:w="820" w:type="dxa"/>
            <w:vAlign w:val="bottom"/>
          </w:tcPr>
          <w:p>
            <w:pPr>
              <w:jc w:val="right"/>
              <w:spacing w:after="0"/>
              <w:rPr>
                <w:sz w:val="20"/>
                <w:szCs w:val="20"/>
                <w:color w:val="auto"/>
              </w:rPr>
            </w:pPr>
            <w:r>
              <w:rPr>
                <w:rFonts w:ascii="Arial" w:cs="Arial" w:eastAsia="Arial" w:hAnsi="Arial"/>
                <w:sz w:val="20"/>
                <w:szCs w:val="20"/>
                <w:color w:val="auto"/>
              </w:rPr>
              <w:t>50 %</w:t>
            </w:r>
          </w:p>
        </w:tc>
      </w:tr>
    </w:tbl>
    <w:p>
      <w:pPr>
        <w:spacing w:after="0" w:line="16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Plan assets are currently invested in a diversified blend of equity and fixed-income investments. Furthermore, equity investments are diversified across U.S., non-U.S., global, and emerging market equities, as well as among growth, value, small and large capitalization stocks.</w:t>
      </w:r>
    </w:p>
    <w:p>
      <w:pPr>
        <w:spacing w:after="0" w:line="78"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Investment risk and performance are monitored on an ongoing basis through quarterly portfolio reviews of each asset fund class to a related performance benchmark, if applicable, and annual pension liability measurements. Performance benchmarks are composed of the following indices:</w:t>
      </w:r>
    </w:p>
    <w:p>
      <w:pPr>
        <w:spacing w:after="0" w:line="167" w:lineRule="exact"/>
        <w:rPr>
          <w:sz w:val="20"/>
          <w:szCs w:val="20"/>
          <w:color w:val="auto"/>
        </w:rPr>
      </w:pPr>
    </w:p>
    <w:p>
      <w:pPr>
        <w:ind w:left="2140"/>
        <w:spacing w:after="0"/>
        <w:tabs>
          <w:tab w:leader="none" w:pos="7420" w:val="left"/>
        </w:tabs>
        <w:rPr>
          <w:sz w:val="20"/>
          <w:szCs w:val="20"/>
          <w:color w:val="auto"/>
        </w:rPr>
      </w:pPr>
      <w:r>
        <w:rPr>
          <w:rFonts w:ascii="Arial" w:cs="Arial" w:eastAsia="Arial" w:hAnsi="Arial"/>
          <w:sz w:val="16"/>
          <w:szCs w:val="16"/>
          <w:b w:val="1"/>
          <w:bCs w:val="1"/>
          <w:color w:val="auto"/>
        </w:rPr>
        <w:t>Asset Class</w:t>
      </w:r>
      <w:r>
        <w:rPr>
          <w:sz w:val="20"/>
          <w:szCs w:val="20"/>
          <w:color w:val="auto"/>
        </w:rPr>
        <w:tab/>
      </w:r>
      <w:r>
        <w:rPr>
          <w:rFonts w:ascii="Arial" w:cs="Arial" w:eastAsia="Arial" w:hAnsi="Arial"/>
          <w:sz w:val="15"/>
          <w:szCs w:val="15"/>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13335</wp:posOffset>
            </wp:positionV>
            <wp:extent cx="6475095" cy="9023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47">
                      <a:extLst>
                        <a:ext uri="{28A0092B-C50C-407E-A947-70E740481C1C}"/>
                      </a:extLst>
                    </a:blip>
                    <a:srcRect/>
                    <a:stretch>
                      <a:fillRect/>
                    </a:stretch>
                  </pic:blipFill>
                  <pic:spPr bwMode="auto">
                    <a:xfrm>
                      <a:off x="0" y="0"/>
                      <a:ext cx="6475095" cy="902335"/>
                    </a:xfrm>
                    <a:prstGeom prst="rect">
                      <a:avLst/>
                    </a:prstGeom>
                    <a:noFill/>
                  </pic:spPr>
                </pic:pic>
              </a:graphicData>
            </a:graphic>
          </wp:anchor>
        </w:drawing>
      </w:r>
    </w:p>
    <w:p>
      <w:pPr>
        <w:spacing w:after="0" w:line="34" w:lineRule="exact"/>
        <w:rPr>
          <w:sz w:val="20"/>
          <w:szCs w:val="20"/>
          <w:color w:val="auto"/>
        </w:rPr>
      </w:pPr>
    </w:p>
    <w:p>
      <w:pPr>
        <w:ind w:left="60" w:right="1620"/>
        <w:spacing w:after="0" w:line="307" w:lineRule="auto"/>
        <w:rPr>
          <w:sz w:val="20"/>
          <w:szCs w:val="20"/>
          <w:color w:val="auto"/>
        </w:rPr>
      </w:pPr>
      <w:r>
        <w:rPr>
          <w:rFonts w:ascii="Arial" w:cs="Arial" w:eastAsia="Arial" w:hAnsi="Arial"/>
          <w:sz w:val="19"/>
          <w:szCs w:val="19"/>
          <w:color w:val="auto"/>
        </w:rPr>
        <w:t xml:space="preserve">U.S. equities </w:t>
      </w:r>
      <w:r>
        <w:rPr>
          <w:rFonts w:ascii="Arial" w:cs="Arial" w:eastAsia="Arial" w:hAnsi="Arial"/>
          <w:sz w:val="19"/>
          <w:szCs w:val="19"/>
          <w:color w:val="B4B4B4"/>
        </w:rPr>
        <w:t>. . . . . . . . . . . . . . . . . . . . . . . . . . . . . . . . . . . . . . .</w:t>
      </w:r>
      <w:r>
        <w:rPr>
          <w:rFonts w:ascii="Arial" w:cs="Arial" w:eastAsia="Arial" w:hAnsi="Arial"/>
          <w:sz w:val="19"/>
          <w:szCs w:val="19"/>
          <w:color w:val="auto"/>
        </w:rPr>
        <w:t xml:space="preserve"> Dow Jones U.S. Total Stock Market Index Non-U.S. equities </w:t>
      </w:r>
      <w:r>
        <w:rPr>
          <w:rFonts w:ascii="Arial" w:cs="Arial" w:eastAsia="Arial" w:hAnsi="Arial"/>
          <w:sz w:val="19"/>
          <w:szCs w:val="19"/>
          <w:color w:val="B4B4B4"/>
        </w:rPr>
        <w:t>. . . . . . . . . . . . . . . . . . . . . . . . . . . . . . . . . . .</w:t>
      </w:r>
      <w:r>
        <w:rPr>
          <w:rFonts w:ascii="Arial" w:cs="Arial" w:eastAsia="Arial" w:hAnsi="Arial"/>
          <w:sz w:val="19"/>
          <w:szCs w:val="19"/>
          <w:color w:val="auto"/>
        </w:rPr>
        <w:t xml:space="preserve"> MSCI All Country World Index Non-core assets</w:t>
      </w:r>
      <w:r>
        <w:rPr>
          <w:rFonts w:ascii="Arial" w:cs="Arial" w:eastAsia="Arial" w:hAnsi="Arial"/>
          <w:sz w:val="24"/>
          <w:szCs w:val="24"/>
          <w:color w:val="auto"/>
          <w:vertAlign w:val="superscript"/>
        </w:rPr>
        <w:t>(a)</w:t>
      </w:r>
      <w:r>
        <w:rPr>
          <w:rFonts w:ascii="Arial" w:cs="Arial" w:eastAsia="Arial" w:hAnsi="Arial"/>
          <w:sz w:val="19"/>
          <w:szCs w:val="19"/>
          <w:color w:val="auto"/>
        </w:rPr>
        <w:t xml:space="preserve"> </w:t>
      </w:r>
      <w:r>
        <w:rPr>
          <w:rFonts w:ascii="Arial" w:cs="Arial" w:eastAsia="Arial" w:hAnsi="Arial"/>
          <w:sz w:val="19"/>
          <w:szCs w:val="19"/>
          <w:color w:val="B4B4B4"/>
        </w:rPr>
        <w:t>. . . . . . . . . . . . . . . . . . . . . . . . . . . . . . . . . . .</w:t>
      </w:r>
      <w:r>
        <w:rPr>
          <w:rFonts w:ascii="Arial" w:cs="Arial" w:eastAsia="Arial" w:hAnsi="Arial"/>
          <w:sz w:val="19"/>
          <w:szCs w:val="19"/>
          <w:color w:val="auto"/>
        </w:rPr>
        <w:t xml:space="preserve"> Various (per underlying asset class)</w:t>
      </w:r>
    </w:p>
    <w:p>
      <w:pPr>
        <w:spacing w:after="0" w:line="1" w:lineRule="exact"/>
        <w:rPr>
          <w:sz w:val="20"/>
          <w:szCs w:val="20"/>
          <w:color w:val="auto"/>
        </w:rPr>
      </w:pPr>
    </w:p>
    <w:p>
      <w:pPr>
        <w:ind w:left="5180" w:right="440" w:hanging="5122"/>
        <w:spacing w:after="0" w:line="329" w:lineRule="auto"/>
        <w:tabs>
          <w:tab w:leader="none" w:pos="5160" w:val="left"/>
        </w:tabs>
        <w:rPr>
          <w:sz w:val="20"/>
          <w:szCs w:val="20"/>
          <w:color w:val="auto"/>
        </w:rPr>
      </w:pPr>
      <w:r>
        <w:rPr>
          <w:rFonts w:ascii="Arial" w:cs="Arial" w:eastAsia="Arial" w:hAnsi="Arial"/>
          <w:sz w:val="20"/>
          <w:szCs w:val="20"/>
          <w:color w:val="auto"/>
        </w:rPr>
        <w:t xml:space="preserve">Fixed income securities </w:t>
      </w:r>
      <w:r>
        <w:rPr>
          <w:rFonts w:ascii="Arial" w:cs="Arial" w:eastAsia="Arial" w:hAnsi="Arial"/>
          <w:sz w:val="20"/>
          <w:szCs w:val="20"/>
          <w:color w:val="B4B4B4"/>
        </w:rPr>
        <w:t>. . . . . . . . . . . . . . . . . . . . . . . . . . . . . .</w:t>
      </w:r>
      <w:r>
        <w:rPr>
          <w:sz w:val="20"/>
          <w:szCs w:val="20"/>
          <w:color w:val="auto"/>
        </w:rPr>
        <w:tab/>
      </w:r>
      <w:r>
        <w:rPr>
          <w:rFonts w:ascii="Arial" w:cs="Arial" w:eastAsia="Arial" w:hAnsi="Arial"/>
          <w:sz w:val="16"/>
          <w:szCs w:val="16"/>
          <w:color w:val="auto"/>
        </w:rPr>
        <w:t>Barclays Short, Intermediate and Long Credits/Barclays Strips 20+ Index and FTSE Canada Universe Bond Index</w:t>
      </w:r>
    </w:p>
    <w:p>
      <w:pPr>
        <w:jc w:val="both"/>
        <w:ind w:left="440" w:hanging="439"/>
        <w:spacing w:after="0" w:line="317" w:lineRule="auto"/>
        <w:tabs>
          <w:tab w:leader="none" w:pos="4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Non-Core Assets are defined as diversifying asset classes approved by the Investment Committee that are intended to enhance returns and/or reduce volatility of the U.S. and non-U.S. equities. Asset classes considered Non-Core include, but may not be limited to: Emerging Market Equity, Emerging Market Debt, Non-US Developed Market Small Cap, High Yield Fixed Income, Real Estate, Bank Loans, Global Infrastructure and other Alternatives</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ectPr>
          <w:pgSz w:w="11880" w:h="15480" w:orient="portrait"/>
          <w:cols w:equalWidth="0" w:num="1">
            <w:col w:w="10160"/>
          </w:cols>
          <w:pgMar w:left="860" w:top="512" w:right="860" w:bottom="0" w:gutter="0" w:footer="0" w:header="0"/>
          <w:type w:val="continuous"/>
        </w:sectPr>
      </w:pPr>
    </w:p>
    <w:bookmarkStart w:id="144" w:name="page145"/>
    <w:bookmarkEnd w:id="144"/>
    <w:p>
      <w:pPr>
        <w:jc w:val="both"/>
        <w:ind w:firstLine="445"/>
        <w:spacing w:after="0" w:line="277" w:lineRule="auto"/>
        <w:rPr>
          <w:sz w:val="20"/>
          <w:szCs w:val="20"/>
          <w:color w:val="auto"/>
        </w:rPr>
      </w:pPr>
      <w:r>
        <w:rPr>
          <w:rFonts w:ascii="Arial" w:cs="Arial" w:eastAsia="Arial" w:hAnsi="Arial"/>
          <w:sz w:val="20"/>
          <w:szCs w:val="20"/>
          <w:color w:val="auto"/>
        </w:rPr>
        <w:t>NRG's expected future benefit payments for each of the next five years, and in the aggregate for the five years thereafter, are as follows:</w:t>
      </w:r>
    </w:p>
    <w:p>
      <w:pPr>
        <w:spacing w:after="0" w:line="1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26"/>
              <w:spacing w:after="0"/>
              <w:rPr>
                <w:sz w:val="20"/>
                <w:szCs w:val="20"/>
                <w:color w:val="auto"/>
              </w:rPr>
            </w:pPr>
            <w:r>
              <w:rPr>
                <w:rFonts w:ascii="Arial" w:cs="Arial" w:eastAsia="Arial" w:hAnsi="Arial"/>
                <w:sz w:val="16"/>
                <w:szCs w:val="16"/>
                <w:b w:val="1"/>
                <w:bCs w:val="1"/>
                <w:color w:val="auto"/>
              </w:rPr>
              <w:t>Pension</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6"/>
                <w:szCs w:val="16"/>
                <w:b w:val="1"/>
                <w:bCs w:val="1"/>
                <w:color w:val="auto"/>
              </w:rPr>
              <w:t>Other Postretirement Benefit</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040" w:type="dxa"/>
            <w:vAlign w:val="bottom"/>
            <w:vMerge w:val="restart"/>
          </w:tcPr>
          <w:p>
            <w:pPr>
              <w:jc w:val="right"/>
              <w:ind w:right="4084"/>
              <w:spacing w:after="0"/>
              <w:rPr>
                <w:sz w:val="20"/>
                <w:szCs w:val="20"/>
                <w:color w:val="auto"/>
              </w:rPr>
            </w:pPr>
            <w:r>
              <w:rPr>
                <w:rFonts w:ascii="Arial" w:cs="Arial" w:eastAsia="Arial" w:hAnsi="Arial"/>
                <w:sz w:val="16"/>
                <w:szCs w:val="16"/>
                <w:b w:val="1"/>
                <w:bCs w:val="1"/>
                <w:color w:val="auto"/>
                <w:w w:val="93"/>
              </w:rPr>
              <w:t>(In millions)</w:t>
            </w:r>
          </w:p>
        </w:tc>
        <w:tc>
          <w:tcPr>
            <w:tcW w:w="180" w:type="dxa"/>
            <w:vAlign w:val="bottom"/>
          </w:tcPr>
          <w:p>
            <w:pPr>
              <w:spacing w:after="0"/>
              <w:rPr>
                <w:sz w:val="14"/>
                <w:szCs w:val="14"/>
                <w:color w:val="auto"/>
              </w:rPr>
            </w:pPr>
          </w:p>
        </w:tc>
        <w:tc>
          <w:tcPr>
            <w:tcW w:w="1400" w:type="dxa"/>
            <w:vAlign w:val="bottom"/>
            <w:vMerge w:val="restart"/>
          </w:tcPr>
          <w:p>
            <w:pPr>
              <w:jc w:val="right"/>
              <w:ind w:right="106"/>
              <w:spacing w:after="0"/>
              <w:rPr>
                <w:sz w:val="20"/>
                <w:szCs w:val="20"/>
                <w:color w:val="auto"/>
              </w:rPr>
            </w:pPr>
            <w:r>
              <w:rPr>
                <w:rFonts w:ascii="Arial" w:cs="Arial" w:eastAsia="Arial" w:hAnsi="Arial"/>
                <w:sz w:val="16"/>
                <w:szCs w:val="16"/>
                <w:b w:val="1"/>
                <w:bCs w:val="1"/>
                <w:color w:val="auto"/>
                <w:w w:val="87"/>
              </w:rPr>
              <w:t>Benefit Payments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restart"/>
          </w:tcPr>
          <w:p>
            <w:pPr>
              <w:jc w:val="right"/>
              <w:ind w:right="106"/>
              <w:spacing w:after="0"/>
              <w:rPr>
                <w:sz w:val="20"/>
                <w:szCs w:val="20"/>
                <w:color w:val="auto"/>
              </w:rPr>
            </w:pPr>
            <w:r>
              <w:rPr>
                <w:rFonts w:ascii="Arial" w:cs="Arial" w:eastAsia="Arial" w:hAnsi="Arial"/>
                <w:sz w:val="16"/>
                <w:szCs w:val="16"/>
                <w:b w:val="1"/>
                <w:bCs w:val="1"/>
                <w:color w:val="auto"/>
                <w:w w:val="87"/>
              </w:rPr>
              <w:t>Benefit Payments</w:t>
            </w:r>
          </w:p>
        </w:tc>
        <w:tc>
          <w:tcPr>
            <w:tcW w:w="80" w:type="dxa"/>
            <w:vAlign w:val="bottom"/>
          </w:tcPr>
          <w:p>
            <w:pPr>
              <w:spacing w:after="0"/>
              <w:rPr>
                <w:sz w:val="14"/>
                <w:szCs w:val="14"/>
                <w:color w:val="auto"/>
              </w:rPr>
            </w:pPr>
          </w:p>
        </w:tc>
        <w:tc>
          <w:tcPr>
            <w:tcW w:w="1720" w:type="dxa"/>
            <w:vAlign w:val="bottom"/>
            <w:gridSpan w:val="2"/>
          </w:tcPr>
          <w:p>
            <w:pPr>
              <w:jc w:val="right"/>
              <w:ind w:right="1"/>
              <w:spacing w:after="0" w:line="169" w:lineRule="exact"/>
              <w:rPr>
                <w:sz w:val="20"/>
                <w:szCs w:val="20"/>
                <w:color w:val="auto"/>
              </w:rPr>
            </w:pPr>
            <w:r>
              <w:rPr>
                <w:rFonts w:ascii="Arial" w:cs="Arial" w:eastAsia="Arial" w:hAnsi="Arial"/>
                <w:sz w:val="16"/>
                <w:szCs w:val="16"/>
                <w:b w:val="1"/>
                <w:bCs w:val="1"/>
                <w:color w:val="auto"/>
                <w:w w:val="95"/>
              </w:rPr>
              <w:t>Medicare Prescription</w:t>
            </w:r>
          </w:p>
        </w:tc>
        <w:tc>
          <w:tcPr>
            <w:tcW w:w="0" w:type="dxa"/>
            <w:vAlign w:val="bottom"/>
          </w:tcPr>
          <w:p>
            <w:pPr>
              <w:spacing w:after="0"/>
              <w:rPr>
                <w:sz w:val="1"/>
                <w:szCs w:val="1"/>
                <w:color w:val="auto"/>
              </w:rPr>
            </w:pPr>
          </w:p>
        </w:tc>
      </w:tr>
      <w:tr>
        <w:trPr>
          <w:trHeight w:val="212"/>
        </w:trPr>
        <w:tc>
          <w:tcPr>
            <w:tcW w:w="504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Drug Reimbursements</w:t>
            </w:r>
          </w:p>
        </w:tc>
        <w:tc>
          <w:tcPr>
            <w:tcW w:w="0" w:type="dxa"/>
            <w:vAlign w:val="bottom"/>
          </w:tcPr>
          <w:p>
            <w:pPr>
              <w:spacing w:after="0"/>
              <w:rPr>
                <w:sz w:val="1"/>
                <w:szCs w:val="1"/>
                <w:color w:val="auto"/>
              </w:rPr>
            </w:pPr>
          </w:p>
        </w:tc>
      </w:tr>
      <w:tr>
        <w:trPr>
          <w:trHeight w:val="275"/>
        </w:trPr>
        <w:tc>
          <w:tcPr>
            <w:tcW w:w="5040" w:type="dxa"/>
            <w:vAlign w:val="bottom"/>
          </w:tcPr>
          <w:p>
            <w:pPr>
              <w:jc w:val="right"/>
              <w:spacing w:after="0"/>
              <w:rPr>
                <w:sz w:val="20"/>
                <w:szCs w:val="20"/>
                <w:color w:val="auto"/>
              </w:rPr>
            </w:pPr>
            <w:r>
              <w:rPr>
                <w:rFonts w:ascii="Arial" w:cs="Arial" w:eastAsia="Arial" w:hAnsi="Arial"/>
                <w:sz w:val="20"/>
                <w:szCs w:val="20"/>
                <w:color w:val="auto"/>
                <w:w w:val="89"/>
              </w:rPr>
              <w:t xml:space="preserve">2025 </w:t>
            </w:r>
            <w:r>
              <w:rPr>
                <w:rFonts w:ascii="Arial" w:cs="Arial" w:eastAsia="Arial" w:hAnsi="Arial"/>
                <w:sz w:val="20"/>
                <w:szCs w:val="20"/>
                <w:color w:val="B4B4B4"/>
                <w:w w:val="89"/>
              </w:rPr>
              <w:t>. . . . . . . . . . . . . . . . . . . . . . . . . . . . . . . . . . . . .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93</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5</w:t>
            </w:r>
          </w:p>
        </w:tc>
        <w:tc>
          <w:tcPr>
            <w:tcW w:w="1320" w:type="dxa"/>
            <w:vAlign w:val="bottom"/>
            <w:gridSpan w:val="2"/>
          </w:tcPr>
          <w:p>
            <w:pPr>
              <w:jc w:val="right"/>
              <w:ind w:right="1001"/>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5040" w:type="dxa"/>
            <w:vAlign w:val="bottom"/>
          </w:tcPr>
          <w:p>
            <w:pPr>
              <w:jc w:val="right"/>
              <w:spacing w:after="0"/>
              <w:rPr>
                <w:sz w:val="20"/>
                <w:szCs w:val="20"/>
                <w:color w:val="auto"/>
              </w:rPr>
            </w:pPr>
            <w:r>
              <w:rPr>
                <w:rFonts w:ascii="Arial" w:cs="Arial" w:eastAsia="Arial" w:hAnsi="Arial"/>
                <w:sz w:val="20"/>
                <w:szCs w:val="20"/>
                <w:color w:val="auto"/>
                <w:w w:val="89"/>
              </w:rPr>
              <w:t xml:space="preserve">2026 </w:t>
            </w:r>
            <w:r>
              <w:rPr>
                <w:rFonts w:ascii="Arial" w:cs="Arial" w:eastAsia="Arial" w:hAnsi="Arial"/>
                <w:sz w:val="20"/>
                <w:szCs w:val="20"/>
                <w:color w:val="B4B4B4"/>
                <w:w w:val="89"/>
              </w:rPr>
              <w:t>. . . . . . . . . . . . . . . . . . . . . . . . . . . . . . . . . . . . . . . . . . . . . .</w:t>
            </w: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77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5040" w:type="dxa"/>
            <w:vAlign w:val="bottom"/>
          </w:tcPr>
          <w:p>
            <w:pPr>
              <w:jc w:val="right"/>
              <w:spacing w:after="0"/>
              <w:rPr>
                <w:sz w:val="20"/>
                <w:szCs w:val="20"/>
                <w:color w:val="auto"/>
              </w:rPr>
            </w:pPr>
            <w:r>
              <w:rPr>
                <w:rFonts w:ascii="Arial" w:cs="Arial" w:eastAsia="Arial" w:hAnsi="Arial"/>
                <w:sz w:val="20"/>
                <w:szCs w:val="20"/>
                <w:color w:val="auto"/>
                <w:w w:val="89"/>
              </w:rPr>
              <w:t xml:space="preserve">2027 </w:t>
            </w:r>
            <w:r>
              <w:rPr>
                <w:rFonts w:ascii="Arial" w:cs="Arial" w:eastAsia="Arial" w:hAnsi="Arial"/>
                <w:sz w:val="20"/>
                <w:szCs w:val="20"/>
                <w:color w:val="B4B4B4"/>
                <w:w w:val="89"/>
              </w:rPr>
              <w:t>. . . . . . . . . . . . . . . . . . . . . . . . . . . . . . . . . . . . . . . . . . . . . .</w:t>
            </w: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75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5040" w:type="dxa"/>
            <w:vAlign w:val="bottom"/>
          </w:tcPr>
          <w:p>
            <w:pPr>
              <w:jc w:val="right"/>
              <w:spacing w:after="0"/>
              <w:rPr>
                <w:sz w:val="20"/>
                <w:szCs w:val="20"/>
                <w:color w:val="auto"/>
              </w:rPr>
            </w:pPr>
            <w:r>
              <w:rPr>
                <w:rFonts w:ascii="Arial" w:cs="Arial" w:eastAsia="Arial" w:hAnsi="Arial"/>
                <w:sz w:val="20"/>
                <w:szCs w:val="20"/>
                <w:color w:val="auto"/>
                <w:w w:val="89"/>
              </w:rPr>
              <w:t xml:space="preserve">2028 </w:t>
            </w:r>
            <w:r>
              <w:rPr>
                <w:rFonts w:ascii="Arial" w:cs="Arial" w:eastAsia="Arial" w:hAnsi="Arial"/>
                <w:sz w:val="20"/>
                <w:szCs w:val="20"/>
                <w:color w:val="B4B4B4"/>
                <w:w w:val="89"/>
              </w:rPr>
              <w:t>. . . . . . . . . . . . . . . . . . . . . . . . . . . . . . . . . . . . . . . . . . . . . .</w:t>
            </w: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73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5040" w:type="dxa"/>
            <w:vAlign w:val="bottom"/>
          </w:tcPr>
          <w:p>
            <w:pPr>
              <w:jc w:val="right"/>
              <w:spacing w:after="0"/>
              <w:rPr>
                <w:sz w:val="20"/>
                <w:szCs w:val="20"/>
                <w:color w:val="auto"/>
              </w:rPr>
            </w:pPr>
            <w:r>
              <w:rPr>
                <w:rFonts w:ascii="Arial" w:cs="Arial" w:eastAsia="Arial" w:hAnsi="Arial"/>
                <w:sz w:val="20"/>
                <w:szCs w:val="20"/>
                <w:color w:val="auto"/>
                <w:w w:val="89"/>
              </w:rPr>
              <w:t xml:space="preserve">2029 </w:t>
            </w:r>
            <w:r>
              <w:rPr>
                <w:rFonts w:ascii="Arial" w:cs="Arial" w:eastAsia="Arial" w:hAnsi="Arial"/>
                <w:sz w:val="20"/>
                <w:szCs w:val="20"/>
                <w:color w:val="B4B4B4"/>
                <w:w w:val="89"/>
              </w:rPr>
              <w:t>. . . . . . . . . . . . . . . . . . . . . . . . . . . . . . . . . . . . . . . . . . . . . .</w:t>
            </w: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71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5040" w:type="dxa"/>
            <w:vAlign w:val="bottom"/>
          </w:tcPr>
          <w:p>
            <w:pPr>
              <w:jc w:val="right"/>
              <w:spacing w:after="0"/>
              <w:rPr>
                <w:sz w:val="20"/>
                <w:szCs w:val="20"/>
                <w:color w:val="auto"/>
              </w:rPr>
            </w:pPr>
            <w:r>
              <w:rPr>
                <w:rFonts w:ascii="Arial" w:cs="Arial" w:eastAsia="Arial" w:hAnsi="Arial"/>
                <w:sz w:val="20"/>
                <w:szCs w:val="20"/>
                <w:color w:val="auto"/>
                <w:w w:val="89"/>
              </w:rPr>
              <w:t xml:space="preserve">2030-2034 </w:t>
            </w:r>
            <w:r>
              <w:rPr>
                <w:rFonts w:ascii="Arial" w:cs="Arial" w:eastAsia="Arial" w:hAnsi="Arial"/>
                <w:sz w:val="20"/>
                <w:szCs w:val="20"/>
                <w:color w:val="B4B4B4"/>
                <w:w w:val="89"/>
              </w:rPr>
              <w:t>. . . . . . . . . . . . . . . . . . . . . . . . . . . . . . . . . . . . . . . . .</w:t>
            </w: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336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28</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-1136015</wp:posOffset>
            </wp:positionV>
            <wp:extent cx="6466205" cy="11569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48">
                      <a:extLst>
                        <a:ext uri="{28A0092B-C50C-407E-A947-70E740481C1C}"/>
                      </a:extLst>
                    </a:blip>
                    <a:srcRect/>
                    <a:stretch>
                      <a:fillRect/>
                    </a:stretch>
                  </pic:blipFill>
                  <pic:spPr bwMode="auto">
                    <a:xfrm>
                      <a:off x="0" y="0"/>
                      <a:ext cx="6466205" cy="1156970"/>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Defined Contribution Plans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NRG's employees are also eligible to participate in defined contribution 401(k) plans.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Company's costs related to these plans were as follows:</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6"/>
                <w:szCs w:val="16"/>
                <w:b w:val="1"/>
                <w:bCs w:val="1"/>
                <w:color w:val="auto"/>
                <w:w w:val="90"/>
              </w:rPr>
              <w:t>Year Ended December 31,</w:t>
            </w:r>
          </w:p>
        </w:tc>
        <w:tc>
          <w:tcPr>
            <w:tcW w:w="1100" w:type="dxa"/>
            <w:vAlign w:val="bottom"/>
            <w:tcBorders>
              <w:bottom w:val="single" w:sz="8" w:color="auto"/>
            </w:tcBorders>
          </w:tcPr>
          <w:p>
            <w:pPr>
              <w:spacing w:after="0"/>
              <w:rPr>
                <w:sz w:val="18"/>
                <w:szCs w:val="18"/>
                <w:color w:val="auto"/>
              </w:rPr>
            </w:pPr>
          </w:p>
        </w:tc>
      </w:tr>
      <w:tr>
        <w:trPr>
          <w:trHeight w:val="218"/>
        </w:trPr>
        <w:tc>
          <w:tcPr>
            <w:tcW w:w="546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r>
      <w:tr>
        <w:trPr>
          <w:trHeight w:val="260"/>
        </w:trPr>
        <w:tc>
          <w:tcPr>
            <w:tcW w:w="5460" w:type="dxa"/>
            <w:vAlign w:val="bottom"/>
          </w:tcPr>
          <w:p>
            <w:pPr>
              <w:spacing w:after="0"/>
              <w:rPr>
                <w:sz w:val="20"/>
                <w:szCs w:val="20"/>
                <w:color w:val="auto"/>
              </w:rPr>
            </w:pPr>
            <w:r>
              <w:rPr>
                <w:rFonts w:ascii="Arial" w:cs="Arial" w:eastAsia="Arial" w:hAnsi="Arial"/>
                <w:sz w:val="20"/>
                <w:szCs w:val="20"/>
                <w:color w:val="auto"/>
                <w:w w:val="91"/>
              </w:rPr>
              <w:t xml:space="preserve">Cost recognized for defined contribution plans </w:t>
            </w:r>
            <w:r>
              <w:rPr>
                <w:rFonts w:ascii="Arial" w:cs="Arial" w:eastAsia="Arial" w:hAnsi="Arial"/>
                <w:sz w:val="20"/>
                <w:szCs w:val="20"/>
                <w:color w:val="B4B4B4"/>
                <w:w w:val="91"/>
              </w:rPr>
              <w:t>. . . . . . . . . . . . . . . . .</w:t>
            </w:r>
          </w:p>
        </w:tc>
        <w:tc>
          <w:tcPr>
            <w:tcW w:w="1060" w:type="dxa"/>
            <w:vAlign w:val="bottom"/>
          </w:tcPr>
          <w:p>
            <w:pPr>
              <w:jc w:val="right"/>
              <w:ind w:right="811"/>
              <w:spacing w:after="0"/>
              <w:rPr>
                <w:sz w:val="20"/>
                <w:szCs w:val="20"/>
                <w:color w:val="auto"/>
              </w:rPr>
            </w:pPr>
            <w:r>
              <w:rPr>
                <w:rFonts w:ascii="Arial" w:cs="Arial" w:eastAsia="Arial" w:hAnsi="Arial"/>
                <w:sz w:val="20"/>
                <w:szCs w:val="20"/>
                <w:color w:val="auto"/>
              </w:rPr>
              <w:t>$</w:t>
            </w:r>
          </w:p>
        </w:tc>
        <w:tc>
          <w:tcPr>
            <w:tcW w:w="360" w:type="dxa"/>
            <w:vAlign w:val="bottom"/>
          </w:tcPr>
          <w:p>
            <w:pPr>
              <w:jc w:val="right"/>
              <w:spacing w:after="0"/>
              <w:rPr>
                <w:sz w:val="20"/>
                <w:szCs w:val="20"/>
                <w:color w:val="auto"/>
              </w:rPr>
            </w:pPr>
            <w:r>
              <w:rPr>
                <w:rFonts w:ascii="Arial" w:cs="Arial" w:eastAsia="Arial" w:hAnsi="Arial"/>
                <w:sz w:val="20"/>
                <w:szCs w:val="20"/>
                <w:color w:val="auto"/>
              </w:rPr>
              <w:t>62</w:t>
            </w:r>
          </w:p>
        </w:tc>
        <w:tc>
          <w:tcPr>
            <w:tcW w:w="520" w:type="dxa"/>
            <w:vAlign w:val="bottom"/>
            <w:gridSpan w:val="3"/>
          </w:tcPr>
          <w:p>
            <w:pPr>
              <w:jc w:val="right"/>
              <w:ind w:right="22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61</w:t>
            </w:r>
          </w:p>
        </w:tc>
        <w:tc>
          <w:tcPr>
            <w:tcW w:w="4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-183515</wp:posOffset>
            </wp:positionV>
            <wp:extent cx="6456680" cy="2044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49">
                      <a:extLst>
                        <a:ext uri="{28A0092B-C50C-407E-A947-70E740481C1C}"/>
                      </a:extLst>
                    </a:blip>
                    <a:srcRect/>
                    <a:stretch>
                      <a:fillRect/>
                    </a:stretch>
                  </pic:blipFill>
                  <pic:spPr bwMode="auto">
                    <a:xfrm>
                      <a:off x="0" y="0"/>
                      <a:ext cx="6456680" cy="204470"/>
                    </a:xfrm>
                    <a:prstGeom prst="rect">
                      <a:avLst/>
                    </a:prstGeom>
                    <a:noFill/>
                  </pic:spPr>
                </pic:pic>
              </a:graphicData>
            </a:graphic>
          </wp:anchor>
        </w:drawing>
      </w:r>
    </w:p>
    <w:p>
      <w:pPr>
        <w:spacing w:after="0" w:line="14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Company's costs, which are primarily related to employer matching of a portion of employee contributions to defined contribution plans, increased during 2023 primarily due to an increase in retirement saving plan match and the Vivint acquisition.</w:t>
      </w:r>
    </w:p>
    <w:p>
      <w:pPr>
        <w:sectPr>
          <w:pgSz w:w="11880" w:h="15480" w:orient="portrait"/>
          <w:cols w:equalWidth="0" w:num="1">
            <w:col w:w="10160"/>
          </w:cols>
          <w:pgMar w:left="860" w:top="75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ectPr>
          <w:pgSz w:w="11880" w:h="15480" w:orient="portrait"/>
          <w:cols w:equalWidth="0" w:num="1">
            <w:col w:w="10160"/>
          </w:cols>
          <w:pgMar w:left="860" w:top="750" w:right="860" w:bottom="0" w:gutter="0" w:footer="0" w:header="0"/>
          <w:type w:val="continuous"/>
        </w:sectPr>
      </w:pPr>
    </w:p>
    <w:bookmarkStart w:id="145" w:name="page146"/>
    <w:bookmarkEnd w:id="145"/>
    <w:p>
      <w:pPr>
        <w:spacing w:after="0"/>
        <w:rPr>
          <w:sz w:val="20"/>
          <w:szCs w:val="20"/>
          <w:color w:val="auto"/>
        </w:rPr>
      </w:pPr>
      <w:r>
        <w:rPr>
          <w:rFonts w:ascii="Arial" w:cs="Arial" w:eastAsia="Arial" w:hAnsi="Arial"/>
          <w:sz w:val="20"/>
          <w:szCs w:val="20"/>
          <w:b w:val="1"/>
          <w:bCs w:val="1"/>
          <w:color w:val="auto"/>
        </w:rPr>
        <w:t xml:space="preserve">Note 15 — </w:t>
      </w:r>
      <w:r>
        <w:rPr>
          <w:rFonts w:ascii="Arial" w:cs="Arial" w:eastAsia="Arial" w:hAnsi="Arial"/>
          <w:sz w:val="20"/>
          <w:szCs w:val="20"/>
          <w:b w:val="1"/>
          <w:bCs w:val="1"/>
          <w:i w:val="1"/>
          <w:iCs w:val="1"/>
          <w:color w:val="auto"/>
        </w:rPr>
        <w:t>Capital Structure</w:t>
      </w:r>
    </w:p>
    <w:p>
      <w:pPr>
        <w:spacing w:after="0" w:line="13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For the period from December 31, 2021 to December 31, 2024, the Company had 10,000,000 shares of preferred stock authorized and 500,000,000 shares of common stock authorized. The following table reflects the changes in NRG's preferred and common shares issued and outstanding for each period presented:</w:t>
      </w:r>
    </w:p>
    <w:p>
      <w:pPr>
        <w:spacing w:after="0" w:line="15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52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Preferred Shares</w:t>
            </w:r>
          </w:p>
        </w:tc>
        <w:tc>
          <w:tcPr>
            <w:tcW w:w="8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b w:val="1"/>
                <w:bCs w:val="1"/>
                <w:color w:val="auto"/>
              </w:rPr>
              <w:t>Common Shares</w:t>
            </w:r>
          </w:p>
        </w:tc>
        <w:tc>
          <w:tcPr>
            <w:tcW w:w="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5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6"/>
              </w:rPr>
              <w:t>Issued and</w:t>
            </w:r>
          </w:p>
        </w:tc>
        <w:tc>
          <w:tcPr>
            <w:tcW w:w="80" w:type="dxa"/>
            <w:vAlign w:val="bottom"/>
          </w:tcPr>
          <w:p>
            <w:pPr>
              <w:spacing w:after="0"/>
              <w:rPr>
                <w:sz w:val="15"/>
                <w:szCs w:val="15"/>
                <w:color w:val="auto"/>
              </w:rPr>
            </w:pPr>
          </w:p>
        </w:tc>
        <w:tc>
          <w:tcPr>
            <w:tcW w:w="1600" w:type="dxa"/>
            <w:vAlign w:val="bottom"/>
            <w:vMerge w:val="restart"/>
          </w:tcPr>
          <w:p>
            <w:pPr>
              <w:jc w:val="right"/>
              <w:ind w:right="483"/>
              <w:spacing w:after="0"/>
              <w:rPr>
                <w:sz w:val="20"/>
                <w:szCs w:val="20"/>
                <w:color w:val="auto"/>
              </w:rPr>
            </w:pPr>
            <w:r>
              <w:rPr>
                <w:rFonts w:ascii="Arial" w:cs="Arial" w:eastAsia="Arial" w:hAnsi="Arial"/>
                <w:sz w:val="16"/>
                <w:szCs w:val="16"/>
                <w:b w:val="1"/>
                <w:bCs w:val="1"/>
                <w:color w:val="auto"/>
              </w:rPr>
              <w:t>Issued</w:t>
            </w:r>
          </w:p>
        </w:tc>
        <w:tc>
          <w:tcPr>
            <w:tcW w:w="60" w:type="dxa"/>
            <w:vAlign w:val="bottom"/>
          </w:tcPr>
          <w:p>
            <w:pPr>
              <w:spacing w:after="0"/>
              <w:rPr>
                <w:sz w:val="15"/>
                <w:szCs w:val="15"/>
                <w:color w:val="auto"/>
              </w:rPr>
            </w:pPr>
          </w:p>
        </w:tc>
        <w:tc>
          <w:tcPr>
            <w:tcW w:w="1600" w:type="dxa"/>
            <w:vAlign w:val="bottom"/>
            <w:vMerge w:val="restart"/>
          </w:tcPr>
          <w:p>
            <w:pPr>
              <w:jc w:val="right"/>
              <w:ind w:right="385"/>
              <w:spacing w:after="0"/>
              <w:rPr>
                <w:sz w:val="20"/>
                <w:szCs w:val="20"/>
                <w:color w:val="auto"/>
              </w:rPr>
            </w:pPr>
            <w:r>
              <w:rPr>
                <w:rFonts w:ascii="Arial" w:cs="Arial" w:eastAsia="Arial" w:hAnsi="Arial"/>
                <w:sz w:val="16"/>
                <w:szCs w:val="16"/>
                <w:b w:val="1"/>
                <w:bCs w:val="1"/>
                <w:color w:val="auto"/>
              </w:rPr>
              <w:t>Treasury</w:t>
            </w:r>
          </w:p>
        </w:tc>
        <w:tc>
          <w:tcPr>
            <w:tcW w:w="60" w:type="dxa"/>
            <w:vAlign w:val="bottom"/>
          </w:tcPr>
          <w:p>
            <w:pPr>
              <w:spacing w:after="0"/>
              <w:rPr>
                <w:sz w:val="15"/>
                <w:szCs w:val="15"/>
                <w:color w:val="auto"/>
              </w:rPr>
            </w:pPr>
          </w:p>
        </w:tc>
        <w:tc>
          <w:tcPr>
            <w:tcW w:w="1600" w:type="dxa"/>
            <w:vAlign w:val="bottom"/>
            <w:vMerge w:val="restart"/>
          </w:tcPr>
          <w:p>
            <w:pPr>
              <w:jc w:val="right"/>
              <w:ind w:right="284"/>
              <w:spacing w:after="0"/>
              <w:rPr>
                <w:sz w:val="20"/>
                <w:szCs w:val="20"/>
                <w:color w:val="auto"/>
              </w:rPr>
            </w:pPr>
            <w:r>
              <w:rPr>
                <w:rFonts w:ascii="Arial" w:cs="Arial" w:eastAsia="Arial" w:hAnsi="Arial"/>
                <w:sz w:val="16"/>
                <w:szCs w:val="16"/>
                <w:b w:val="1"/>
                <w:bCs w:val="1"/>
                <w:color w:val="auto"/>
              </w:rPr>
              <w:t>Outstanding</w:t>
            </w:r>
          </w:p>
        </w:tc>
        <w:tc>
          <w:tcPr>
            <w:tcW w:w="0" w:type="dxa"/>
            <w:vAlign w:val="bottom"/>
          </w:tcPr>
          <w:p>
            <w:pPr>
              <w:spacing w:after="0"/>
              <w:rPr>
                <w:sz w:val="1"/>
                <w:szCs w:val="1"/>
                <w:color w:val="auto"/>
              </w:rPr>
            </w:pPr>
          </w:p>
        </w:tc>
      </w:tr>
      <w:tr>
        <w:trPr>
          <w:trHeight w:val="212"/>
        </w:trPr>
        <w:tc>
          <w:tcPr>
            <w:tcW w:w="352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8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520" w:type="dxa"/>
            <w:vAlign w:val="bottom"/>
          </w:tcPr>
          <w:p>
            <w:pPr>
              <w:jc w:val="right"/>
              <w:spacing w:after="0"/>
              <w:rPr>
                <w:sz w:val="20"/>
                <w:szCs w:val="20"/>
                <w:color w:val="auto"/>
              </w:rPr>
            </w:pPr>
            <w:r>
              <w:rPr>
                <w:rFonts w:ascii="Arial" w:cs="Arial" w:eastAsia="Arial" w:hAnsi="Arial"/>
                <w:sz w:val="20"/>
                <w:szCs w:val="20"/>
                <w:b w:val="1"/>
                <w:bCs w:val="1"/>
                <w:color w:val="B4B4B4"/>
                <w:w w:val="95"/>
              </w:rPr>
              <w:t>. . . . . . .</w:t>
            </w:r>
            <w:r>
              <w:rPr>
                <w:rFonts w:ascii="Arial" w:cs="Arial" w:eastAsia="Arial" w:hAnsi="Arial"/>
                <w:sz w:val="20"/>
                <w:szCs w:val="20"/>
                <w:b w:val="1"/>
                <w:bCs w:val="1"/>
                <w:color w:val="000000"/>
                <w:w w:val="95"/>
              </w:rPr>
              <w:t>BalanceasofDecember31,2021</w:t>
            </w: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423,547,174</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(179,793,275)</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243,753,899</w:t>
            </w:r>
          </w:p>
        </w:tc>
        <w:tc>
          <w:tcPr>
            <w:tcW w:w="0" w:type="dxa"/>
            <w:vAlign w:val="bottom"/>
          </w:tcPr>
          <w:p>
            <w:pPr>
              <w:spacing w:after="0"/>
              <w:rPr>
                <w:sz w:val="1"/>
                <w:szCs w:val="1"/>
                <w:color w:val="auto"/>
              </w:rPr>
            </w:pPr>
          </w:p>
        </w:tc>
      </w:tr>
      <w:tr>
        <w:trPr>
          <w:trHeight w:val="282"/>
        </w:trPr>
        <w:tc>
          <w:tcPr>
            <w:tcW w:w="3520" w:type="dxa"/>
            <w:vAlign w:val="bottom"/>
          </w:tcPr>
          <w:p>
            <w:pPr>
              <w:jc w:val="right"/>
              <w:spacing w:after="0"/>
              <w:rPr>
                <w:sz w:val="20"/>
                <w:szCs w:val="20"/>
                <w:color w:val="auto"/>
              </w:rPr>
            </w:pPr>
            <w:r>
              <w:rPr>
                <w:rFonts w:ascii="Arial" w:cs="Arial" w:eastAsia="Arial" w:hAnsi="Arial"/>
                <w:sz w:val="20"/>
                <w:szCs w:val="20"/>
                <w:color w:val="auto"/>
                <w:w w:val="91"/>
              </w:rPr>
              <w:t xml:space="preserve">Shares issued under ESPP </w:t>
            </w:r>
            <w:r>
              <w:rPr>
                <w:rFonts w:ascii="Arial" w:cs="Arial" w:eastAsia="Arial" w:hAnsi="Arial"/>
                <w:sz w:val="20"/>
                <w:szCs w:val="20"/>
                <w:color w:val="B4B4B4"/>
                <w:w w:val="91"/>
              </w:rPr>
              <w:t>. . . . . . . . . . . .</w:t>
            </w: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142,825</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142,825</w:t>
            </w:r>
          </w:p>
        </w:tc>
        <w:tc>
          <w:tcPr>
            <w:tcW w:w="0" w:type="dxa"/>
            <w:vAlign w:val="bottom"/>
          </w:tcPr>
          <w:p>
            <w:pPr>
              <w:spacing w:after="0"/>
              <w:rPr>
                <w:sz w:val="1"/>
                <w:szCs w:val="1"/>
                <w:color w:val="auto"/>
              </w:rPr>
            </w:pPr>
          </w:p>
        </w:tc>
      </w:tr>
      <w:tr>
        <w:trPr>
          <w:trHeight w:val="282"/>
        </w:trPr>
        <w:tc>
          <w:tcPr>
            <w:tcW w:w="3520" w:type="dxa"/>
            <w:vAlign w:val="bottom"/>
          </w:tcPr>
          <w:p>
            <w:pPr>
              <w:jc w:val="right"/>
              <w:spacing w:after="0"/>
              <w:rPr>
                <w:sz w:val="20"/>
                <w:szCs w:val="20"/>
                <w:color w:val="auto"/>
              </w:rPr>
            </w:pPr>
            <w:r>
              <w:rPr>
                <w:rFonts w:ascii="Arial" w:cs="Arial" w:eastAsia="Arial" w:hAnsi="Arial"/>
                <w:sz w:val="20"/>
                <w:szCs w:val="20"/>
                <w:color w:val="auto"/>
                <w:w w:val="91"/>
              </w:rPr>
              <w:t xml:space="preserve">Shares issued under LTIPs </w:t>
            </w:r>
            <w:r>
              <w:rPr>
                <w:rFonts w:ascii="Arial" w:cs="Arial" w:eastAsia="Arial" w:hAnsi="Arial"/>
                <w:sz w:val="20"/>
                <w:szCs w:val="20"/>
                <w:color w:val="B4B4B4"/>
                <w:w w:val="91"/>
              </w:rPr>
              <w:t>. . . . . . . . . . . .</w:t>
            </w: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349,827</w:t>
            </w:r>
          </w:p>
        </w:tc>
        <w:tc>
          <w:tcPr>
            <w:tcW w:w="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349,827</w:t>
            </w:r>
          </w:p>
        </w:tc>
        <w:tc>
          <w:tcPr>
            <w:tcW w:w="0" w:type="dxa"/>
            <w:vAlign w:val="bottom"/>
          </w:tcPr>
          <w:p>
            <w:pPr>
              <w:spacing w:after="0"/>
              <w:rPr>
                <w:sz w:val="1"/>
                <w:szCs w:val="1"/>
                <w:color w:val="auto"/>
              </w:rPr>
            </w:pPr>
          </w:p>
        </w:tc>
      </w:tr>
      <w:tr>
        <w:trPr>
          <w:trHeight w:val="284"/>
        </w:trPr>
        <w:tc>
          <w:tcPr>
            <w:tcW w:w="3520" w:type="dxa"/>
            <w:vAlign w:val="bottom"/>
          </w:tcPr>
          <w:p>
            <w:pPr>
              <w:jc w:val="right"/>
              <w:spacing w:after="0"/>
              <w:rPr>
                <w:sz w:val="20"/>
                <w:szCs w:val="20"/>
                <w:color w:val="auto"/>
              </w:rPr>
            </w:pPr>
            <w:r>
              <w:rPr>
                <w:rFonts w:ascii="Arial" w:cs="Arial" w:eastAsia="Arial" w:hAnsi="Arial"/>
                <w:sz w:val="20"/>
                <w:szCs w:val="20"/>
                <w:color w:val="auto"/>
                <w:w w:val="90"/>
              </w:rPr>
              <w:t xml:space="preserve">Share repurchases </w:t>
            </w:r>
            <w:r>
              <w:rPr>
                <w:rFonts w:ascii="Arial" w:cs="Arial" w:eastAsia="Arial" w:hAnsi="Arial"/>
                <w:sz w:val="20"/>
                <w:szCs w:val="20"/>
                <w:color w:val="B4B4B4"/>
                <w:w w:val="90"/>
              </w:rPr>
              <w:t>. . . . . . . . . . . . . . . . . . .</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(14,685,521)</w:t>
            </w:r>
          </w:p>
        </w:tc>
        <w:tc>
          <w:tcPr>
            <w:tcW w:w="6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(14,685,521)</w:t>
            </w:r>
          </w:p>
        </w:tc>
        <w:tc>
          <w:tcPr>
            <w:tcW w:w="0" w:type="dxa"/>
            <w:vAlign w:val="bottom"/>
          </w:tcPr>
          <w:p>
            <w:pPr>
              <w:spacing w:after="0"/>
              <w:rPr>
                <w:sz w:val="1"/>
                <w:szCs w:val="1"/>
                <w:color w:val="auto"/>
              </w:rPr>
            </w:pPr>
          </w:p>
        </w:tc>
      </w:tr>
      <w:tr>
        <w:trPr>
          <w:trHeight w:val="260"/>
        </w:trPr>
        <w:tc>
          <w:tcPr>
            <w:tcW w:w="3520" w:type="dxa"/>
            <w:vAlign w:val="bottom"/>
          </w:tcPr>
          <w:p>
            <w:pPr>
              <w:jc w:val="right"/>
              <w:spacing w:after="0"/>
              <w:rPr>
                <w:sz w:val="20"/>
                <w:szCs w:val="20"/>
                <w:color w:val="auto"/>
              </w:rPr>
            </w:pPr>
            <w:r>
              <w:rPr>
                <w:rFonts w:ascii="Arial" w:cs="Arial" w:eastAsia="Arial" w:hAnsi="Arial"/>
                <w:sz w:val="20"/>
                <w:szCs w:val="20"/>
                <w:b w:val="1"/>
                <w:bCs w:val="1"/>
                <w:color w:val="B4B4B4"/>
                <w:w w:val="95"/>
              </w:rPr>
              <w:t>. . . . . . .</w:t>
            </w:r>
            <w:r>
              <w:rPr>
                <w:rFonts w:ascii="Arial" w:cs="Arial" w:eastAsia="Arial" w:hAnsi="Arial"/>
                <w:sz w:val="20"/>
                <w:szCs w:val="20"/>
                <w:b w:val="1"/>
                <w:bCs w:val="1"/>
                <w:color w:val="000000"/>
                <w:w w:val="95"/>
              </w:rPr>
              <w:t>BalanceasofDecember31,2022</w:t>
            </w: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423,897,001</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(194,335,971)</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229,561,030</w:t>
            </w:r>
          </w:p>
        </w:tc>
        <w:tc>
          <w:tcPr>
            <w:tcW w:w="0" w:type="dxa"/>
            <w:vAlign w:val="bottom"/>
          </w:tcPr>
          <w:p>
            <w:pPr>
              <w:spacing w:after="0"/>
              <w:rPr>
                <w:sz w:val="1"/>
                <w:szCs w:val="1"/>
                <w:color w:val="auto"/>
              </w:rPr>
            </w:pPr>
          </w:p>
        </w:tc>
      </w:tr>
      <w:tr>
        <w:trPr>
          <w:trHeight w:val="282"/>
        </w:trPr>
        <w:tc>
          <w:tcPr>
            <w:tcW w:w="3520" w:type="dxa"/>
            <w:vAlign w:val="bottom"/>
          </w:tcPr>
          <w:p>
            <w:pPr>
              <w:jc w:val="right"/>
              <w:spacing w:after="0"/>
              <w:rPr>
                <w:sz w:val="20"/>
                <w:szCs w:val="20"/>
                <w:color w:val="auto"/>
              </w:rPr>
            </w:pPr>
            <w:r>
              <w:rPr>
                <w:rFonts w:ascii="Arial" w:cs="Arial" w:eastAsia="Arial" w:hAnsi="Arial"/>
                <w:sz w:val="20"/>
                <w:szCs w:val="20"/>
                <w:color w:val="auto"/>
                <w:w w:val="92"/>
              </w:rPr>
              <w:t xml:space="preserve">Issuance of Series A Preferred Stock </w:t>
            </w:r>
            <w:r>
              <w:rPr>
                <w:rFonts w:ascii="Arial" w:cs="Arial" w:eastAsia="Arial" w:hAnsi="Arial"/>
                <w:sz w:val="20"/>
                <w:szCs w:val="20"/>
                <w:color w:val="B4B4B4"/>
                <w:w w:val="92"/>
              </w:rPr>
              <w:t>. . . .</w:t>
            </w:r>
          </w:p>
        </w:tc>
        <w:tc>
          <w:tcPr>
            <w:tcW w:w="1580" w:type="dxa"/>
            <w:vAlign w:val="bottom"/>
          </w:tcPr>
          <w:p>
            <w:pPr>
              <w:jc w:val="right"/>
              <w:spacing w:after="0"/>
              <w:rPr>
                <w:sz w:val="20"/>
                <w:szCs w:val="20"/>
                <w:color w:val="auto"/>
              </w:rPr>
            </w:pPr>
            <w:r>
              <w:rPr>
                <w:rFonts w:ascii="Arial" w:cs="Arial" w:eastAsia="Arial" w:hAnsi="Arial"/>
                <w:sz w:val="20"/>
                <w:szCs w:val="20"/>
                <w:color w:val="auto"/>
              </w:rPr>
              <w:t>650,000</w:t>
            </w:r>
          </w:p>
        </w:tc>
        <w:tc>
          <w:tcPr>
            <w:tcW w:w="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2"/>
        </w:trPr>
        <w:tc>
          <w:tcPr>
            <w:tcW w:w="3520" w:type="dxa"/>
            <w:vAlign w:val="bottom"/>
          </w:tcPr>
          <w:p>
            <w:pPr>
              <w:jc w:val="right"/>
              <w:spacing w:after="0"/>
              <w:rPr>
                <w:sz w:val="20"/>
                <w:szCs w:val="20"/>
                <w:color w:val="auto"/>
              </w:rPr>
            </w:pPr>
            <w:r>
              <w:rPr>
                <w:rFonts w:ascii="Arial" w:cs="Arial" w:eastAsia="Arial" w:hAnsi="Arial"/>
                <w:sz w:val="20"/>
                <w:szCs w:val="20"/>
                <w:color w:val="auto"/>
                <w:w w:val="91"/>
              </w:rPr>
              <w:t xml:space="preserve">Shares issued under ESPP </w:t>
            </w:r>
            <w:r>
              <w:rPr>
                <w:rFonts w:ascii="Arial" w:cs="Arial" w:eastAsia="Arial" w:hAnsi="Arial"/>
                <w:sz w:val="20"/>
                <w:szCs w:val="20"/>
                <w:color w:val="B4B4B4"/>
                <w:w w:val="91"/>
              </w:rPr>
              <w:t>. . . . . . . . . . . .</w:t>
            </w: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191,249</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191,249</w:t>
            </w:r>
          </w:p>
        </w:tc>
        <w:tc>
          <w:tcPr>
            <w:tcW w:w="0" w:type="dxa"/>
            <w:vAlign w:val="bottom"/>
          </w:tcPr>
          <w:p>
            <w:pPr>
              <w:spacing w:after="0"/>
              <w:rPr>
                <w:sz w:val="1"/>
                <w:szCs w:val="1"/>
                <w:color w:val="auto"/>
              </w:rPr>
            </w:pPr>
          </w:p>
        </w:tc>
      </w:tr>
      <w:tr>
        <w:trPr>
          <w:trHeight w:val="282"/>
        </w:trPr>
        <w:tc>
          <w:tcPr>
            <w:tcW w:w="3520" w:type="dxa"/>
            <w:vAlign w:val="bottom"/>
          </w:tcPr>
          <w:p>
            <w:pPr>
              <w:jc w:val="right"/>
              <w:spacing w:after="0"/>
              <w:rPr>
                <w:sz w:val="20"/>
                <w:szCs w:val="20"/>
                <w:color w:val="auto"/>
              </w:rPr>
            </w:pPr>
            <w:r>
              <w:rPr>
                <w:rFonts w:ascii="Arial" w:cs="Arial" w:eastAsia="Arial" w:hAnsi="Arial"/>
                <w:sz w:val="20"/>
                <w:szCs w:val="20"/>
                <w:color w:val="auto"/>
                <w:w w:val="91"/>
              </w:rPr>
              <w:t xml:space="preserve">Shares issued under LTIPs </w:t>
            </w:r>
            <w:r>
              <w:rPr>
                <w:rFonts w:ascii="Arial" w:cs="Arial" w:eastAsia="Arial" w:hAnsi="Arial"/>
                <w:sz w:val="20"/>
                <w:szCs w:val="20"/>
                <w:color w:val="B4B4B4"/>
                <w:w w:val="91"/>
              </w:rPr>
              <w:t>. . . . . . . . . . . .</w:t>
            </w: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1,109,611</w:t>
            </w:r>
          </w:p>
        </w:tc>
        <w:tc>
          <w:tcPr>
            <w:tcW w:w="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1,109,611</w:t>
            </w:r>
          </w:p>
        </w:tc>
        <w:tc>
          <w:tcPr>
            <w:tcW w:w="0" w:type="dxa"/>
            <w:vAlign w:val="bottom"/>
          </w:tcPr>
          <w:p>
            <w:pPr>
              <w:spacing w:after="0"/>
              <w:rPr>
                <w:sz w:val="1"/>
                <w:szCs w:val="1"/>
                <w:color w:val="auto"/>
              </w:rPr>
            </w:pPr>
          </w:p>
        </w:tc>
      </w:tr>
      <w:tr>
        <w:trPr>
          <w:trHeight w:val="282"/>
        </w:trPr>
        <w:tc>
          <w:tcPr>
            <w:tcW w:w="3520" w:type="dxa"/>
            <w:vAlign w:val="bottom"/>
          </w:tcPr>
          <w:p>
            <w:pPr>
              <w:jc w:val="right"/>
              <w:spacing w:after="0"/>
              <w:rPr>
                <w:sz w:val="20"/>
                <w:szCs w:val="20"/>
                <w:color w:val="auto"/>
              </w:rPr>
            </w:pPr>
            <w:r>
              <w:rPr>
                <w:rFonts w:ascii="Arial" w:cs="Arial" w:eastAsia="Arial" w:hAnsi="Arial"/>
                <w:sz w:val="20"/>
                <w:szCs w:val="20"/>
                <w:color w:val="auto"/>
                <w:w w:val="90"/>
              </w:rPr>
              <w:t xml:space="preserve">Share repurchases </w:t>
            </w:r>
            <w:r>
              <w:rPr>
                <w:rFonts w:ascii="Arial" w:cs="Arial" w:eastAsia="Arial" w:hAnsi="Arial"/>
                <w:sz w:val="20"/>
                <w:szCs w:val="20"/>
                <w:color w:val="B4B4B4"/>
                <w:w w:val="90"/>
              </w:rPr>
              <w:t>. . . . . . . . . . . . . . . . . . .</w:t>
            </w: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(22,730,940)</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(22,730,940)</w:t>
            </w:r>
          </w:p>
        </w:tc>
        <w:tc>
          <w:tcPr>
            <w:tcW w:w="0" w:type="dxa"/>
            <w:vAlign w:val="bottom"/>
          </w:tcPr>
          <w:p>
            <w:pPr>
              <w:spacing w:after="0"/>
              <w:rPr>
                <w:sz w:val="1"/>
                <w:szCs w:val="1"/>
                <w:color w:val="auto"/>
              </w:rPr>
            </w:pPr>
          </w:p>
        </w:tc>
      </w:tr>
      <w:tr>
        <w:trPr>
          <w:trHeight w:val="284"/>
        </w:trPr>
        <w:tc>
          <w:tcPr>
            <w:tcW w:w="3520" w:type="dxa"/>
            <w:vAlign w:val="bottom"/>
          </w:tcPr>
          <w:p>
            <w:pPr>
              <w:jc w:val="right"/>
              <w:spacing w:after="0"/>
              <w:rPr>
                <w:sz w:val="20"/>
                <w:szCs w:val="20"/>
                <w:color w:val="auto"/>
              </w:rPr>
            </w:pPr>
            <w:r>
              <w:rPr>
                <w:rFonts w:ascii="Arial" w:cs="Arial" w:eastAsia="Arial" w:hAnsi="Arial"/>
                <w:sz w:val="20"/>
                <w:szCs w:val="20"/>
                <w:color w:val="auto"/>
                <w:w w:val="92"/>
              </w:rPr>
              <w:t xml:space="preserve">Retirement of treasury stock </w:t>
            </w:r>
            <w:r>
              <w:rPr>
                <w:rFonts w:ascii="Arial" w:cs="Arial" w:eastAsia="Arial" w:hAnsi="Arial"/>
                <w:sz w:val="20"/>
                <w:szCs w:val="20"/>
                <w:color w:val="B4B4B4"/>
                <w:w w:val="92"/>
              </w:rPr>
              <w:t>. . . . . . . . . . .</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(157,676,142)</w:t>
            </w:r>
          </w:p>
        </w:tc>
        <w:tc>
          <w:tcPr>
            <w:tcW w:w="6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157,676,142</w:t>
            </w:r>
          </w:p>
        </w:tc>
        <w:tc>
          <w:tcPr>
            <w:tcW w:w="6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3520" w:type="dxa"/>
            <w:vAlign w:val="bottom"/>
          </w:tcPr>
          <w:p>
            <w:pPr>
              <w:jc w:val="right"/>
              <w:spacing w:after="0"/>
              <w:rPr>
                <w:sz w:val="20"/>
                <w:szCs w:val="20"/>
                <w:color w:val="auto"/>
              </w:rPr>
            </w:pPr>
            <w:r>
              <w:rPr>
                <w:rFonts w:ascii="Arial" w:cs="Arial" w:eastAsia="Arial" w:hAnsi="Arial"/>
                <w:sz w:val="20"/>
                <w:szCs w:val="20"/>
                <w:b w:val="1"/>
                <w:bCs w:val="1"/>
                <w:color w:val="B4B4B4"/>
                <w:w w:val="95"/>
              </w:rPr>
              <w:t>. . . . . . .</w:t>
            </w:r>
            <w:r>
              <w:rPr>
                <w:rFonts w:ascii="Arial" w:cs="Arial" w:eastAsia="Arial" w:hAnsi="Arial"/>
                <w:sz w:val="20"/>
                <w:szCs w:val="20"/>
                <w:b w:val="1"/>
                <w:bCs w:val="1"/>
                <w:color w:val="000000"/>
                <w:w w:val="95"/>
              </w:rPr>
              <w:t>BalanceasofDecember31,2023</w:t>
            </w:r>
          </w:p>
        </w:tc>
        <w:tc>
          <w:tcPr>
            <w:tcW w:w="1580" w:type="dxa"/>
            <w:vAlign w:val="bottom"/>
          </w:tcPr>
          <w:p>
            <w:pPr>
              <w:jc w:val="right"/>
              <w:spacing w:after="0"/>
              <w:rPr>
                <w:sz w:val="20"/>
                <w:szCs w:val="20"/>
                <w:color w:val="auto"/>
              </w:rPr>
            </w:pPr>
            <w:r>
              <w:rPr>
                <w:rFonts w:ascii="Arial" w:cs="Arial" w:eastAsia="Arial" w:hAnsi="Arial"/>
                <w:sz w:val="20"/>
                <w:szCs w:val="20"/>
                <w:color w:val="auto"/>
              </w:rPr>
              <w:t>650,000</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267,330,470</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(59,199,520)</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208,130,950</w:t>
            </w:r>
          </w:p>
        </w:tc>
        <w:tc>
          <w:tcPr>
            <w:tcW w:w="0" w:type="dxa"/>
            <w:vAlign w:val="bottom"/>
          </w:tcPr>
          <w:p>
            <w:pPr>
              <w:spacing w:after="0"/>
              <w:rPr>
                <w:sz w:val="1"/>
                <w:szCs w:val="1"/>
                <w:color w:val="auto"/>
              </w:rPr>
            </w:pPr>
          </w:p>
        </w:tc>
      </w:tr>
      <w:tr>
        <w:trPr>
          <w:trHeight w:val="282"/>
        </w:trPr>
        <w:tc>
          <w:tcPr>
            <w:tcW w:w="3520" w:type="dxa"/>
            <w:vAlign w:val="bottom"/>
          </w:tcPr>
          <w:p>
            <w:pPr>
              <w:jc w:val="right"/>
              <w:spacing w:after="0"/>
              <w:rPr>
                <w:sz w:val="20"/>
                <w:szCs w:val="20"/>
                <w:color w:val="auto"/>
              </w:rPr>
            </w:pPr>
            <w:r>
              <w:rPr>
                <w:rFonts w:ascii="Arial" w:cs="Arial" w:eastAsia="Arial" w:hAnsi="Arial"/>
                <w:sz w:val="20"/>
                <w:szCs w:val="20"/>
                <w:color w:val="auto"/>
                <w:w w:val="91"/>
              </w:rPr>
              <w:t xml:space="preserve">Shares issued under ESPP </w:t>
            </w:r>
            <w:r>
              <w:rPr>
                <w:rFonts w:ascii="Arial" w:cs="Arial" w:eastAsia="Arial" w:hAnsi="Arial"/>
                <w:sz w:val="20"/>
                <w:szCs w:val="20"/>
                <w:color w:val="B4B4B4"/>
                <w:w w:val="91"/>
              </w:rPr>
              <w:t>. . . . . . . . . . . .</w:t>
            </w: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242,070</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242,070</w:t>
            </w:r>
          </w:p>
        </w:tc>
        <w:tc>
          <w:tcPr>
            <w:tcW w:w="0" w:type="dxa"/>
            <w:vAlign w:val="bottom"/>
          </w:tcPr>
          <w:p>
            <w:pPr>
              <w:spacing w:after="0"/>
              <w:rPr>
                <w:sz w:val="1"/>
                <w:szCs w:val="1"/>
                <w:color w:val="auto"/>
              </w:rPr>
            </w:pPr>
          </w:p>
        </w:tc>
      </w:tr>
      <w:tr>
        <w:trPr>
          <w:trHeight w:val="282"/>
        </w:trPr>
        <w:tc>
          <w:tcPr>
            <w:tcW w:w="3520" w:type="dxa"/>
            <w:vAlign w:val="bottom"/>
          </w:tcPr>
          <w:p>
            <w:pPr>
              <w:jc w:val="right"/>
              <w:spacing w:after="0"/>
              <w:rPr>
                <w:sz w:val="20"/>
                <w:szCs w:val="20"/>
                <w:color w:val="auto"/>
              </w:rPr>
            </w:pPr>
            <w:r>
              <w:rPr>
                <w:rFonts w:ascii="Arial" w:cs="Arial" w:eastAsia="Arial" w:hAnsi="Arial"/>
                <w:sz w:val="20"/>
                <w:szCs w:val="20"/>
                <w:color w:val="auto"/>
                <w:w w:val="91"/>
              </w:rPr>
              <w:t xml:space="preserve">Shares issued under LTIPs </w:t>
            </w:r>
            <w:r>
              <w:rPr>
                <w:rFonts w:ascii="Arial" w:cs="Arial" w:eastAsia="Arial" w:hAnsi="Arial"/>
                <w:sz w:val="20"/>
                <w:szCs w:val="20"/>
                <w:color w:val="B4B4B4"/>
                <w:w w:val="91"/>
              </w:rPr>
              <w:t>. . . . . . . . . . . .</w:t>
            </w: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1,959,134</w:t>
            </w:r>
          </w:p>
        </w:tc>
        <w:tc>
          <w:tcPr>
            <w:tcW w:w="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1,959,134</w:t>
            </w:r>
          </w:p>
        </w:tc>
        <w:tc>
          <w:tcPr>
            <w:tcW w:w="0" w:type="dxa"/>
            <w:vAlign w:val="bottom"/>
          </w:tcPr>
          <w:p>
            <w:pPr>
              <w:spacing w:after="0"/>
              <w:rPr>
                <w:sz w:val="1"/>
                <w:szCs w:val="1"/>
                <w:color w:val="auto"/>
              </w:rPr>
            </w:pPr>
          </w:p>
        </w:tc>
      </w:tr>
      <w:tr>
        <w:trPr>
          <w:trHeight w:val="282"/>
        </w:trPr>
        <w:tc>
          <w:tcPr>
            <w:tcW w:w="3520" w:type="dxa"/>
            <w:vAlign w:val="bottom"/>
          </w:tcPr>
          <w:p>
            <w:pPr>
              <w:jc w:val="right"/>
              <w:spacing w:after="0"/>
              <w:rPr>
                <w:sz w:val="20"/>
                <w:szCs w:val="20"/>
                <w:color w:val="auto"/>
              </w:rPr>
            </w:pPr>
            <w:r>
              <w:rPr>
                <w:rFonts w:ascii="Arial" w:cs="Arial" w:eastAsia="Arial" w:hAnsi="Arial"/>
                <w:sz w:val="20"/>
                <w:szCs w:val="20"/>
                <w:color w:val="auto"/>
                <w:w w:val="90"/>
              </w:rPr>
              <w:t xml:space="preserve">Share repurchases </w:t>
            </w:r>
            <w:r>
              <w:rPr>
                <w:rFonts w:ascii="Arial" w:cs="Arial" w:eastAsia="Arial" w:hAnsi="Arial"/>
                <w:sz w:val="20"/>
                <w:szCs w:val="20"/>
                <w:color w:val="B4B4B4"/>
                <w:w w:val="90"/>
              </w:rPr>
              <w:t>. . . . . . . . . . . . . . . . . . .</w:t>
            </w: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(11,725,563)</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(11,725,563)</w:t>
            </w:r>
          </w:p>
        </w:tc>
        <w:tc>
          <w:tcPr>
            <w:tcW w:w="0" w:type="dxa"/>
            <w:vAlign w:val="bottom"/>
          </w:tcPr>
          <w:p>
            <w:pPr>
              <w:spacing w:after="0"/>
              <w:rPr>
                <w:sz w:val="1"/>
                <w:szCs w:val="1"/>
                <w:color w:val="auto"/>
              </w:rPr>
            </w:pPr>
          </w:p>
        </w:tc>
      </w:tr>
      <w:tr>
        <w:trPr>
          <w:trHeight w:val="297"/>
        </w:trPr>
        <w:tc>
          <w:tcPr>
            <w:tcW w:w="3520" w:type="dxa"/>
            <w:vAlign w:val="bottom"/>
          </w:tcPr>
          <w:p>
            <w:pPr>
              <w:jc w:val="right"/>
              <w:ind w:right="1"/>
              <w:spacing w:after="0"/>
              <w:rPr>
                <w:sz w:val="20"/>
                <w:szCs w:val="20"/>
                <w:color w:val="auto"/>
              </w:rPr>
            </w:pPr>
            <w:r>
              <w:rPr>
                <w:rFonts w:ascii="Arial" w:cs="Arial" w:eastAsia="Arial" w:hAnsi="Arial"/>
                <w:sz w:val="20"/>
                <w:szCs w:val="20"/>
                <w:color w:val="auto"/>
                <w:w w:val="92"/>
              </w:rPr>
              <w:t>Partial settlement of Capped Call Options</w:t>
            </w: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(2,588)</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(2,588)</w:t>
            </w:r>
          </w:p>
        </w:tc>
        <w:tc>
          <w:tcPr>
            <w:tcW w:w="0" w:type="dxa"/>
            <w:vAlign w:val="bottom"/>
          </w:tcPr>
          <w:p>
            <w:pPr>
              <w:spacing w:after="0"/>
              <w:rPr>
                <w:sz w:val="1"/>
                <w:szCs w:val="1"/>
                <w:color w:val="auto"/>
              </w:rPr>
            </w:pPr>
          </w:p>
        </w:tc>
      </w:tr>
      <w:tr>
        <w:trPr>
          <w:trHeight w:val="284"/>
        </w:trPr>
        <w:tc>
          <w:tcPr>
            <w:tcW w:w="3520" w:type="dxa"/>
            <w:vAlign w:val="bottom"/>
          </w:tcPr>
          <w:p>
            <w:pPr>
              <w:jc w:val="right"/>
              <w:spacing w:after="0"/>
              <w:rPr>
                <w:sz w:val="20"/>
                <w:szCs w:val="20"/>
                <w:color w:val="auto"/>
              </w:rPr>
            </w:pPr>
            <w:r>
              <w:rPr>
                <w:rFonts w:ascii="Arial" w:cs="Arial" w:eastAsia="Arial" w:hAnsi="Arial"/>
                <w:sz w:val="20"/>
                <w:szCs w:val="20"/>
                <w:color w:val="auto"/>
                <w:w w:val="92"/>
              </w:rPr>
              <w:t xml:space="preserve">Retirement of treasury stock </w:t>
            </w:r>
            <w:r>
              <w:rPr>
                <w:rFonts w:ascii="Arial" w:cs="Arial" w:eastAsia="Arial" w:hAnsi="Arial"/>
                <w:sz w:val="20"/>
                <w:szCs w:val="20"/>
                <w:color w:val="B4B4B4"/>
                <w:w w:val="92"/>
              </w:rPr>
              <w:t>. . . . . . . . . . .</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(64,225,546)</w:t>
            </w:r>
          </w:p>
        </w:tc>
        <w:tc>
          <w:tcPr>
            <w:tcW w:w="6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64,225,546</w:t>
            </w:r>
          </w:p>
        </w:tc>
        <w:tc>
          <w:tcPr>
            <w:tcW w:w="6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3520" w:type="dxa"/>
            <w:vAlign w:val="bottom"/>
          </w:tcPr>
          <w:p>
            <w:pPr>
              <w:jc w:val="right"/>
              <w:spacing w:after="0"/>
              <w:rPr>
                <w:sz w:val="20"/>
                <w:szCs w:val="20"/>
                <w:color w:val="auto"/>
              </w:rPr>
            </w:pPr>
            <w:r>
              <w:rPr>
                <w:rFonts w:ascii="Arial" w:cs="Arial" w:eastAsia="Arial" w:hAnsi="Arial"/>
                <w:sz w:val="20"/>
                <w:szCs w:val="20"/>
                <w:b w:val="1"/>
                <w:bCs w:val="1"/>
                <w:color w:val="B4B4B4"/>
                <w:w w:val="95"/>
              </w:rPr>
              <w:t>. . . . . . .</w:t>
            </w:r>
            <w:r>
              <w:rPr>
                <w:rFonts w:ascii="Arial" w:cs="Arial" w:eastAsia="Arial" w:hAnsi="Arial"/>
                <w:sz w:val="20"/>
                <w:szCs w:val="20"/>
                <w:b w:val="1"/>
                <w:bCs w:val="1"/>
                <w:color w:val="000000"/>
                <w:w w:val="95"/>
              </w:rPr>
              <w:t>BalanceasofDecember31,2024</w:t>
            </w:r>
          </w:p>
        </w:tc>
        <w:tc>
          <w:tcPr>
            <w:tcW w:w="1580" w:type="dxa"/>
            <w:vAlign w:val="bottom"/>
          </w:tcPr>
          <w:p>
            <w:pPr>
              <w:jc w:val="right"/>
              <w:spacing w:after="0"/>
              <w:rPr>
                <w:sz w:val="20"/>
                <w:szCs w:val="20"/>
                <w:color w:val="auto"/>
              </w:rPr>
            </w:pPr>
            <w:r>
              <w:rPr>
                <w:rFonts w:ascii="Arial" w:cs="Arial" w:eastAsia="Arial" w:hAnsi="Arial"/>
                <w:sz w:val="20"/>
                <w:szCs w:val="20"/>
                <w:color w:val="auto"/>
              </w:rPr>
              <w:t>650,000</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205,064,058</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(6,460,055)</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198,604,003</w:t>
            </w:r>
          </w:p>
        </w:tc>
        <w:tc>
          <w:tcPr>
            <w:tcW w:w="0" w:type="dxa"/>
            <w:vAlign w:val="bottom"/>
          </w:tcPr>
          <w:p>
            <w:pPr>
              <w:spacing w:after="0"/>
              <w:rPr>
                <w:sz w:val="1"/>
                <w:szCs w:val="1"/>
                <w:color w:val="auto"/>
              </w:rPr>
            </w:pPr>
          </w:p>
        </w:tc>
      </w:tr>
      <w:tr>
        <w:trPr>
          <w:trHeight w:val="282"/>
        </w:trPr>
        <w:tc>
          <w:tcPr>
            <w:tcW w:w="3520" w:type="dxa"/>
            <w:vAlign w:val="bottom"/>
          </w:tcPr>
          <w:p>
            <w:pPr>
              <w:jc w:val="right"/>
              <w:spacing w:after="0"/>
              <w:rPr>
                <w:sz w:val="20"/>
                <w:szCs w:val="20"/>
                <w:color w:val="auto"/>
              </w:rPr>
            </w:pPr>
            <w:r>
              <w:rPr>
                <w:rFonts w:ascii="Arial" w:cs="Arial" w:eastAsia="Arial" w:hAnsi="Arial"/>
                <w:sz w:val="20"/>
                <w:szCs w:val="20"/>
                <w:color w:val="auto"/>
                <w:w w:val="91"/>
              </w:rPr>
              <w:t xml:space="preserve">Shares issued under LTIPs </w:t>
            </w:r>
            <w:r>
              <w:rPr>
                <w:rFonts w:ascii="Arial" w:cs="Arial" w:eastAsia="Arial" w:hAnsi="Arial"/>
                <w:sz w:val="20"/>
                <w:szCs w:val="20"/>
                <w:color w:val="B4B4B4"/>
                <w:w w:val="91"/>
              </w:rPr>
              <w:t>. . . . . . . . . . . .</w:t>
            </w: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540,996</w:t>
            </w:r>
          </w:p>
        </w:tc>
        <w:tc>
          <w:tcPr>
            <w:tcW w:w="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540,996</w:t>
            </w:r>
          </w:p>
        </w:tc>
        <w:tc>
          <w:tcPr>
            <w:tcW w:w="0" w:type="dxa"/>
            <w:vAlign w:val="bottom"/>
          </w:tcPr>
          <w:p>
            <w:pPr>
              <w:spacing w:after="0"/>
              <w:rPr>
                <w:sz w:val="1"/>
                <w:szCs w:val="1"/>
                <w:color w:val="auto"/>
              </w:rPr>
            </w:pPr>
          </w:p>
        </w:tc>
      </w:tr>
      <w:tr>
        <w:trPr>
          <w:trHeight w:val="282"/>
        </w:trPr>
        <w:tc>
          <w:tcPr>
            <w:tcW w:w="3520" w:type="dxa"/>
            <w:vAlign w:val="bottom"/>
          </w:tcPr>
          <w:p>
            <w:pPr>
              <w:jc w:val="right"/>
              <w:spacing w:after="0"/>
              <w:rPr>
                <w:sz w:val="20"/>
                <w:szCs w:val="20"/>
                <w:color w:val="auto"/>
              </w:rPr>
            </w:pPr>
            <w:r>
              <w:rPr>
                <w:rFonts w:ascii="Arial" w:cs="Arial" w:eastAsia="Arial" w:hAnsi="Arial"/>
                <w:sz w:val="20"/>
                <w:szCs w:val="20"/>
                <w:color w:val="auto"/>
                <w:w w:val="90"/>
              </w:rPr>
              <w:t xml:space="preserve">Share repurchases </w:t>
            </w:r>
            <w:r>
              <w:rPr>
                <w:rFonts w:ascii="Arial" w:cs="Arial" w:eastAsia="Arial" w:hAnsi="Arial"/>
                <w:sz w:val="20"/>
                <w:szCs w:val="20"/>
                <w:color w:val="B4B4B4"/>
                <w:w w:val="90"/>
              </w:rPr>
              <w:t>. . . . . . . . . . . . . . . . . . .</w:t>
            </w: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(1,076,423)</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(1,076,423)</w:t>
            </w:r>
          </w:p>
        </w:tc>
        <w:tc>
          <w:tcPr>
            <w:tcW w:w="0" w:type="dxa"/>
            <w:vAlign w:val="bottom"/>
          </w:tcPr>
          <w:p>
            <w:pPr>
              <w:spacing w:after="0"/>
              <w:rPr>
                <w:sz w:val="1"/>
                <w:szCs w:val="1"/>
                <w:color w:val="auto"/>
              </w:rPr>
            </w:pPr>
          </w:p>
        </w:tc>
      </w:tr>
      <w:tr>
        <w:trPr>
          <w:trHeight w:val="284"/>
        </w:trPr>
        <w:tc>
          <w:tcPr>
            <w:tcW w:w="3520" w:type="dxa"/>
            <w:vAlign w:val="bottom"/>
          </w:tcPr>
          <w:p>
            <w:pPr>
              <w:jc w:val="right"/>
              <w:spacing w:after="0"/>
              <w:rPr>
                <w:sz w:val="20"/>
                <w:szCs w:val="20"/>
                <w:color w:val="auto"/>
              </w:rPr>
            </w:pPr>
            <w:r>
              <w:rPr>
                <w:rFonts w:ascii="Arial" w:cs="Arial" w:eastAsia="Arial" w:hAnsi="Arial"/>
                <w:sz w:val="20"/>
                <w:szCs w:val="20"/>
                <w:color w:val="auto"/>
                <w:w w:val="92"/>
              </w:rPr>
              <w:t xml:space="preserve">Retirement of treasury stock </w:t>
            </w:r>
            <w:r>
              <w:rPr>
                <w:rFonts w:ascii="Arial" w:cs="Arial" w:eastAsia="Arial" w:hAnsi="Arial"/>
                <w:sz w:val="20"/>
                <w:szCs w:val="20"/>
                <w:color w:val="B4B4B4"/>
                <w:w w:val="92"/>
              </w:rPr>
              <w:t>. . . . . . . . . . .</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(1,028,193)</w:t>
            </w:r>
          </w:p>
        </w:tc>
        <w:tc>
          <w:tcPr>
            <w:tcW w:w="6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1,028,193</w:t>
            </w:r>
          </w:p>
        </w:tc>
        <w:tc>
          <w:tcPr>
            <w:tcW w:w="6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2"/>
        </w:trPr>
        <w:tc>
          <w:tcPr>
            <w:tcW w:w="3520" w:type="dxa"/>
            <w:vAlign w:val="bottom"/>
          </w:tcPr>
          <w:p>
            <w:pPr>
              <w:jc w:val="right"/>
              <w:spacing w:after="0"/>
              <w:rPr>
                <w:sz w:val="20"/>
                <w:szCs w:val="20"/>
                <w:color w:val="auto"/>
              </w:rPr>
            </w:pPr>
            <w:r>
              <w:rPr>
                <w:rFonts w:ascii="Arial" w:cs="Arial" w:eastAsia="Arial" w:hAnsi="Arial"/>
                <w:sz w:val="20"/>
                <w:szCs w:val="20"/>
                <w:b w:val="1"/>
                <w:bCs w:val="1"/>
                <w:color w:val="B4B4B4"/>
                <w:w w:val="98"/>
              </w:rPr>
              <w:t>. . . . . . . .</w:t>
            </w:r>
            <w:r>
              <w:rPr>
                <w:rFonts w:ascii="Arial" w:cs="Arial" w:eastAsia="Arial" w:hAnsi="Arial"/>
                <w:sz w:val="20"/>
                <w:szCs w:val="20"/>
                <w:b w:val="1"/>
                <w:bCs w:val="1"/>
                <w:color w:val="000000"/>
                <w:w w:val="98"/>
              </w:rPr>
              <w:t>BalanceasofJanuary31,2025</w:t>
            </w:r>
          </w:p>
        </w:tc>
        <w:tc>
          <w:tcPr>
            <w:tcW w:w="1580" w:type="dxa"/>
            <w:vAlign w:val="bottom"/>
          </w:tcPr>
          <w:p>
            <w:pPr>
              <w:jc w:val="right"/>
              <w:spacing w:after="0"/>
              <w:rPr>
                <w:sz w:val="20"/>
                <w:szCs w:val="20"/>
                <w:color w:val="auto"/>
              </w:rPr>
            </w:pPr>
            <w:r>
              <w:rPr>
                <w:rFonts w:ascii="Arial" w:cs="Arial" w:eastAsia="Arial" w:hAnsi="Arial"/>
                <w:sz w:val="20"/>
                <w:szCs w:val="20"/>
                <w:color w:val="auto"/>
              </w:rPr>
              <w:t>650,000</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204,576,861</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(6,508,285)</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198,068,576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-3803015</wp:posOffset>
            </wp:positionV>
            <wp:extent cx="6475095" cy="38100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50">
                      <a:extLst>
                        <a:ext uri="{28A0092B-C50C-407E-A947-70E740481C1C}"/>
                      </a:extLst>
                    </a:blip>
                    <a:srcRect/>
                    <a:stretch>
                      <a:fillRect/>
                    </a:stretch>
                  </pic:blipFill>
                  <pic:spPr bwMode="auto">
                    <a:xfrm>
                      <a:off x="0" y="0"/>
                      <a:ext cx="6475095" cy="381000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As of December 31, 2024, NRG had 25,400,076 shares of common stock reserved for the maximum number of shares potentially issuable based on the conversion and redemption features of the long-term incentive plans.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Common Stock Dividends</w:t>
      </w:r>
    </w:p>
    <w:p>
      <w:pPr>
        <w:spacing w:after="0" w:line="13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The Company declared and paid $0.4075, $0.3775 and $0.350 quarterly dividend per common share, or $1.63, $1.51 and $1.40 per share on an annualized basis for 2024, 2023 and 2022 respectively.</w:t>
      </w:r>
    </w:p>
    <w:p>
      <w:pPr>
        <w:spacing w:after="0" w:line="6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In 2022, 2023 and 2024, NRG increased the annual dividend on its common stock to $1.40, $1.51 and $1.63 per share, respectively, representing an 8% increase each year. Beginning in the first quarter of 2025, NRG will increase the annual common stock dividend by 8% to $1.76 per share. The long-term capital allocation policy targets an annual common stock dividend growth rate of 7%-9% per share in subsequent years.</w:t>
      </w:r>
    </w:p>
    <w:p>
      <w:pPr>
        <w:spacing w:after="0" w:line="8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The Company's common stock dividends are subject to available capital, market conditions, and compliance with associated laws, regulations and other contractual obligations.</w:t>
      </w:r>
    </w:p>
    <w:p>
      <w:pPr>
        <w:spacing w:after="0" w:line="63" w:lineRule="exact"/>
        <w:rPr>
          <w:sz w:val="20"/>
          <w:szCs w:val="20"/>
          <w:color w:val="auto"/>
        </w:rPr>
      </w:pPr>
    </w:p>
    <w:p>
      <w:pPr>
        <w:jc w:val="both"/>
        <w:ind w:firstLine="445"/>
        <w:spacing w:after="0" w:line="335" w:lineRule="auto"/>
        <w:rPr>
          <w:sz w:val="20"/>
          <w:szCs w:val="20"/>
          <w:color w:val="auto"/>
        </w:rPr>
      </w:pPr>
      <w:r>
        <w:rPr>
          <w:rFonts w:ascii="Arial" w:cs="Arial" w:eastAsia="Arial" w:hAnsi="Arial"/>
          <w:sz w:val="18"/>
          <w:szCs w:val="18"/>
          <w:color w:val="auto"/>
        </w:rPr>
        <w:t>On January 22, 2025, NRG declared a quarterly dividend on the Company's common stock of $0.44 per share, or $1.76 per share on an annualized basis, payable on February 18, 2025, to stockholders of record as of February 3, 2025.</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Employee Stock Purchase Plan</w:t>
      </w:r>
    </w:p>
    <w:p>
      <w:pPr>
        <w:spacing w:after="0" w:line="13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The Company offers participation in the ESPP which allows eligible employees to elect to withhold between 1% and 10% of their eligible compensation to purchase shares of NRG common stock at the lesser of 90% of its market value on the offering date or 90% of the fair market value on the exercise date. An offering date occurs each April 1 and October 1. An exercise date occurs each September 30 and March 31. As of December 31, 2024, there remained 6,460,055 shares of treasury stock reserved for issuance under the ESPP.</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ectPr>
          <w:pgSz w:w="11880" w:h="15480" w:orient="portrait"/>
          <w:cols w:equalWidth="0" w:num="1">
            <w:col w:w="10160"/>
          </w:cols>
          <w:pgMar w:left="860" w:top="505" w:right="860" w:bottom="0" w:gutter="0" w:footer="0" w:header="0"/>
          <w:type w:val="continuous"/>
        </w:sectPr>
      </w:pPr>
    </w:p>
    <w:bookmarkStart w:id="146" w:name="page147"/>
    <w:bookmarkEnd w:id="146"/>
    <w:p>
      <w:pPr>
        <w:ind w:left="440"/>
        <w:spacing w:after="0"/>
        <w:rPr>
          <w:sz w:val="20"/>
          <w:szCs w:val="20"/>
          <w:color w:val="auto"/>
        </w:rPr>
      </w:pPr>
      <w:r>
        <w:rPr>
          <w:rFonts w:ascii="Arial" w:cs="Arial" w:eastAsia="Arial" w:hAnsi="Arial"/>
          <w:sz w:val="20"/>
          <w:szCs w:val="20"/>
          <w:b w:val="1"/>
          <w:bCs w:val="1"/>
          <w:i w:val="1"/>
          <w:iCs w:val="1"/>
          <w:color w:val="auto"/>
        </w:rPr>
        <w:t>Share Repurchases</w:t>
      </w:r>
    </w:p>
    <w:p>
      <w:pPr>
        <w:spacing w:after="0" w:line="130"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8"/>
          <w:szCs w:val="18"/>
          <w:color w:val="auto"/>
        </w:rPr>
        <w:t>During the year ended December 31, 2022, the Company completed $595 million of share repurchases at an average price per share of $40.48. In June 2023, NRG revised its long-term capital allocation policy to target allocating approximately 80% of cash available for allocation, after debt reduction, to be returned to shareholders. As part of the revised capital allocation framework, the Company announced an increase to its share repurchase authorization to $2.7 billion, to be executed through 2025. In October 2024, the Board of Directors authorized an additional $1.0 billion for share repurchases as part of the existing share repurchase authorization. As of January 31, 2025, $1.5 billion is remaining under the $3.7 billion authorization. The following table summarizes the share repurchases made under the $3.7 billion authorization through January 31, 2025:</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9"/>
              </w:rPr>
              <w:t>Total number of</w:t>
            </w:r>
          </w:p>
        </w:tc>
        <w:tc>
          <w:tcPr>
            <w:tcW w:w="160" w:type="dxa"/>
            <w:vAlign w:val="bottom"/>
          </w:tcPr>
          <w:p>
            <w:pPr>
              <w:spacing w:after="0"/>
              <w:rPr>
                <w:sz w:val="16"/>
                <w:szCs w:val="16"/>
                <w:color w:val="auto"/>
              </w:rPr>
            </w:pPr>
          </w:p>
        </w:tc>
        <w:tc>
          <w:tcPr>
            <w:tcW w:w="720" w:type="dxa"/>
            <w:vAlign w:val="bottom"/>
          </w:tcPr>
          <w:p>
            <w:pPr>
              <w:jc w:val="center"/>
              <w:ind w:right="24"/>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6"/>
                <w:szCs w:val="16"/>
                <w:color w:val="auto"/>
              </w:rPr>
            </w:pPr>
          </w:p>
        </w:tc>
        <w:tc>
          <w:tcPr>
            <w:tcW w:w="140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0"/>
              </w:rPr>
              <w:t>Amounts paid for</w:t>
            </w:r>
          </w:p>
        </w:tc>
        <w:tc>
          <w:tcPr>
            <w:tcW w:w="0" w:type="dxa"/>
            <w:vAlign w:val="bottom"/>
          </w:tcPr>
          <w:p>
            <w:pPr>
              <w:spacing w:after="0"/>
              <w:rPr>
                <w:sz w:val="1"/>
                <w:szCs w:val="1"/>
                <w:color w:val="auto"/>
              </w:rPr>
            </w:pPr>
          </w:p>
        </w:tc>
      </w:tr>
      <w:tr>
        <w:trPr>
          <w:trHeight w:val="158"/>
        </w:trPr>
        <w:tc>
          <w:tcPr>
            <w:tcW w:w="634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88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89"/>
              </w:rPr>
              <w:t>price paid</w:t>
            </w:r>
          </w:p>
        </w:tc>
        <w:tc>
          <w:tcPr>
            <w:tcW w:w="1580" w:type="dxa"/>
            <w:vAlign w:val="bottom"/>
            <w:gridSpan w:val="3"/>
          </w:tcPr>
          <w:p>
            <w:pPr>
              <w:jc w:val="center"/>
              <w:spacing w:after="0" w:line="158" w:lineRule="exact"/>
              <w:rPr>
                <w:sz w:val="20"/>
                <w:szCs w:val="20"/>
                <w:color w:val="auto"/>
              </w:rPr>
            </w:pPr>
            <w:r>
              <w:rPr>
                <w:rFonts w:ascii="Arial" w:cs="Arial" w:eastAsia="Arial" w:hAnsi="Arial"/>
                <w:sz w:val="16"/>
                <w:szCs w:val="16"/>
                <w:b w:val="1"/>
                <w:bCs w:val="1"/>
                <w:color w:val="auto"/>
                <w:w w:val="86"/>
              </w:rPr>
              <w:t>shares purchased (in</w:t>
            </w:r>
          </w:p>
        </w:tc>
        <w:tc>
          <w:tcPr>
            <w:tcW w:w="0" w:type="dxa"/>
            <w:vAlign w:val="bottom"/>
          </w:tcPr>
          <w:p>
            <w:pPr>
              <w:spacing w:after="0"/>
              <w:rPr>
                <w:sz w:val="1"/>
                <w:szCs w:val="1"/>
                <w:color w:val="auto"/>
              </w:rPr>
            </w:pPr>
          </w:p>
        </w:tc>
      </w:tr>
      <w:tr>
        <w:trPr>
          <w:trHeight w:val="212"/>
        </w:trPr>
        <w:tc>
          <w:tcPr>
            <w:tcW w:w="63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shares purchased</w:t>
            </w: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per share</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85"/>
              <w:spacing w:after="0"/>
              <w:rPr>
                <w:sz w:val="20"/>
                <w:szCs w:val="20"/>
                <w:color w:val="auto"/>
              </w:rPr>
            </w:pPr>
            <w:r>
              <w:rPr>
                <w:rFonts w:ascii="Arial" w:cs="Arial" w:eastAsia="Arial" w:hAnsi="Arial"/>
                <w:sz w:val="16"/>
                <w:szCs w:val="16"/>
                <w:b w:val="1"/>
                <w:bCs w:val="1"/>
                <w:color w:val="auto"/>
                <w:w w:val="88"/>
              </w:rPr>
              <w:t>millions)</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6340" w:type="dxa"/>
            <w:vAlign w:val="bottom"/>
          </w:tcPr>
          <w:p>
            <w:pPr>
              <w:spacing w:after="0"/>
              <w:rPr>
                <w:sz w:val="20"/>
                <w:szCs w:val="20"/>
                <w:color w:val="auto"/>
              </w:rPr>
            </w:pPr>
            <w:r>
              <w:rPr>
                <w:rFonts w:ascii="Arial" w:cs="Arial" w:eastAsia="Arial" w:hAnsi="Arial"/>
                <w:sz w:val="20"/>
                <w:szCs w:val="20"/>
                <w:b w:val="1"/>
                <w:bCs w:val="1"/>
                <w:color w:val="auto"/>
              </w:rPr>
              <w:t>2023 Repurchases:</w:t>
            </w: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340" w:type="dxa"/>
            <w:vAlign w:val="bottom"/>
          </w:tcPr>
          <w:p>
            <w:pPr>
              <w:spacing w:after="0"/>
              <w:rPr>
                <w:sz w:val="20"/>
                <w:szCs w:val="20"/>
                <w:color w:val="auto"/>
              </w:rPr>
            </w:pPr>
            <w:r>
              <w:rPr>
                <w:rFonts w:ascii="Arial" w:cs="Arial" w:eastAsia="Arial" w:hAnsi="Arial"/>
                <w:sz w:val="20"/>
                <w:szCs w:val="20"/>
                <w:color w:val="auto"/>
                <w:w w:val="89"/>
              </w:rPr>
              <w:t xml:space="preserve">Open market repurchases  </w:t>
            </w:r>
            <w:r>
              <w:rPr>
                <w:rFonts w:ascii="Arial" w:cs="Arial" w:eastAsia="Arial" w:hAnsi="Arial"/>
                <w:sz w:val="20"/>
                <w:szCs w:val="20"/>
                <w:color w:val="B4B4B4"/>
                <w:w w:val="89"/>
              </w:rPr>
              <w:t>. . . . . . . . . . . . . . . . . . . . . . . . . . . . . . . . . . . . . . . . . .</w:t>
            </w:r>
          </w:p>
        </w:tc>
        <w:tc>
          <w:tcPr>
            <w:tcW w:w="1300" w:type="dxa"/>
            <w:vAlign w:val="bottom"/>
          </w:tcPr>
          <w:p>
            <w:pPr>
              <w:jc w:val="right"/>
              <w:spacing w:after="0"/>
              <w:rPr>
                <w:sz w:val="20"/>
                <w:szCs w:val="20"/>
                <w:color w:val="auto"/>
              </w:rPr>
            </w:pPr>
            <w:r>
              <w:rPr>
                <w:rFonts w:ascii="Arial" w:cs="Arial" w:eastAsia="Arial" w:hAnsi="Arial"/>
                <w:sz w:val="20"/>
                <w:szCs w:val="20"/>
                <w:color w:val="auto"/>
              </w:rPr>
              <w:t>5,054,798</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39.56</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200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340" w:type="dxa"/>
            <w:vAlign w:val="bottom"/>
          </w:tcPr>
          <w:p>
            <w:pPr>
              <w:spacing w:after="0"/>
              <w:rPr>
                <w:sz w:val="20"/>
                <w:szCs w:val="20"/>
                <w:color w:val="auto"/>
              </w:rPr>
            </w:pPr>
            <w:r>
              <w:rPr>
                <w:rFonts w:ascii="Arial" w:cs="Arial" w:eastAsia="Arial" w:hAnsi="Arial"/>
                <w:sz w:val="20"/>
                <w:szCs w:val="20"/>
                <w:color w:val="auto"/>
                <w:w w:val="87"/>
              </w:rPr>
              <w:t xml:space="preserve">Repurchases made under the accelerated share repurchase agreements </w:t>
            </w:r>
            <w:r>
              <w:rPr>
                <w:rFonts w:ascii="Arial" w:cs="Arial" w:eastAsia="Arial" w:hAnsi="Arial"/>
                <w:sz w:val="20"/>
                <w:szCs w:val="20"/>
                <w:color w:val="B4B4B4"/>
                <w:w w:val="87"/>
              </w:rPr>
              <w:t>. . . . . .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17,676,142</w:t>
            </w:r>
          </w:p>
        </w:tc>
        <w:tc>
          <w:tcPr>
            <w:tcW w:w="160" w:type="dxa"/>
            <w:vAlign w:val="bottom"/>
          </w:tcPr>
          <w:p>
            <w:pPr>
              <w:spacing w:after="0"/>
              <w:rPr>
                <w:sz w:val="24"/>
                <w:szCs w:val="24"/>
                <w:color w:val="auto"/>
              </w:rPr>
            </w:pPr>
          </w:p>
        </w:tc>
        <w:tc>
          <w:tcPr>
            <w:tcW w:w="720" w:type="dxa"/>
            <w:vAlign w:val="bottom"/>
          </w:tcPr>
          <w:p>
            <w:pPr>
              <w:jc w:val="center"/>
              <w:ind w:right="44"/>
              <w:spacing w:after="0"/>
              <w:rPr>
                <w:sz w:val="20"/>
                <w:szCs w:val="20"/>
                <w:color w:val="auto"/>
              </w:rPr>
            </w:pPr>
            <w:r>
              <w:rPr>
                <w:rFonts w:ascii="Arial" w:cs="Arial" w:eastAsia="Arial" w:hAnsi="Arial"/>
                <w:sz w:val="20"/>
                <w:szCs w:val="20"/>
                <w:color w:val="auto"/>
                <w:w w:val="89"/>
              </w:rPr>
              <w:t>(a)</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950</w:t>
            </w: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340" w:type="dxa"/>
            <w:vAlign w:val="bottom"/>
          </w:tcPr>
          <w:p>
            <w:pPr>
              <w:spacing w:after="0"/>
              <w:rPr>
                <w:sz w:val="20"/>
                <w:szCs w:val="20"/>
                <w:color w:val="auto"/>
              </w:rPr>
            </w:pPr>
            <w:r>
              <w:rPr>
                <w:rFonts w:ascii="Arial" w:cs="Arial" w:eastAsia="Arial" w:hAnsi="Arial"/>
                <w:sz w:val="20"/>
                <w:szCs w:val="20"/>
                <w:b w:val="1"/>
                <w:bCs w:val="1"/>
                <w:color w:val="B4B4B4"/>
                <w:w w:val="93"/>
              </w:rPr>
              <w:t>. . . . . . . . . . . . . . . . . . . . . . . . . . . . . . .</w:t>
            </w:r>
            <w:r>
              <w:rPr>
                <w:rFonts w:ascii="Arial" w:cs="Arial" w:eastAsia="Arial" w:hAnsi="Arial"/>
                <w:sz w:val="20"/>
                <w:szCs w:val="20"/>
                <w:b w:val="1"/>
                <w:bCs w:val="1"/>
                <w:color w:val="000000"/>
                <w:w w:val="93"/>
              </w:rPr>
              <w:t>TotalShareRepurchasesduring2023</w:t>
            </w:r>
          </w:p>
        </w:tc>
        <w:tc>
          <w:tcPr>
            <w:tcW w:w="1300" w:type="dxa"/>
            <w:vAlign w:val="bottom"/>
          </w:tcPr>
          <w:p>
            <w:pPr>
              <w:jc w:val="right"/>
              <w:spacing w:after="0"/>
              <w:rPr>
                <w:sz w:val="20"/>
                <w:szCs w:val="20"/>
                <w:color w:val="auto"/>
              </w:rPr>
            </w:pPr>
            <w:r>
              <w:rPr>
                <w:rFonts w:ascii="Arial" w:cs="Arial" w:eastAsia="Arial" w:hAnsi="Arial"/>
                <w:sz w:val="20"/>
                <w:szCs w:val="20"/>
                <w:color w:val="auto"/>
              </w:rPr>
              <w:t>22,730,940</w:t>
            </w: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1,150</w:t>
            </w:r>
          </w:p>
        </w:tc>
        <w:tc>
          <w:tcPr>
            <w:tcW w:w="360" w:type="dxa"/>
            <w:vAlign w:val="bottom"/>
          </w:tcPr>
          <w:p>
            <w:pPr>
              <w:ind w:left="60"/>
              <w:spacing w:after="0"/>
              <w:rPr>
                <w:sz w:val="20"/>
                <w:szCs w:val="20"/>
                <w:color w:val="auto"/>
              </w:rPr>
            </w:pPr>
            <w:r>
              <w:rPr>
                <w:rFonts w:ascii="Arial" w:cs="Arial" w:eastAsia="Arial" w:hAnsi="Arial"/>
                <w:sz w:val="20"/>
                <w:szCs w:val="20"/>
                <w:color w:val="auto"/>
              </w:rPr>
              <w:t>(b)</w:t>
            </w:r>
          </w:p>
        </w:tc>
        <w:tc>
          <w:tcPr>
            <w:tcW w:w="0" w:type="dxa"/>
            <w:vAlign w:val="bottom"/>
          </w:tcPr>
          <w:p>
            <w:pPr>
              <w:spacing w:after="0"/>
              <w:rPr>
                <w:sz w:val="1"/>
                <w:szCs w:val="1"/>
                <w:color w:val="auto"/>
              </w:rPr>
            </w:pPr>
          </w:p>
        </w:tc>
      </w:tr>
      <w:tr>
        <w:trPr>
          <w:trHeight w:val="297"/>
        </w:trPr>
        <w:tc>
          <w:tcPr>
            <w:tcW w:w="6340" w:type="dxa"/>
            <w:vAlign w:val="bottom"/>
          </w:tcPr>
          <w:p>
            <w:pPr>
              <w:spacing w:after="0"/>
              <w:rPr>
                <w:sz w:val="20"/>
                <w:szCs w:val="20"/>
                <w:color w:val="auto"/>
              </w:rPr>
            </w:pPr>
            <w:r>
              <w:rPr>
                <w:rFonts w:ascii="Arial" w:cs="Arial" w:eastAsia="Arial" w:hAnsi="Arial"/>
                <w:sz w:val="20"/>
                <w:szCs w:val="20"/>
                <w:b w:val="1"/>
                <w:bCs w:val="1"/>
                <w:color w:val="auto"/>
              </w:rPr>
              <w:t>2024 Repurchases:</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340" w:type="dxa"/>
            <w:vAlign w:val="bottom"/>
          </w:tcPr>
          <w:p>
            <w:pPr>
              <w:spacing w:after="0"/>
              <w:rPr>
                <w:sz w:val="20"/>
                <w:szCs w:val="20"/>
                <w:color w:val="auto"/>
              </w:rPr>
            </w:pPr>
            <w:r>
              <w:rPr>
                <w:rFonts w:ascii="Arial" w:cs="Arial" w:eastAsia="Arial" w:hAnsi="Arial"/>
                <w:sz w:val="20"/>
                <w:szCs w:val="20"/>
                <w:color w:val="auto"/>
                <w:w w:val="87"/>
              </w:rPr>
              <w:t xml:space="preserve">Repurchases made under the accelerated share repurchase agreements </w:t>
            </w:r>
            <w:r>
              <w:rPr>
                <w:rFonts w:ascii="Arial" w:cs="Arial" w:eastAsia="Arial" w:hAnsi="Arial"/>
                <w:sz w:val="20"/>
                <w:szCs w:val="20"/>
                <w:color w:val="B4B4B4"/>
                <w:w w:val="87"/>
              </w:rPr>
              <w:t>. . . . . . .</w:t>
            </w:r>
          </w:p>
        </w:tc>
        <w:tc>
          <w:tcPr>
            <w:tcW w:w="1300" w:type="dxa"/>
            <w:vAlign w:val="bottom"/>
          </w:tcPr>
          <w:p>
            <w:pPr>
              <w:jc w:val="right"/>
              <w:spacing w:after="0"/>
              <w:rPr>
                <w:sz w:val="20"/>
                <w:szCs w:val="20"/>
                <w:color w:val="auto"/>
              </w:rPr>
            </w:pPr>
            <w:r>
              <w:rPr>
                <w:rFonts w:ascii="Arial" w:cs="Arial" w:eastAsia="Arial" w:hAnsi="Arial"/>
                <w:sz w:val="20"/>
                <w:szCs w:val="20"/>
                <w:color w:val="auto"/>
              </w:rPr>
              <w:t>1,163,230</w:t>
            </w:r>
          </w:p>
        </w:tc>
        <w:tc>
          <w:tcPr>
            <w:tcW w:w="160" w:type="dxa"/>
            <w:vAlign w:val="bottom"/>
          </w:tcPr>
          <w:p>
            <w:pPr>
              <w:spacing w:after="0"/>
              <w:rPr>
                <w:sz w:val="24"/>
                <w:szCs w:val="24"/>
                <w:color w:val="auto"/>
              </w:rPr>
            </w:pPr>
          </w:p>
        </w:tc>
        <w:tc>
          <w:tcPr>
            <w:tcW w:w="720" w:type="dxa"/>
            <w:vAlign w:val="bottom"/>
          </w:tcPr>
          <w:p>
            <w:pPr>
              <w:jc w:val="center"/>
              <w:ind w:right="44"/>
              <w:spacing w:after="0"/>
              <w:rPr>
                <w:sz w:val="20"/>
                <w:szCs w:val="20"/>
                <w:color w:val="auto"/>
              </w:rPr>
            </w:pPr>
            <w:r>
              <w:rPr>
                <w:rFonts w:ascii="Arial" w:cs="Arial" w:eastAsia="Arial" w:hAnsi="Arial"/>
                <w:sz w:val="20"/>
                <w:szCs w:val="20"/>
                <w:color w:val="auto"/>
                <w:w w:val="89"/>
              </w:rPr>
              <w:t>(a)</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340" w:type="dxa"/>
            <w:vAlign w:val="bottom"/>
          </w:tcPr>
          <w:p>
            <w:pPr>
              <w:spacing w:after="0"/>
              <w:rPr>
                <w:sz w:val="20"/>
                <w:szCs w:val="20"/>
                <w:color w:val="auto"/>
              </w:rPr>
            </w:pPr>
            <w:r>
              <w:rPr>
                <w:rFonts w:ascii="Arial" w:cs="Arial" w:eastAsia="Arial" w:hAnsi="Arial"/>
                <w:sz w:val="20"/>
                <w:szCs w:val="20"/>
                <w:color w:val="auto"/>
                <w:w w:val="89"/>
              </w:rPr>
              <w:t xml:space="preserve">Open market repurchases  </w:t>
            </w:r>
            <w:r>
              <w:rPr>
                <w:rFonts w:ascii="Arial" w:cs="Arial" w:eastAsia="Arial" w:hAnsi="Arial"/>
                <w:sz w:val="20"/>
                <w:szCs w:val="20"/>
                <w:color w:val="B4B4B4"/>
                <w:w w:val="89"/>
              </w:rPr>
              <w:t>. . . . . . . . . . . . . . . . . . . . . . . . . . . . . . . . . . . . . . . . .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10,562,333</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87.57</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925</w:t>
            </w: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340" w:type="dxa"/>
            <w:vAlign w:val="bottom"/>
          </w:tcPr>
          <w:p>
            <w:pPr>
              <w:spacing w:after="0"/>
              <w:rPr>
                <w:sz w:val="20"/>
                <w:szCs w:val="20"/>
                <w:color w:val="auto"/>
              </w:rPr>
            </w:pPr>
            <w:r>
              <w:rPr>
                <w:rFonts w:ascii="Arial" w:cs="Arial" w:eastAsia="Arial" w:hAnsi="Arial"/>
                <w:sz w:val="20"/>
                <w:szCs w:val="20"/>
                <w:b w:val="1"/>
                <w:bCs w:val="1"/>
                <w:color w:val="auto"/>
                <w:w w:val="89"/>
              </w:rPr>
              <w:t xml:space="preserve">Total Share Repurchases during 2024 </w:t>
            </w:r>
            <w:r>
              <w:rPr>
                <w:rFonts w:ascii="Arial" w:cs="Arial" w:eastAsia="Arial" w:hAnsi="Arial"/>
                <w:sz w:val="20"/>
                <w:szCs w:val="20"/>
                <w:b w:val="1"/>
                <w:bCs w:val="1"/>
                <w:color w:val="B4B4B4"/>
                <w:w w:val="89"/>
              </w:rPr>
              <w:t>. . . . . . . . . . . . . . . . . . . . . . . . . . . . . . .</w:t>
            </w:r>
          </w:p>
        </w:tc>
        <w:tc>
          <w:tcPr>
            <w:tcW w:w="1300" w:type="dxa"/>
            <w:vAlign w:val="bottom"/>
          </w:tcPr>
          <w:p>
            <w:pPr>
              <w:jc w:val="right"/>
              <w:spacing w:after="0"/>
              <w:rPr>
                <w:sz w:val="20"/>
                <w:szCs w:val="20"/>
                <w:color w:val="auto"/>
              </w:rPr>
            </w:pPr>
            <w:r>
              <w:rPr>
                <w:rFonts w:ascii="Arial" w:cs="Arial" w:eastAsia="Arial" w:hAnsi="Arial"/>
                <w:sz w:val="20"/>
                <w:szCs w:val="20"/>
                <w:color w:val="auto"/>
              </w:rPr>
              <w:t>11,725,563</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925</w:t>
            </w:r>
          </w:p>
        </w:tc>
        <w:tc>
          <w:tcPr>
            <w:tcW w:w="360" w:type="dxa"/>
            <w:vAlign w:val="bottom"/>
          </w:tcPr>
          <w:p>
            <w:pPr>
              <w:ind w:left="60"/>
              <w:spacing w:after="0"/>
              <w:rPr>
                <w:sz w:val="20"/>
                <w:szCs w:val="20"/>
                <w:color w:val="auto"/>
              </w:rPr>
            </w:pPr>
            <w:r>
              <w:rPr>
                <w:rFonts w:ascii="Arial" w:cs="Arial" w:eastAsia="Arial" w:hAnsi="Arial"/>
                <w:sz w:val="20"/>
                <w:szCs w:val="20"/>
                <w:color w:val="auto"/>
              </w:rPr>
              <w:t>(c)</w:t>
            </w:r>
          </w:p>
        </w:tc>
        <w:tc>
          <w:tcPr>
            <w:tcW w:w="0" w:type="dxa"/>
            <w:vAlign w:val="bottom"/>
          </w:tcPr>
          <w:p>
            <w:pPr>
              <w:spacing w:after="0"/>
              <w:rPr>
                <w:sz w:val="1"/>
                <w:szCs w:val="1"/>
                <w:color w:val="auto"/>
              </w:rPr>
            </w:pPr>
          </w:p>
        </w:tc>
      </w:tr>
      <w:tr>
        <w:trPr>
          <w:trHeight w:val="299"/>
        </w:trPr>
        <w:tc>
          <w:tcPr>
            <w:tcW w:w="6340" w:type="dxa"/>
            <w:vAlign w:val="bottom"/>
          </w:tcPr>
          <w:p>
            <w:pPr>
              <w:spacing w:after="0"/>
              <w:rPr>
                <w:sz w:val="20"/>
                <w:szCs w:val="20"/>
                <w:color w:val="auto"/>
              </w:rPr>
            </w:pPr>
            <w:r>
              <w:rPr>
                <w:rFonts w:ascii="Arial" w:cs="Arial" w:eastAsia="Arial" w:hAnsi="Arial"/>
                <w:sz w:val="20"/>
                <w:szCs w:val="20"/>
                <w:color w:val="auto"/>
                <w:w w:val="87"/>
              </w:rPr>
              <w:t xml:space="preserve">Repurchases made subsequent to December 31, 2024 thru January 31, 2025 </w:t>
            </w:r>
            <w:r>
              <w:rPr>
                <w:rFonts w:ascii="Arial" w:cs="Arial" w:eastAsia="Arial" w:hAnsi="Arial"/>
                <w:sz w:val="20"/>
                <w:szCs w:val="20"/>
                <w:color w:val="B4B4B4"/>
                <w:w w:val="87"/>
              </w:rPr>
              <w:t>. .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1,076,423</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101.07</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w:t>
            </w: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340" w:type="dxa"/>
            <w:vAlign w:val="bottom"/>
          </w:tcPr>
          <w:p>
            <w:pPr>
              <w:spacing w:after="0"/>
              <w:rPr>
                <w:sz w:val="20"/>
                <w:szCs w:val="20"/>
                <w:color w:val="auto"/>
              </w:rPr>
            </w:pPr>
            <w:r>
              <w:rPr>
                <w:rFonts w:ascii="Arial" w:cs="Arial" w:eastAsia="Arial" w:hAnsi="Arial"/>
                <w:sz w:val="20"/>
                <w:szCs w:val="20"/>
                <w:b w:val="1"/>
                <w:bCs w:val="1"/>
                <w:color w:val="auto"/>
                <w:w w:val="90"/>
              </w:rPr>
              <w:t xml:space="preserve">Total Share Repurchases made under the $3.7 billion authorization </w:t>
            </w:r>
            <w:r>
              <w:rPr>
                <w:rFonts w:ascii="Arial" w:cs="Arial" w:eastAsia="Arial" w:hAnsi="Arial"/>
                <w:sz w:val="20"/>
                <w:szCs w:val="20"/>
                <w:b w:val="1"/>
                <w:bCs w:val="1"/>
                <w:color w:val="B4B4B4"/>
                <w:w w:val="90"/>
              </w:rPr>
              <w:t>. . . . . .</w:t>
            </w:r>
          </w:p>
        </w:tc>
        <w:tc>
          <w:tcPr>
            <w:tcW w:w="1300" w:type="dxa"/>
            <w:vAlign w:val="bottom"/>
          </w:tcPr>
          <w:p>
            <w:pPr>
              <w:jc w:val="right"/>
              <w:spacing w:after="0"/>
              <w:rPr>
                <w:sz w:val="20"/>
                <w:szCs w:val="20"/>
                <w:color w:val="auto"/>
              </w:rPr>
            </w:pPr>
            <w:r>
              <w:rPr>
                <w:rFonts w:ascii="Arial" w:cs="Arial" w:eastAsia="Arial" w:hAnsi="Arial"/>
                <w:sz w:val="20"/>
                <w:szCs w:val="20"/>
                <w:color w:val="auto"/>
              </w:rPr>
              <w:t>35,532,926</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61.46</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2,184</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-1871345</wp:posOffset>
            </wp:positionV>
            <wp:extent cx="6475095" cy="18923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51">
                      <a:extLst>
                        <a:ext uri="{28A0092B-C50C-407E-A947-70E740481C1C}"/>
                      </a:extLst>
                    </a:blip>
                    <a:srcRect/>
                    <a:stretch>
                      <a:fillRect/>
                    </a:stretch>
                  </pic:blipFill>
                  <pic:spPr bwMode="auto">
                    <a:xfrm>
                      <a:off x="0" y="0"/>
                      <a:ext cx="6475095" cy="1892300"/>
                    </a:xfrm>
                    <a:prstGeom prst="rect">
                      <a:avLst/>
                    </a:prstGeom>
                    <a:noFill/>
                  </pic:spPr>
                </pic:pic>
              </a:graphicData>
            </a:graphic>
          </wp:anchor>
        </w:drawing>
      </w:r>
    </w:p>
    <w:p>
      <w:pPr>
        <w:spacing w:after="0" w:line="43" w:lineRule="exact"/>
        <w:rPr>
          <w:sz w:val="20"/>
          <w:szCs w:val="20"/>
          <w:color w:val="auto"/>
        </w:rPr>
      </w:pPr>
    </w:p>
    <w:p>
      <w:pPr>
        <w:ind w:left="440" w:hanging="439"/>
        <w:spacing w:after="0" w:line="259" w:lineRule="auto"/>
        <w:tabs>
          <w:tab w:leader="none" w:pos="4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Under the November 6, 2023 ASR, the Company received a total of 18,839,375 shares for an average price per share of $50.43, excluding the impact of the excise tax incurred. See discussion below for further information of the ASR agreements</w:t>
      </w:r>
    </w:p>
    <w:p>
      <w:pPr>
        <w:ind w:left="440" w:hanging="439"/>
        <w:spacing w:after="0"/>
        <w:tabs>
          <w:tab w:leader="none" w:pos="4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Excludes $10 million of excise tax accrued in 2023 which was paid in 2024</w:t>
      </w:r>
    </w:p>
    <w:p>
      <w:pPr>
        <w:spacing w:after="0" w:line="6" w:lineRule="exact"/>
        <w:rPr>
          <w:rFonts w:ascii="Arial" w:cs="Arial" w:eastAsia="Arial" w:hAnsi="Arial"/>
          <w:sz w:val="16"/>
          <w:szCs w:val="16"/>
          <w:color w:val="auto"/>
        </w:rPr>
      </w:pPr>
    </w:p>
    <w:p>
      <w:pPr>
        <w:ind w:left="440" w:hanging="439"/>
        <w:spacing w:after="0"/>
        <w:tabs>
          <w:tab w:leader="none" w:pos="4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Excludes $9 million accrued for estimated excise tax owed as of December 31, 2024</w:t>
      </w:r>
    </w:p>
    <w:p>
      <w:pPr>
        <w:spacing w:after="0" w:line="16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9"/>
          <w:szCs w:val="19"/>
          <w:color w:val="auto"/>
        </w:rPr>
        <w:t>On November 6, 2023, the Company executed Accelerated Share Repurchase agreements to repurchase a total of $950 million of NRG's outstanding common stock based on volume-weighted average prices. The Company received 17,676,142 shares in the fourth quarter of 2023, which were recorded in treasury stock at fair value based on the volume-weighted average closing prices of $833 million, with the remaining $117 million recorded in additional paid in capital, representing the value of the forward contracts to purchase additional shares. During the first quarter of 2024, the Company received an additional 1,163,230 shares pursuant to the ASR agreements. Upon receipt of the final shares, the Company transferred the $117 million from additional paid-in-capital to treasury stock.</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Retirement of Treasury Stock</w:t>
      </w:r>
    </w:p>
    <w:p>
      <w:pPr>
        <w:spacing w:after="0" w:line="13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During the years ended December 31, 2024 and 2023, the Company retired shares of treasury stock as detailed below. These retired shares are now included in NRG's pool of authorized but unissued shares. The Company's accounting policy upon the formal retirement of treasury stock is to deduct its par value from common stock and to reflect any excess of cost over par value as a deduction from additional paid-in capital.</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66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Total number of</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51"/>
              <w:spacing w:after="0"/>
              <w:rPr>
                <w:sz w:val="20"/>
                <w:szCs w:val="20"/>
                <w:color w:val="auto"/>
              </w:rPr>
            </w:pPr>
            <w:r>
              <w:rPr>
                <w:rFonts w:ascii="Arial" w:cs="Arial" w:eastAsia="Arial" w:hAnsi="Arial"/>
                <w:sz w:val="16"/>
                <w:szCs w:val="16"/>
                <w:b w:val="1"/>
                <w:bCs w:val="1"/>
                <w:color w:val="auto"/>
                <w:w w:val="86"/>
              </w:rPr>
              <w:t>Average price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center"/>
              <w:ind w:right="73"/>
              <w:spacing w:after="0"/>
              <w:rPr>
                <w:sz w:val="20"/>
                <w:szCs w:val="20"/>
                <w:color w:val="auto"/>
              </w:rPr>
            </w:pPr>
            <w:r>
              <w:rPr>
                <w:rFonts w:ascii="Arial" w:cs="Arial" w:eastAsia="Arial" w:hAnsi="Arial"/>
                <w:sz w:val="16"/>
                <w:szCs w:val="16"/>
                <w:b w:val="1"/>
                <w:bCs w:val="1"/>
                <w:color w:val="auto"/>
                <w:w w:val="90"/>
              </w:rPr>
              <w:t>Carrying value of</w:t>
            </w:r>
          </w:p>
        </w:tc>
        <w:tc>
          <w:tcPr>
            <w:tcW w:w="0" w:type="dxa"/>
            <w:vAlign w:val="bottom"/>
          </w:tcPr>
          <w:p>
            <w:pPr>
              <w:spacing w:after="0"/>
              <w:rPr>
                <w:sz w:val="1"/>
                <w:szCs w:val="1"/>
                <w:color w:val="auto"/>
              </w:rPr>
            </w:pPr>
          </w:p>
        </w:tc>
      </w:tr>
      <w:tr>
        <w:trPr>
          <w:trHeight w:val="158"/>
        </w:trPr>
        <w:tc>
          <w:tcPr>
            <w:tcW w:w="546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jc w:val="center"/>
              <w:ind w:right="73"/>
              <w:spacing w:after="0" w:line="158" w:lineRule="exact"/>
              <w:rPr>
                <w:sz w:val="20"/>
                <w:szCs w:val="20"/>
                <w:color w:val="auto"/>
              </w:rPr>
            </w:pPr>
            <w:r>
              <w:rPr>
                <w:rFonts w:ascii="Arial" w:cs="Arial" w:eastAsia="Arial" w:hAnsi="Arial"/>
                <w:sz w:val="16"/>
                <w:szCs w:val="16"/>
                <w:b w:val="1"/>
                <w:bCs w:val="1"/>
                <w:color w:val="auto"/>
                <w:w w:val="88"/>
              </w:rPr>
              <w:t>treasury shares</w:t>
            </w:r>
          </w:p>
        </w:tc>
        <w:tc>
          <w:tcPr>
            <w:tcW w:w="0" w:type="dxa"/>
            <w:vAlign w:val="bottom"/>
          </w:tcPr>
          <w:p>
            <w:pPr>
              <w:spacing w:after="0"/>
              <w:rPr>
                <w:sz w:val="1"/>
                <w:szCs w:val="1"/>
                <w:color w:val="auto"/>
              </w:rPr>
            </w:pPr>
          </w:p>
        </w:tc>
      </w:tr>
      <w:tr>
        <w:trPr>
          <w:trHeight w:val="212"/>
        </w:trPr>
        <w:tc>
          <w:tcPr>
            <w:tcW w:w="546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treasury shares retired</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per share</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90"/>
              </w:rPr>
              <w:t>retired (in millions)</w:t>
            </w:r>
          </w:p>
        </w:tc>
        <w:tc>
          <w:tcPr>
            <w:tcW w:w="0" w:type="dxa"/>
            <w:vAlign w:val="bottom"/>
          </w:tcPr>
          <w:p>
            <w:pPr>
              <w:spacing w:after="0"/>
              <w:rPr>
                <w:sz w:val="1"/>
                <w:szCs w:val="1"/>
                <w:color w:val="auto"/>
              </w:rPr>
            </w:pPr>
          </w:p>
        </w:tc>
      </w:tr>
      <w:tr>
        <w:trPr>
          <w:trHeight w:val="290"/>
        </w:trPr>
        <w:tc>
          <w:tcPr>
            <w:tcW w:w="5460" w:type="dxa"/>
            <w:vAlign w:val="bottom"/>
          </w:tcPr>
          <w:p>
            <w:pPr>
              <w:spacing w:after="0"/>
              <w:rPr>
                <w:sz w:val="20"/>
                <w:szCs w:val="20"/>
                <w:color w:val="auto"/>
              </w:rPr>
            </w:pPr>
            <w:r>
              <w:rPr>
                <w:rFonts w:ascii="Arial" w:cs="Arial" w:eastAsia="Arial" w:hAnsi="Arial"/>
                <w:sz w:val="20"/>
                <w:szCs w:val="20"/>
                <w:color w:val="auto"/>
                <w:w w:val="89"/>
              </w:rPr>
              <w:t xml:space="preserve">Shares retired during the year ended December 31, 2023 </w:t>
            </w:r>
            <w:r>
              <w:rPr>
                <w:rFonts w:ascii="Arial" w:cs="Arial" w:eastAsia="Arial" w:hAnsi="Arial"/>
                <w:sz w:val="20"/>
                <w:szCs w:val="20"/>
                <w:color w:val="B4B4B4"/>
                <w:w w:val="89"/>
              </w:rPr>
              <w:t>. . . . . . . . .</w:t>
            </w:r>
          </w:p>
        </w:tc>
        <w:tc>
          <w:tcPr>
            <w:tcW w:w="1660" w:type="dxa"/>
            <w:vAlign w:val="bottom"/>
          </w:tcPr>
          <w:p>
            <w:pPr>
              <w:jc w:val="right"/>
              <w:spacing w:after="0"/>
              <w:rPr>
                <w:sz w:val="20"/>
                <w:szCs w:val="20"/>
                <w:color w:val="auto"/>
              </w:rPr>
            </w:pPr>
            <w:r>
              <w:rPr>
                <w:rFonts w:ascii="Arial" w:cs="Arial" w:eastAsia="Arial" w:hAnsi="Arial"/>
                <w:sz w:val="20"/>
                <w:szCs w:val="20"/>
                <w:color w:val="auto"/>
              </w:rPr>
              <w:t>157,676,142</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31.77</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5,009</w:t>
            </w:r>
          </w:p>
        </w:tc>
        <w:tc>
          <w:tcPr>
            <w:tcW w:w="0" w:type="dxa"/>
            <w:vAlign w:val="bottom"/>
          </w:tcPr>
          <w:p>
            <w:pPr>
              <w:spacing w:after="0"/>
              <w:rPr>
                <w:sz w:val="1"/>
                <w:szCs w:val="1"/>
                <w:color w:val="auto"/>
              </w:rPr>
            </w:pPr>
          </w:p>
        </w:tc>
      </w:tr>
      <w:tr>
        <w:trPr>
          <w:trHeight w:val="312"/>
        </w:trPr>
        <w:tc>
          <w:tcPr>
            <w:tcW w:w="5460" w:type="dxa"/>
            <w:vAlign w:val="bottom"/>
          </w:tcPr>
          <w:p>
            <w:pPr>
              <w:spacing w:after="0"/>
              <w:rPr>
                <w:sz w:val="20"/>
                <w:szCs w:val="20"/>
                <w:color w:val="auto"/>
              </w:rPr>
            </w:pPr>
            <w:r>
              <w:rPr>
                <w:rFonts w:ascii="Arial" w:cs="Arial" w:eastAsia="Arial" w:hAnsi="Arial"/>
                <w:sz w:val="20"/>
                <w:szCs w:val="20"/>
                <w:color w:val="auto"/>
                <w:w w:val="89"/>
              </w:rPr>
              <w:t xml:space="preserve">Shares retired during the year ended December 31, 2024 </w:t>
            </w:r>
            <w:r>
              <w:rPr>
                <w:rFonts w:ascii="Arial" w:cs="Arial" w:eastAsia="Arial" w:hAnsi="Arial"/>
                <w:sz w:val="20"/>
                <w:szCs w:val="20"/>
                <w:color w:val="B4B4B4"/>
                <w:w w:val="89"/>
              </w:rPr>
              <w:t>. . . . . . . . .</w:t>
            </w:r>
          </w:p>
        </w:tc>
        <w:tc>
          <w:tcPr>
            <w:tcW w:w="1660" w:type="dxa"/>
            <w:vAlign w:val="bottom"/>
          </w:tcPr>
          <w:p>
            <w:pPr>
              <w:jc w:val="right"/>
              <w:spacing w:after="0"/>
              <w:rPr>
                <w:sz w:val="20"/>
                <w:szCs w:val="20"/>
                <w:color w:val="auto"/>
              </w:rPr>
            </w:pPr>
            <w:r>
              <w:rPr>
                <w:rFonts w:ascii="Arial" w:cs="Arial" w:eastAsia="Arial" w:hAnsi="Arial"/>
                <w:sz w:val="20"/>
                <w:szCs w:val="20"/>
                <w:color w:val="auto"/>
              </w:rPr>
              <w:t>64,225,546</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41.07</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2,638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-400050</wp:posOffset>
            </wp:positionV>
            <wp:extent cx="6475095" cy="421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52">
                      <a:extLst>
                        <a:ext uri="{28A0092B-C50C-407E-A947-70E740481C1C}"/>
                      </a:extLst>
                    </a:blip>
                    <a:srcRect/>
                    <a:stretch>
                      <a:fillRect/>
                    </a:stretch>
                  </pic:blipFill>
                  <pic:spPr bwMode="auto">
                    <a:xfrm>
                      <a:off x="0" y="0"/>
                      <a:ext cx="6475095" cy="421640"/>
                    </a:xfrm>
                    <a:prstGeom prst="rect">
                      <a:avLst/>
                    </a:prstGeom>
                    <a:noFill/>
                  </pic:spPr>
                </pic:pic>
              </a:graphicData>
            </a:graphic>
          </wp:anchor>
        </w:drawing>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Capped Call Options</w:t>
      </w:r>
    </w:p>
    <w:p>
      <w:pPr>
        <w:spacing w:after="0" w:line="130"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18"/>
          <w:szCs w:val="18"/>
          <w:color w:val="auto"/>
        </w:rPr>
        <w:t>During the second quarter of 2024, the Company entered into privately negotiated capped call transactions with certain counterparties (the "Capped Calls"). The Capped Calls each have a strike price of $40.94 per share, subject to certain adjustments, which correspond to the conversion price of the Convertible Senior Notes as of December 31, 2024. The Capped Calls have a cap price of $249.00 per share, subject to certain adjustments, and effectively lock in a conversion premium of $257 million on the remaining $232 million balance of the Convertible Senior Notes. The options will expire on June 1, 2025 if not exercised. The Capped Calls are separate transactions and not part of the terms of the Convertible Senior Notes. As these transactions meet certain accounting criteria, the Capped Calls are recorded in stockholders' equity. The option price of $257 million incurred in connection with the Capped Calls, of which $253 million was recorded as a reduction to additional paid-in capital and a $4 million loss was recorded to other income, net to account for the change in the value of the Capped</w:t>
      </w:r>
    </w:p>
    <w:p>
      <w:pPr>
        <w:sectPr>
          <w:pgSz w:w="11880" w:h="15480" w:orient="portrait"/>
          <w:cols w:equalWidth="0" w:num="1">
            <w:col w:w="10160"/>
          </w:cols>
          <w:pgMar w:left="860" w:top="50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ectPr>
          <w:pgSz w:w="11880" w:h="15480" w:orient="portrait"/>
          <w:cols w:equalWidth="0" w:num="1">
            <w:col w:w="10160"/>
          </w:cols>
          <w:pgMar w:left="860" w:top="508" w:right="860" w:bottom="0" w:gutter="0" w:footer="0" w:header="0"/>
          <w:type w:val="continuous"/>
        </w:sectPr>
      </w:pPr>
    </w:p>
    <w:bookmarkStart w:id="147" w:name="page148"/>
    <w:bookmarkEnd w:id="147"/>
    <w:p>
      <w:pPr>
        <w:jc w:val="both"/>
        <w:ind w:right="60"/>
        <w:spacing w:after="0" w:line="261" w:lineRule="auto"/>
        <w:rPr>
          <w:sz w:val="20"/>
          <w:szCs w:val="20"/>
          <w:color w:val="auto"/>
        </w:rPr>
      </w:pPr>
      <w:r>
        <w:rPr>
          <w:rFonts w:ascii="Arial" w:cs="Arial" w:eastAsia="Arial" w:hAnsi="Arial"/>
          <w:sz w:val="20"/>
          <w:szCs w:val="20"/>
          <w:color w:val="auto"/>
        </w:rPr>
        <w:t>Calls during the calculation period which began on May 31, 2024 and concluded on June 28, 2024. The option price will be payable upon the earlier of settlement and expiration of the applicable Capped Calls.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Preferred Stock</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Series A Preferred Stock</w:t>
      </w:r>
    </w:p>
    <w:p>
      <w:pPr>
        <w:spacing w:after="0" w:line="130" w:lineRule="exact"/>
        <w:rPr>
          <w:sz w:val="20"/>
          <w:szCs w:val="20"/>
          <w:color w:val="auto"/>
        </w:rPr>
      </w:pPr>
    </w:p>
    <w:p>
      <w:pPr>
        <w:jc w:val="both"/>
        <w:ind w:right="60" w:firstLine="445"/>
        <w:spacing w:after="0" w:line="262" w:lineRule="auto"/>
        <w:rPr>
          <w:sz w:val="20"/>
          <w:szCs w:val="20"/>
          <w:color w:val="auto"/>
        </w:rPr>
      </w:pPr>
      <w:r>
        <w:rPr>
          <w:rFonts w:ascii="Arial" w:cs="Arial" w:eastAsia="Arial" w:hAnsi="Arial"/>
          <w:sz w:val="20"/>
          <w:szCs w:val="20"/>
          <w:color w:val="auto"/>
        </w:rPr>
        <w:t>On March 9, 2023 ("Series A Issuance Date"), the Company issued 650,000 shares of 10.25% Series A Fixed-Rate Reset Cumulative Redeemable Perpetual Preferred Stock. The net proceeds of $635 million, net of issuance costs, were used to partially fund the Vivint Smart Home acquisition.</w:t>
      </w:r>
    </w:p>
    <w:p>
      <w:pPr>
        <w:spacing w:after="0" w:line="78" w:lineRule="exact"/>
        <w:rPr>
          <w:sz w:val="20"/>
          <w:szCs w:val="20"/>
          <w:color w:val="auto"/>
        </w:rPr>
      </w:pPr>
    </w:p>
    <w:p>
      <w:pPr>
        <w:jc w:val="both"/>
        <w:ind w:right="60" w:firstLine="445"/>
        <w:spacing w:after="0" w:line="255" w:lineRule="auto"/>
        <w:rPr>
          <w:sz w:val="20"/>
          <w:szCs w:val="20"/>
          <w:color w:val="auto"/>
        </w:rPr>
      </w:pPr>
      <w:r>
        <w:rPr>
          <w:rFonts w:ascii="Arial" w:cs="Arial" w:eastAsia="Arial" w:hAnsi="Arial"/>
          <w:sz w:val="20"/>
          <w:szCs w:val="20"/>
          <w:color w:val="auto"/>
        </w:rPr>
        <w:t>The Series A Preferred Stock is not convertible into or exchangeable for any other securities or property and has limited voting rights. The Series A Preferred Stock may be redeemed, in whole or in part, on one or more occasions, at the option of the Company at any time after March 15, 2028 ("Series A First Reset Date") and in certain other circumstances prior to the Series A First Reset Date. The Series A Preferred Stock has a liquidation preference of $1,000 per share, plus accumulated but unpaid dividends.</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Series A Preferred Stock Dividends</w:t>
      </w:r>
    </w:p>
    <w:p>
      <w:pPr>
        <w:spacing w:after="0" w:line="130" w:lineRule="exact"/>
        <w:rPr>
          <w:sz w:val="20"/>
          <w:szCs w:val="20"/>
          <w:color w:val="auto"/>
        </w:rPr>
      </w:pPr>
    </w:p>
    <w:p>
      <w:pPr>
        <w:jc w:val="both"/>
        <w:ind w:right="60" w:firstLine="445"/>
        <w:spacing w:after="0" w:line="290" w:lineRule="auto"/>
        <w:rPr>
          <w:sz w:val="20"/>
          <w:szCs w:val="20"/>
          <w:color w:val="auto"/>
        </w:rPr>
      </w:pPr>
      <w:r>
        <w:rPr>
          <w:rFonts w:ascii="Arial" w:cs="Arial" w:eastAsia="Arial" w:hAnsi="Arial"/>
          <w:sz w:val="18"/>
          <w:szCs w:val="18"/>
          <w:color w:val="auto"/>
        </w:rPr>
        <w:t>The annual dividend rate on each share of Series A Preferred Stock is 10.25% from the Series A Issuance Date to, but excluding the Series A First Reset Date. On and after the Series A First Reset Date, the dividend rate on each share of Series A Preferred Stock shall equal the five-year U.S. Treasury rate as of the most recent reset dividend determination date (subject to a floor of 1.00%), plus a spread of 5.92% per annum. Cumulative cash dividends on the Series A Preferred Stock are payable semiannually, in arrears, on each March 15 and September 15, when, as and if declared by the Board of Directors.</w:t>
      </w:r>
    </w:p>
    <w:p>
      <w:pPr>
        <w:spacing w:after="0" w:line="56" w:lineRule="exact"/>
        <w:rPr>
          <w:sz w:val="20"/>
          <w:szCs w:val="20"/>
          <w:color w:val="auto"/>
        </w:rPr>
      </w:pPr>
    </w:p>
    <w:p>
      <w:pPr>
        <w:jc w:val="both"/>
        <w:ind w:right="60" w:firstLine="445"/>
        <w:spacing w:after="0" w:line="262" w:lineRule="auto"/>
        <w:rPr>
          <w:sz w:val="20"/>
          <w:szCs w:val="20"/>
          <w:color w:val="auto"/>
        </w:rPr>
      </w:pPr>
      <w:r>
        <w:rPr>
          <w:rFonts w:ascii="Arial" w:cs="Arial" w:eastAsia="Arial" w:hAnsi="Arial"/>
          <w:sz w:val="20"/>
          <w:szCs w:val="20"/>
          <w:color w:val="auto"/>
        </w:rPr>
        <w:t>In March and September 2024, the Company declared and paid semi-annual dividends of $51.25 per share on its outstanding Series A Preferred Stock, each totaling $33 million. In September 2023, the Company declared and paid a semi-annual dividend of $52.96 per share, totaling $34 million.</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16 — </w:t>
      </w:r>
      <w:r>
        <w:rPr>
          <w:rFonts w:ascii="Arial" w:cs="Arial" w:eastAsia="Arial" w:hAnsi="Arial"/>
          <w:sz w:val="20"/>
          <w:szCs w:val="20"/>
          <w:b w:val="1"/>
          <w:bCs w:val="1"/>
          <w:i w:val="1"/>
          <w:iCs w:val="1"/>
          <w:color w:val="auto"/>
        </w:rPr>
        <w:t>Investments Accounted for by the Equity Method and Variable Interest Entities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Entities that are not Consolidated</w:t>
      </w:r>
    </w:p>
    <w:p>
      <w:pPr>
        <w:spacing w:after="0" w:line="134" w:lineRule="exact"/>
        <w:rPr>
          <w:sz w:val="20"/>
          <w:szCs w:val="20"/>
          <w:color w:val="auto"/>
        </w:rPr>
      </w:pPr>
    </w:p>
    <w:p>
      <w:pPr>
        <w:jc w:val="both"/>
        <w:ind w:right="60" w:firstLine="445"/>
        <w:spacing w:after="0" w:line="262" w:lineRule="auto"/>
        <w:rPr>
          <w:sz w:val="20"/>
          <w:szCs w:val="20"/>
          <w:color w:val="auto"/>
        </w:rPr>
      </w:pPr>
      <w:r>
        <w:rPr>
          <w:rFonts w:ascii="Arial" w:cs="Arial" w:eastAsia="Arial" w:hAnsi="Arial"/>
          <w:sz w:val="20"/>
          <w:szCs w:val="20"/>
          <w:color w:val="auto"/>
        </w:rPr>
        <w:t>NRG accounts for the Company's significant investments using the equity method of accounting. NRG's carrying value of equity investments can be impacted by a number of elements including impairments and movements in foreign currency exchange rates.</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following table summarizes NRG's equity method investments as of December 31, 2024:</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(In millions, except percentages)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00" w:type="dxa"/>
            <w:vAlign w:val="bottom"/>
            <w:vMerge w:val="restart"/>
          </w:tcPr>
          <w:p>
            <w:pPr>
              <w:spacing w:after="0"/>
              <w:rPr>
                <w:sz w:val="20"/>
                <w:szCs w:val="20"/>
                <w:color w:val="auto"/>
              </w:rPr>
            </w:pPr>
            <w:r>
              <w:rPr>
                <w:rFonts w:ascii="Arial" w:cs="Arial" w:eastAsia="Arial" w:hAnsi="Arial"/>
                <w:sz w:val="18"/>
                <w:szCs w:val="18"/>
                <w:b w:val="1"/>
                <w:bCs w:val="1"/>
                <w:color w:val="auto"/>
                <w:w w:val="87"/>
              </w:rPr>
              <w:t>Name:</w:t>
            </w:r>
          </w:p>
        </w:tc>
        <w:tc>
          <w:tcPr>
            <w:tcW w:w="7220" w:type="dxa"/>
            <w:vAlign w:val="bottom"/>
            <w:vMerge w:val="restart"/>
          </w:tcPr>
          <w:p>
            <w:pPr>
              <w:spacing w:after="0"/>
              <w:rPr>
                <w:sz w:val="16"/>
                <w:szCs w:val="16"/>
                <w:color w:val="auto"/>
              </w:rPr>
            </w:pPr>
          </w:p>
        </w:tc>
        <w:tc>
          <w:tcPr>
            <w:tcW w:w="1180" w:type="dxa"/>
            <w:vAlign w:val="bottom"/>
          </w:tcPr>
          <w:p>
            <w:pPr>
              <w:jc w:val="right"/>
              <w:ind w:right="126"/>
              <w:spacing w:after="0" w:line="185" w:lineRule="exact"/>
              <w:rPr>
                <w:sz w:val="20"/>
                <w:szCs w:val="20"/>
                <w:color w:val="auto"/>
              </w:rPr>
            </w:pPr>
            <w:r>
              <w:rPr>
                <w:rFonts w:ascii="Arial" w:cs="Arial" w:eastAsia="Arial" w:hAnsi="Arial"/>
                <w:sz w:val="18"/>
                <w:szCs w:val="18"/>
                <w:b w:val="1"/>
                <w:bCs w:val="1"/>
                <w:color w:val="auto"/>
              </w:rPr>
              <w:t>Economic</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65"/>
              <w:spacing w:after="0" w:line="185" w:lineRule="exact"/>
              <w:rPr>
                <w:sz w:val="20"/>
                <w:szCs w:val="20"/>
                <w:color w:val="auto"/>
              </w:rPr>
            </w:pPr>
            <w:r>
              <w:rPr>
                <w:rFonts w:ascii="Arial" w:cs="Arial" w:eastAsia="Arial" w:hAnsi="Arial"/>
                <w:sz w:val="18"/>
                <w:szCs w:val="18"/>
                <w:b w:val="1"/>
                <w:bCs w:val="1"/>
                <w:color w:val="auto"/>
                <w:w w:val="88"/>
              </w:rPr>
              <w:t>Investment</w:t>
            </w:r>
          </w:p>
        </w:tc>
        <w:tc>
          <w:tcPr>
            <w:tcW w:w="0" w:type="dxa"/>
            <w:vAlign w:val="bottom"/>
          </w:tcPr>
          <w:p>
            <w:pPr>
              <w:spacing w:after="0"/>
              <w:rPr>
                <w:sz w:val="1"/>
                <w:szCs w:val="1"/>
                <w:color w:val="auto"/>
              </w:rPr>
            </w:pPr>
          </w:p>
        </w:tc>
      </w:tr>
      <w:tr>
        <w:trPr>
          <w:trHeight w:val="198"/>
        </w:trPr>
        <w:tc>
          <w:tcPr>
            <w:tcW w:w="500" w:type="dxa"/>
            <w:vAlign w:val="bottom"/>
            <w:tcBorders>
              <w:bottom w:val="single" w:sz="8" w:color="auto"/>
            </w:tcBorders>
            <w:vMerge w:val="continue"/>
          </w:tcPr>
          <w:p>
            <w:pPr>
              <w:spacing w:after="0"/>
              <w:rPr>
                <w:sz w:val="16"/>
                <w:szCs w:val="16"/>
                <w:color w:val="auto"/>
              </w:rPr>
            </w:pPr>
          </w:p>
        </w:tc>
        <w:tc>
          <w:tcPr>
            <w:tcW w:w="7220" w:type="dxa"/>
            <w:vAlign w:val="bottom"/>
            <w:vMerge w:val="continue"/>
          </w:tcPr>
          <w:p>
            <w:pPr>
              <w:spacing w:after="0"/>
              <w:rPr>
                <w:sz w:val="16"/>
                <w:szCs w:val="16"/>
                <w:color w:val="auto"/>
              </w:rPr>
            </w:pPr>
          </w:p>
        </w:tc>
        <w:tc>
          <w:tcPr>
            <w:tcW w:w="1180" w:type="dxa"/>
            <w:vAlign w:val="bottom"/>
          </w:tcPr>
          <w:p>
            <w:pPr>
              <w:jc w:val="right"/>
              <w:ind w:right="206"/>
              <w:spacing w:after="0" w:line="193" w:lineRule="exact"/>
              <w:rPr>
                <w:sz w:val="20"/>
                <w:szCs w:val="20"/>
                <w:color w:val="auto"/>
              </w:rPr>
            </w:pPr>
            <w:r>
              <w:rPr>
                <w:rFonts w:ascii="Arial" w:cs="Arial" w:eastAsia="Arial" w:hAnsi="Arial"/>
                <w:sz w:val="18"/>
                <w:szCs w:val="18"/>
                <w:b w:val="1"/>
                <w:bCs w:val="1"/>
                <w:color w:val="auto"/>
              </w:rPr>
              <w:t>Interest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205"/>
              <w:spacing w:after="0" w:line="193" w:lineRule="exact"/>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3"/>
        </w:trPr>
        <w:tc>
          <w:tcPr>
            <w:tcW w:w="7720" w:type="dxa"/>
            <w:vAlign w:val="bottom"/>
            <w:gridSpan w:val="2"/>
            <w:vMerge w:val="restart"/>
          </w:tcPr>
          <w:p>
            <w:pPr>
              <w:spacing w:after="0"/>
              <w:rPr>
                <w:sz w:val="20"/>
                <w:szCs w:val="20"/>
                <w:color w:val="auto"/>
              </w:rPr>
            </w:pPr>
            <w:r>
              <w:rPr>
                <w:rFonts w:ascii="Arial" w:cs="Arial" w:eastAsia="Arial" w:hAnsi="Arial"/>
                <w:sz w:val="20"/>
                <w:szCs w:val="20"/>
                <w:color w:val="auto"/>
              </w:rPr>
              <w:t>Gladstone</w:t>
            </w:r>
            <w:r>
              <w:rPr>
                <w:rFonts w:ascii="Arial" w:cs="Arial" w:eastAsia="Arial" w:hAnsi="Arial"/>
                <w:sz w:val="25"/>
                <w:szCs w:val="25"/>
                <w:color w:val="auto"/>
                <w:vertAlign w:val="superscript"/>
              </w:rPr>
              <w:t>(a)</w:t>
            </w: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3"/>
        </w:trPr>
        <w:tc>
          <w:tcPr>
            <w:tcW w:w="7720" w:type="dxa"/>
            <w:vAlign w:val="bottom"/>
            <w:gridSpan w:val="2"/>
            <w:vMerge w:val="continue"/>
          </w:tcPr>
          <w:p>
            <w:pPr>
              <w:ind w:left="980"/>
              <w:spacing w:after="0" w:line="215" w:lineRule="exact"/>
              <w:rPr>
                <w:sz w:val="20"/>
                <w:szCs w:val="20"/>
                <w:color w:val="auto"/>
              </w:rPr>
            </w:pPr>
            <w:r>
              <w:rPr>
                <w:rFonts w:ascii="Arial" w:cs="Arial" w:eastAsia="Arial" w:hAnsi="Arial"/>
                <w:sz w:val="20"/>
                <w:szCs w:val="20"/>
                <w:color w:val="B4B4B4"/>
                <w:w w:val="89"/>
              </w:rPr>
              <w:t>. . . . . . . . . . . . . . . . . . . . . . . . . . . . . . . . . . . . . . . . . . . . . . . . . . . . . . . . . . . . . . . . . . . .</w:t>
            </w:r>
          </w:p>
        </w:tc>
        <w:tc>
          <w:tcPr>
            <w:tcW w:w="1180" w:type="dxa"/>
            <w:vAlign w:val="bottom"/>
          </w:tcPr>
          <w:p>
            <w:pPr>
              <w:jc w:val="right"/>
              <w:spacing w:after="0"/>
              <w:rPr>
                <w:sz w:val="20"/>
                <w:szCs w:val="20"/>
                <w:color w:val="auto"/>
              </w:rPr>
            </w:pPr>
            <w:r>
              <w:rPr>
                <w:rFonts w:ascii="Arial" w:cs="Arial" w:eastAsia="Arial" w:hAnsi="Arial"/>
                <w:sz w:val="20"/>
                <w:szCs w:val="20"/>
                <w:color w:val="auto"/>
              </w:rPr>
              <w:t>37.5 %</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61"/>
        </w:trPr>
        <w:tc>
          <w:tcPr>
            <w:tcW w:w="7720" w:type="dxa"/>
            <w:vAlign w:val="bottom"/>
            <w:gridSpan w:val="2"/>
          </w:tcPr>
          <w:p>
            <w:pPr>
              <w:spacing w:after="0"/>
              <w:rPr>
                <w:sz w:val="20"/>
                <w:szCs w:val="20"/>
                <w:color w:val="auto"/>
              </w:rPr>
            </w:pPr>
            <w:r>
              <w:rPr>
                <w:rFonts w:ascii="Arial" w:cs="Arial" w:eastAsia="Arial" w:hAnsi="Arial"/>
                <w:sz w:val="20"/>
                <w:szCs w:val="20"/>
                <w:color w:val="auto"/>
                <w:w w:val="90"/>
              </w:rPr>
              <w:t xml:space="preserve">Midway-Sunset Cogeneration Company </w:t>
            </w:r>
            <w:r>
              <w:rPr>
                <w:rFonts w:ascii="Arial" w:cs="Arial" w:eastAsia="Arial" w:hAnsi="Arial"/>
                <w:sz w:val="20"/>
                <w:szCs w:val="20"/>
                <w:color w:val="B4B4B4"/>
                <w:w w:val="90"/>
              </w:rPr>
              <w:t>. . . . . . . . . . . . . . . . . . . . . . . . . . . . . . . . . . . . . . . . . . . . .</w:t>
            </w:r>
          </w:p>
        </w:tc>
        <w:tc>
          <w:tcPr>
            <w:tcW w:w="1180" w:type="dxa"/>
            <w:vAlign w:val="bottom"/>
          </w:tcPr>
          <w:p>
            <w:pPr>
              <w:jc w:val="right"/>
              <w:spacing w:after="0"/>
              <w:rPr>
                <w:sz w:val="20"/>
                <w:szCs w:val="20"/>
                <w:color w:val="auto"/>
              </w:rPr>
            </w:pPr>
            <w:r>
              <w:rPr>
                <w:rFonts w:ascii="Arial" w:cs="Arial" w:eastAsia="Arial" w:hAnsi="Arial"/>
                <w:sz w:val="20"/>
                <w:szCs w:val="20"/>
                <w:color w:val="auto"/>
              </w:rPr>
              <w:t>50.0 %</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42"/>
        </w:trPr>
        <w:tc>
          <w:tcPr>
            <w:tcW w:w="8900" w:type="dxa"/>
            <w:vAlign w:val="bottom"/>
            <w:gridSpan w:val="3"/>
          </w:tcPr>
          <w:p>
            <w:pPr>
              <w:ind w:left="120"/>
              <w:spacing w:after="0"/>
              <w:rPr>
                <w:sz w:val="20"/>
                <w:szCs w:val="20"/>
                <w:color w:val="auto"/>
              </w:rPr>
            </w:pPr>
            <w:r>
              <w:rPr>
                <w:rFonts w:ascii="Arial" w:cs="Arial" w:eastAsia="Arial" w:hAnsi="Arial"/>
                <w:sz w:val="20"/>
                <w:szCs w:val="20"/>
                <w:b w:val="1"/>
                <w:bCs w:val="1"/>
                <w:color w:val="B4B4B4"/>
                <w:w w:val="92"/>
              </w:rPr>
              <w:t>. . . . . . . . . . . . . . . . . . . . . . . . . . . . . . . . . . . . . . . . . . . . . . . . . . . . . . . . .</w:t>
            </w:r>
            <w:r>
              <w:rPr>
                <w:rFonts w:ascii="Arial" w:cs="Arial" w:eastAsia="Arial" w:hAnsi="Arial"/>
                <w:sz w:val="20"/>
                <w:szCs w:val="20"/>
                <w:b w:val="1"/>
                <w:bCs w:val="1"/>
                <w:color w:val="000000"/>
                <w:w w:val="92"/>
              </w:rPr>
              <w:t>Totalequityinvestmentsinaffiliates</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-587375</wp:posOffset>
            </wp:positionV>
            <wp:extent cx="6513195" cy="5943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53">
                      <a:extLst>
                        <a:ext uri="{28A0092B-C50C-407E-A947-70E740481C1C}"/>
                      </a:extLst>
                    </a:blip>
                    <a:srcRect/>
                    <a:stretch>
                      <a:fillRect/>
                    </a:stretch>
                  </pic:blipFill>
                  <pic:spPr bwMode="auto">
                    <a:xfrm>
                      <a:off x="0" y="0"/>
                      <a:ext cx="6513195" cy="594360"/>
                    </a:xfrm>
                    <a:prstGeom prst="rect">
                      <a:avLst/>
                    </a:prstGeom>
                    <a:noFill/>
                  </pic:spPr>
                </pic:pic>
              </a:graphicData>
            </a:graphic>
          </wp:anchor>
        </w:drawing>
      </w:r>
    </w:p>
    <w:p>
      <w:pPr>
        <w:jc w:val="both"/>
        <w:ind w:left="440" w:right="60" w:hanging="439"/>
        <w:spacing w:after="0" w:line="288" w:lineRule="auto"/>
        <w:tabs>
          <w:tab w:leader="none" w:pos="4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 xml:space="preserve">As of December 31, 2024, the carrying value of NRG's equity method investment was $39 million lower than the underlying net assets of the investee. The basis difference is being amortized into net income over the remaining estimated useful lives of the underlying net assets. For the year ended December 31, 2024, the Company recorded $7 million of impairment losses on Gladstone. Refer to Note 10, </w:t>
      </w:r>
      <w:r>
        <w:rPr>
          <w:rFonts w:ascii="Arial" w:cs="Arial" w:eastAsia="Arial" w:hAnsi="Arial"/>
          <w:sz w:val="15"/>
          <w:szCs w:val="15"/>
          <w:b w:val="1"/>
          <w:bCs w:val="1"/>
          <w:i w:val="1"/>
          <w:iCs w:val="1"/>
          <w:color w:val="auto"/>
        </w:rPr>
        <w:t>Asset Impairments</w:t>
      </w:r>
    </w:p>
    <w:p>
      <w:pPr>
        <w:spacing w:after="0" w:line="56" w:lineRule="exact"/>
        <w:rPr>
          <w:sz w:val="20"/>
          <w:szCs w:val="20"/>
          <w:color w:val="auto"/>
        </w:rPr>
      </w:pPr>
    </w:p>
    <w:p>
      <w:pPr>
        <w:jc w:val="both"/>
        <w:ind w:right="60" w:firstLine="445"/>
        <w:spacing w:after="0" w:line="272" w:lineRule="auto"/>
        <w:rPr>
          <w:sz w:val="20"/>
          <w:szCs w:val="20"/>
          <w:color w:val="auto"/>
        </w:rPr>
      </w:pPr>
      <w:r>
        <w:rPr>
          <w:rFonts w:ascii="Arial" w:cs="Arial" w:eastAsia="Arial" w:hAnsi="Arial"/>
          <w:sz w:val="20"/>
          <w:szCs w:val="20"/>
          <w:color w:val="auto"/>
        </w:rPr>
        <w:t>The following table summarizes the undistributed earnings from NRG's equity method investments as of December 31, 2024:</w:t>
      </w:r>
    </w:p>
    <w:p>
      <w:pPr>
        <w:spacing w:after="0" w:line="2"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As of December 31,</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68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8"/>
                <w:szCs w:val="18"/>
                <w:b w:val="1"/>
                <w:bCs w:val="1"/>
                <w:color w:val="auto"/>
              </w:rPr>
              <w:t>2024</w:t>
            </w:r>
          </w:p>
        </w:tc>
        <w:tc>
          <w:tcPr>
            <w:tcW w:w="3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8"/>
                <w:szCs w:val="18"/>
                <w:b w:val="1"/>
                <w:bCs w:val="1"/>
                <w:color w:val="auto"/>
              </w:rPr>
              <w:t>2023</w:t>
            </w:r>
          </w:p>
        </w:tc>
      </w:tr>
      <w:tr>
        <w:trPr>
          <w:trHeight w:val="275"/>
        </w:trPr>
        <w:tc>
          <w:tcPr>
            <w:tcW w:w="7680" w:type="dxa"/>
            <w:vAlign w:val="bottom"/>
          </w:tcPr>
          <w:p>
            <w:pPr>
              <w:spacing w:after="0"/>
              <w:rPr>
                <w:sz w:val="20"/>
                <w:szCs w:val="20"/>
                <w:color w:val="auto"/>
              </w:rPr>
            </w:pPr>
            <w:r>
              <w:rPr>
                <w:rFonts w:ascii="Arial" w:cs="Arial" w:eastAsia="Arial" w:hAnsi="Arial"/>
                <w:sz w:val="20"/>
                <w:szCs w:val="20"/>
                <w:color w:val="auto"/>
                <w:w w:val="90"/>
              </w:rPr>
              <w:t xml:space="preserve">Undistributed earnings </w:t>
            </w:r>
            <w:r>
              <w:rPr>
                <w:rFonts w:ascii="Arial" w:cs="Arial" w:eastAsia="Arial" w:hAnsi="Arial"/>
                <w:sz w:val="20"/>
                <w:szCs w:val="20"/>
                <w:color w:val="B4B4B4"/>
                <w:w w:val="90"/>
              </w:rPr>
              <w:t>. . . . . . . . . . . . . . . . . . . . . . . . . . . . . . . . . . . . . . . . . . . . . . . . . . . . . . . . . .</w:t>
            </w:r>
          </w:p>
        </w:tc>
        <w:tc>
          <w:tcPr>
            <w:tcW w:w="900" w:type="dxa"/>
            <w:vAlign w:val="bottom"/>
          </w:tcPr>
          <w:p>
            <w:pPr>
              <w:jc w:val="right"/>
              <w:ind w:right="646"/>
              <w:spacing w:after="0"/>
              <w:rPr>
                <w:sz w:val="20"/>
                <w:szCs w:val="20"/>
                <w:color w:val="auto"/>
              </w:rPr>
            </w:pPr>
            <w:r>
              <w:rPr>
                <w:rFonts w:ascii="Arial" w:cs="Arial" w:eastAsia="Arial" w:hAnsi="Arial"/>
                <w:sz w:val="20"/>
                <w:szCs w:val="20"/>
                <w:color w:val="auto"/>
              </w:rPr>
              <w:t>$</w:t>
            </w:r>
          </w:p>
        </w:tc>
        <w:tc>
          <w:tcPr>
            <w:tcW w:w="320" w:type="dxa"/>
            <w:vAlign w:val="bottom"/>
          </w:tcPr>
          <w:p>
            <w:pPr>
              <w:jc w:val="right"/>
              <w:spacing w:after="0"/>
              <w:rPr>
                <w:sz w:val="20"/>
                <w:szCs w:val="20"/>
                <w:color w:val="auto"/>
              </w:rPr>
            </w:pPr>
            <w:r>
              <w:rPr>
                <w:rFonts w:ascii="Arial" w:cs="Arial" w:eastAsia="Arial" w:hAnsi="Arial"/>
                <w:sz w:val="20"/>
                <w:szCs w:val="20"/>
                <w:color w:val="auto"/>
              </w:rPr>
              <w:t>5</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-193040</wp:posOffset>
            </wp:positionV>
            <wp:extent cx="6513195" cy="2139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54">
                      <a:extLst>
                        <a:ext uri="{28A0092B-C50C-407E-A947-70E740481C1C}"/>
                      </a:extLst>
                    </a:blip>
                    <a:srcRect/>
                    <a:stretch>
                      <a:fillRect/>
                    </a:stretch>
                  </pic:blipFill>
                  <pic:spPr bwMode="auto">
                    <a:xfrm>
                      <a:off x="0" y="0"/>
                      <a:ext cx="6513195" cy="213995"/>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Other Equity Investments</w:t>
      </w:r>
    </w:p>
    <w:p>
      <w:pPr>
        <w:spacing w:after="0" w:line="130" w:lineRule="exact"/>
        <w:rPr>
          <w:sz w:val="20"/>
          <w:szCs w:val="20"/>
          <w:color w:val="auto"/>
        </w:rPr>
      </w:pPr>
    </w:p>
    <w:p>
      <w:pPr>
        <w:jc w:val="both"/>
        <w:ind w:right="60" w:firstLine="445"/>
        <w:spacing w:after="0" w:line="267" w:lineRule="auto"/>
        <w:rPr>
          <w:sz w:val="20"/>
          <w:szCs w:val="20"/>
          <w:color w:val="auto"/>
        </w:rPr>
      </w:pPr>
      <w:r>
        <w:rPr>
          <w:rFonts w:ascii="Arial" w:cs="Arial" w:eastAsia="Arial" w:hAnsi="Arial"/>
          <w:sz w:val="19"/>
          <w:szCs w:val="19"/>
          <w:b w:val="1"/>
          <w:bCs w:val="1"/>
          <w:i w:val="1"/>
          <w:iCs w:val="1"/>
          <w:color w:val="auto"/>
        </w:rPr>
        <w:t xml:space="preserve">Gladstone </w:t>
      </w:r>
      <w:r>
        <w:rPr>
          <w:rFonts w:ascii="Arial" w:cs="Arial" w:eastAsia="Arial" w:hAnsi="Arial"/>
          <w:sz w:val="19"/>
          <w:szCs w:val="19"/>
          <w:color w:val="auto"/>
        </w:rPr>
        <w:t>— Through a joint venture, NRG owns a 37.5% interest in Gladstone, a 1,613 MW coal-fueled power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generation facility in Queensland, Australia. The power generation facility is managed by the joint venture participants and the facility is operated by NRG. Operating expenses incurred in connection with the operation of the facility are funded by each of the participants in proportion to their ownership interests. Coal is sourced from local mines in Queensland. NRG and the joint venture participants receive their respective share of revenues directly from the off takers in proportion to the ownership interests in the joint venture. Power generated by the facility is primarily sold to an adjacent aluminum smelter, with excess power sold to the Queensland Government-owned utility under long-term supply contracts. NRG's investment in Gladstone was $34 million as of December 31, 2024.</w:t>
      </w:r>
    </w:p>
    <w:p>
      <w:pPr>
        <w:sectPr>
          <w:pgSz w:w="11880" w:h="15480" w:orient="portrait"/>
          <w:cols w:equalWidth="0" w:num="1">
            <w:col w:w="10220"/>
          </w:cols>
          <w:pgMar w:left="860" w:top="512" w:right="800" w:bottom="0" w:gutter="0" w:footer="0" w:header="0"/>
        </w:sectPr>
      </w:pP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146</w:t>
      </w:r>
    </w:p>
    <w:p>
      <w:pPr>
        <w:sectPr>
          <w:pgSz w:w="11880" w:h="15480" w:orient="portrait"/>
          <w:cols w:equalWidth="0" w:num="1">
            <w:col w:w="10220"/>
          </w:cols>
          <w:pgMar w:left="860" w:top="512" w:right="800" w:bottom="0" w:gutter="0" w:footer="0" w:header="0"/>
          <w:type w:val="continuous"/>
        </w:sectPr>
      </w:pPr>
    </w:p>
    <w:bookmarkStart w:id="148" w:name="page149"/>
    <w:bookmarkEnd w:id="148"/>
    <w:p>
      <w:pPr>
        <w:ind w:left="440"/>
        <w:spacing w:after="0"/>
        <w:rPr>
          <w:sz w:val="20"/>
          <w:szCs w:val="20"/>
          <w:color w:val="auto"/>
        </w:rPr>
      </w:pPr>
      <w:r>
        <w:rPr>
          <w:rFonts w:ascii="Arial" w:cs="Arial" w:eastAsia="Arial" w:hAnsi="Arial"/>
          <w:sz w:val="20"/>
          <w:szCs w:val="20"/>
          <w:b w:val="1"/>
          <w:bCs w:val="1"/>
          <w:i w:val="1"/>
          <w:iCs w:val="1"/>
          <w:color w:val="auto"/>
        </w:rPr>
        <w:t>Variable Interest Entities that are Consolidated</w:t>
      </w:r>
    </w:p>
    <w:p>
      <w:pPr>
        <w:spacing w:after="0" w:line="13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 xml:space="preserve">The Company has a controlling financial interest that has been identified as a VIE under ASC 810 in NRG Receivables LLC, which has entered into financing transactions related to the Receivables Facility as further described in Note 12, </w:t>
      </w:r>
      <w:r>
        <w:rPr>
          <w:rFonts w:ascii="Arial" w:cs="Arial" w:eastAsia="Arial" w:hAnsi="Arial"/>
          <w:sz w:val="20"/>
          <w:szCs w:val="20"/>
          <w:b w:val="1"/>
          <w:bCs w:val="1"/>
          <w:i w:val="1"/>
          <w:iCs w:val="1"/>
          <w:color w:val="auto"/>
        </w:rPr>
        <w:t>Long-term Debt and Finance Leases.</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summarized financial information for the Company's consolidated VIE consisted of the following:</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688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1"/>
              </w:rPr>
              <w:t>December 31, 2024</w:t>
            </w:r>
          </w:p>
        </w:tc>
        <w:tc>
          <w:tcPr>
            <w:tcW w:w="60" w:type="dxa"/>
            <w:vAlign w:val="bottom"/>
          </w:tcPr>
          <w:p>
            <w:pPr>
              <w:spacing w:after="0"/>
              <w:rPr>
                <w:sz w:val="20"/>
                <w:szCs w:val="20"/>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2"/>
              </w:rPr>
              <w:t>December 31, 2023</w:t>
            </w:r>
          </w:p>
        </w:tc>
      </w:tr>
      <w:tr>
        <w:trPr>
          <w:trHeight w:val="275"/>
        </w:trPr>
        <w:tc>
          <w:tcPr>
            <w:tcW w:w="6880" w:type="dxa"/>
            <w:vAlign w:val="bottom"/>
          </w:tcPr>
          <w:p>
            <w:pPr>
              <w:spacing w:after="0"/>
              <w:rPr>
                <w:sz w:val="20"/>
                <w:szCs w:val="20"/>
                <w:color w:val="auto"/>
              </w:rPr>
            </w:pPr>
            <w:r>
              <w:rPr>
                <w:rFonts w:ascii="Arial" w:cs="Arial" w:eastAsia="Arial" w:hAnsi="Arial"/>
                <w:sz w:val="20"/>
                <w:szCs w:val="20"/>
                <w:color w:val="auto"/>
                <w:w w:val="89"/>
              </w:rPr>
              <w:t xml:space="preserve">Accounts receivable and Other current assets  </w:t>
            </w:r>
            <w:r>
              <w:rPr>
                <w:rFonts w:ascii="Arial" w:cs="Arial" w:eastAsia="Arial" w:hAnsi="Arial"/>
                <w:sz w:val="20"/>
                <w:szCs w:val="20"/>
                <w:color w:val="B4B4B4"/>
                <w:w w:val="89"/>
              </w:rPr>
              <w:t>. . . . . . . . . . . . . . . . . . . . . . . . . . . . . . . .</w:t>
            </w:r>
          </w:p>
        </w:tc>
        <w:tc>
          <w:tcPr>
            <w:tcW w:w="580" w:type="dxa"/>
            <w:vAlign w:val="bottom"/>
          </w:tcPr>
          <w:p>
            <w:pPr>
              <w:ind w:lef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2,402</w:t>
            </w:r>
          </w:p>
        </w:tc>
        <w:tc>
          <w:tcPr>
            <w:tcW w:w="68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1,541</w:t>
            </w:r>
          </w:p>
        </w:tc>
      </w:tr>
      <w:tr>
        <w:trPr>
          <w:trHeight w:val="299"/>
        </w:trPr>
        <w:tc>
          <w:tcPr>
            <w:tcW w:w="6880" w:type="dxa"/>
            <w:vAlign w:val="bottom"/>
          </w:tcPr>
          <w:p>
            <w:pPr>
              <w:spacing w:after="0"/>
              <w:rPr>
                <w:sz w:val="20"/>
                <w:szCs w:val="20"/>
                <w:color w:val="auto"/>
              </w:rPr>
            </w:pPr>
            <w:r>
              <w:rPr>
                <w:rFonts w:ascii="Arial" w:cs="Arial" w:eastAsia="Arial" w:hAnsi="Arial"/>
                <w:sz w:val="20"/>
                <w:szCs w:val="20"/>
                <w:color w:val="auto"/>
                <w:w w:val="90"/>
              </w:rPr>
              <w:t xml:space="preserve">Current liabilities  </w:t>
            </w:r>
            <w:r>
              <w:rPr>
                <w:rFonts w:ascii="Arial" w:cs="Arial" w:eastAsia="Arial" w:hAnsi="Arial"/>
                <w:sz w:val="20"/>
                <w:szCs w:val="20"/>
                <w:color w:val="B4B4B4"/>
                <w:w w:val="90"/>
              </w:rPr>
              <w:t>. . . . . . . . . . . . . . . . . . . . . . . . . . . . . . . . . . . . . . . . . . . . . . . . . . . . . .</w:t>
            </w: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155</w:t>
            </w:r>
          </w:p>
        </w:tc>
        <w:tc>
          <w:tcPr>
            <w:tcW w:w="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w:t>
            </w:r>
          </w:p>
        </w:tc>
      </w:tr>
      <w:tr>
        <w:trPr>
          <w:trHeight w:val="257"/>
        </w:trPr>
        <w:tc>
          <w:tcPr>
            <w:tcW w:w="6880" w:type="dxa"/>
            <w:vAlign w:val="bottom"/>
          </w:tcPr>
          <w:p>
            <w:pPr>
              <w:spacing w:after="0"/>
              <w:rPr>
                <w:sz w:val="20"/>
                <w:szCs w:val="20"/>
                <w:color w:val="auto"/>
              </w:rPr>
            </w:pPr>
            <w:r>
              <w:rPr>
                <w:rFonts w:ascii="Arial" w:cs="Arial" w:eastAsia="Arial" w:hAnsi="Arial"/>
                <w:sz w:val="20"/>
                <w:szCs w:val="20"/>
                <w:color w:val="auto"/>
                <w:w w:val="89"/>
              </w:rPr>
              <w:t xml:space="preserve">Net assets  </w:t>
            </w:r>
            <w:r>
              <w:rPr>
                <w:rFonts w:ascii="Arial" w:cs="Arial" w:eastAsia="Arial" w:hAnsi="Arial"/>
                <w:sz w:val="20"/>
                <w:szCs w:val="20"/>
                <w:color w:val="B4B4B4"/>
                <w:w w:val="89"/>
              </w:rPr>
              <w:t>. . . . . . . . . . . . . . . . . . . . . . . . . . . . . . . . . . . . . . . . . . . . . . . . . . . . . . . . . . . .</w:t>
            </w:r>
          </w:p>
        </w:tc>
        <w:tc>
          <w:tcPr>
            <w:tcW w:w="580" w:type="dxa"/>
            <w:vAlign w:val="bottom"/>
          </w:tcPr>
          <w:p>
            <w:pPr>
              <w:ind w:lef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2,247</w:t>
            </w:r>
          </w:p>
        </w:tc>
        <w:tc>
          <w:tcPr>
            <w:tcW w:w="68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1,388</w:t>
            </w:r>
          </w:p>
        </w:tc>
      </w:tr>
      <w:tr>
        <w:trPr>
          <w:trHeight w:val="20"/>
        </w:trPr>
        <w:tc>
          <w:tcPr>
            <w:tcW w:w="68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-596900</wp:posOffset>
            </wp:positionV>
            <wp:extent cx="6475095" cy="6038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55">
                      <a:extLst>
                        <a:ext uri="{28A0092B-C50C-407E-A947-70E740481C1C}"/>
                      </a:extLst>
                    </a:blip>
                    <a:srcRect/>
                    <a:stretch>
                      <a:fillRect/>
                    </a:stretch>
                  </pic:blipFill>
                  <pic:spPr bwMode="auto">
                    <a:xfrm>
                      <a:off x="0" y="0"/>
                      <a:ext cx="6475095" cy="60388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17 — </w:t>
      </w:r>
      <w:r>
        <w:rPr>
          <w:rFonts w:ascii="Arial" w:cs="Arial" w:eastAsia="Arial" w:hAnsi="Arial"/>
          <w:sz w:val="20"/>
          <w:szCs w:val="20"/>
          <w:b w:val="1"/>
          <w:bCs w:val="1"/>
          <w:i w:val="1"/>
          <w:iCs w:val="1"/>
          <w:color w:val="auto"/>
        </w:rPr>
        <w:t>Income/(Loss) Per Share</w:t>
      </w:r>
    </w:p>
    <w:p>
      <w:pPr>
        <w:spacing w:after="0" w:line="134"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9"/>
          <w:szCs w:val="19"/>
          <w:color w:val="auto"/>
        </w:rPr>
        <w:t>Basic income/(loss) per common share is computed by dividing net income/(loss) less cumulative dividends attributable to preferred stock by the weighted average number of common shares outstanding. Shares issued and treasury shares repurchased during the year are weighted for the portion of the year that they were outstanding. Diluted income/(loss) per share is computed in a manner consistent with that of basic income/(loss) per share, while giving effect to all potentially dilutive common shares that were outstanding during the period when there is net income.</w:t>
      </w:r>
    </w:p>
    <w:p>
      <w:pPr>
        <w:spacing w:after="0" w:line="69" w:lineRule="exact"/>
        <w:rPr>
          <w:sz w:val="20"/>
          <w:szCs w:val="20"/>
          <w:color w:val="auto"/>
        </w:rPr>
      </w:pPr>
    </w:p>
    <w:p>
      <w:pPr>
        <w:jc w:val="both"/>
        <w:ind w:firstLine="445"/>
        <w:spacing w:after="0" w:line="324" w:lineRule="auto"/>
        <w:rPr>
          <w:sz w:val="20"/>
          <w:szCs w:val="20"/>
          <w:color w:val="auto"/>
        </w:rPr>
      </w:pPr>
      <w:r>
        <w:rPr>
          <w:rFonts w:ascii="Arial" w:cs="Arial" w:eastAsia="Arial" w:hAnsi="Arial"/>
          <w:sz w:val="16"/>
          <w:szCs w:val="16"/>
          <w:b w:val="1"/>
          <w:bCs w:val="1"/>
          <w:i w:val="1"/>
          <w:iCs w:val="1"/>
          <w:color w:val="auto"/>
        </w:rPr>
        <w:t xml:space="preserve">Dilutive effect for equity compensation and other equity instruments </w:t>
      </w:r>
      <w:r>
        <w:rPr>
          <w:rFonts w:ascii="Arial" w:cs="Arial" w:eastAsia="Arial" w:hAnsi="Arial"/>
          <w:sz w:val="16"/>
          <w:szCs w:val="16"/>
          <w:color w:val="auto"/>
        </w:rPr>
        <w:t>— The relative performance stock units and non-vested restricted stock units are not considered outstanding for purposes of computing basic income/(loss) per share. However, these instruments are included in the denominator for purposes of computing diluted income/(loss) per share under the treasury stock method for periods when there is net income. The Convertible Senior Notes are convertible, under certain circumstances, into cash or combination of cash and Company’s common stock. The Company is including the potential share settlements, if any, in the denominator for purposes of computing diluted income/(loss) per share under the if converted method for periods when there is net income. The potential shares settlements are calculated as the excess of the Company's conversion obligation over the aggregate principal amount (which will be settled in cash), divided by the average share price for the period.</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reconciliation of NRG's basic and diluted income/(loss) per share is shown in the following table:</w:t>
      </w:r>
    </w:p>
    <w:p>
      <w:pPr>
        <w:spacing w:after="0" w:line="100"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Year Ended December 31,</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6540" w:type="dxa"/>
            <w:vAlign w:val="bottom"/>
          </w:tcPr>
          <w:p>
            <w:pPr>
              <w:jc w:val="right"/>
              <w:ind w:right="3762"/>
              <w:spacing w:after="0"/>
              <w:rPr>
                <w:sz w:val="20"/>
                <w:szCs w:val="20"/>
                <w:color w:val="auto"/>
              </w:rPr>
            </w:pPr>
            <w:r>
              <w:rPr>
                <w:rFonts w:ascii="Arial" w:cs="Arial" w:eastAsia="Arial" w:hAnsi="Arial"/>
                <w:sz w:val="16"/>
                <w:szCs w:val="16"/>
                <w:b w:val="1"/>
                <w:bCs w:val="1"/>
                <w:color w:val="auto"/>
                <w:w w:val="89"/>
              </w:rPr>
              <w:t>(In millions, except per share amounts)</w:t>
            </w: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5"/>
        </w:trPr>
        <w:tc>
          <w:tcPr>
            <w:tcW w:w="6540" w:type="dxa"/>
            <w:vAlign w:val="bottom"/>
          </w:tcPr>
          <w:p>
            <w:pPr>
              <w:spacing w:after="0"/>
              <w:rPr>
                <w:sz w:val="20"/>
                <w:szCs w:val="20"/>
                <w:color w:val="auto"/>
              </w:rPr>
            </w:pPr>
            <w:r>
              <w:rPr>
                <w:rFonts w:ascii="Arial" w:cs="Arial" w:eastAsia="Arial" w:hAnsi="Arial"/>
                <w:sz w:val="20"/>
                <w:szCs w:val="20"/>
                <w:b w:val="1"/>
                <w:bCs w:val="1"/>
                <w:color w:val="auto"/>
              </w:rPr>
              <w:t>Basic income/(loss) per share:</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540" w:type="dxa"/>
            <w:vAlign w:val="bottom"/>
          </w:tcPr>
          <w:p>
            <w:pPr>
              <w:jc w:val="right"/>
              <w:spacing w:after="0"/>
              <w:rPr>
                <w:sz w:val="20"/>
                <w:szCs w:val="20"/>
                <w:color w:val="auto"/>
              </w:rPr>
            </w:pPr>
            <w:r>
              <w:rPr>
                <w:rFonts w:ascii="Arial" w:cs="Arial" w:eastAsia="Arial" w:hAnsi="Arial"/>
                <w:sz w:val="20"/>
                <w:szCs w:val="20"/>
                <w:color w:val="auto"/>
                <w:w w:val="91"/>
              </w:rPr>
              <w:t xml:space="preserve">Net income/(loss)  </w:t>
            </w:r>
            <w:r>
              <w:rPr>
                <w:rFonts w:ascii="Arial" w:cs="Arial" w:eastAsia="Arial" w:hAnsi="Arial"/>
                <w:sz w:val="20"/>
                <w:szCs w:val="20"/>
                <w:color w:val="B4B4B4"/>
                <w:w w:val="91"/>
              </w:rPr>
              <w:t>. . . . . . . . . . . . . . . . . . . . . . . . . . . . . . . . . . . . . . . . . . . . . . . . .</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1,125</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(202)</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1,221</w:t>
            </w:r>
          </w:p>
        </w:tc>
        <w:tc>
          <w:tcPr>
            <w:tcW w:w="0" w:type="dxa"/>
            <w:vAlign w:val="bottom"/>
          </w:tcPr>
          <w:p>
            <w:pPr>
              <w:spacing w:after="0"/>
              <w:rPr>
                <w:sz w:val="1"/>
                <w:szCs w:val="1"/>
                <w:color w:val="auto"/>
              </w:rPr>
            </w:pPr>
          </w:p>
        </w:tc>
      </w:tr>
      <w:tr>
        <w:trPr>
          <w:trHeight w:val="299"/>
        </w:trPr>
        <w:tc>
          <w:tcPr>
            <w:tcW w:w="6540" w:type="dxa"/>
            <w:vAlign w:val="bottom"/>
          </w:tcPr>
          <w:p>
            <w:pPr>
              <w:jc w:val="right"/>
              <w:spacing w:after="0"/>
              <w:rPr>
                <w:sz w:val="20"/>
                <w:szCs w:val="20"/>
                <w:color w:val="auto"/>
              </w:rPr>
            </w:pPr>
            <w:r>
              <w:rPr>
                <w:rFonts w:ascii="Arial" w:cs="Arial" w:eastAsia="Arial" w:hAnsi="Arial"/>
                <w:sz w:val="20"/>
                <w:szCs w:val="20"/>
                <w:color w:val="auto"/>
                <w:w w:val="92"/>
              </w:rPr>
              <w:t xml:space="preserve">Less: Cumulative dividends attributable to Series A Preferred Stock  </w:t>
            </w:r>
            <w:r>
              <w:rPr>
                <w:rFonts w:ascii="Arial" w:cs="Arial" w:eastAsia="Arial" w:hAnsi="Arial"/>
                <w:sz w:val="20"/>
                <w:szCs w:val="20"/>
                <w:color w:val="B4B4B4"/>
                <w:w w:val="92"/>
              </w:rPr>
              <w:t>. . . . . . . . .</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6540" w:type="dxa"/>
            <w:vAlign w:val="bottom"/>
          </w:tcPr>
          <w:p>
            <w:pPr>
              <w:jc w:val="right"/>
              <w:spacing w:after="0"/>
              <w:rPr>
                <w:sz w:val="20"/>
                <w:szCs w:val="20"/>
                <w:color w:val="auto"/>
              </w:rPr>
            </w:pPr>
            <w:r>
              <w:rPr>
                <w:rFonts w:ascii="Arial" w:cs="Arial" w:eastAsia="Arial" w:hAnsi="Arial"/>
                <w:sz w:val="20"/>
                <w:szCs w:val="20"/>
                <w:color w:val="auto"/>
                <w:w w:val="92"/>
              </w:rPr>
              <w:t xml:space="preserve">Income/(Loss) Available to Common Stockholders </w:t>
            </w:r>
            <w:r>
              <w:rPr>
                <w:rFonts w:ascii="Arial" w:cs="Arial" w:eastAsia="Arial" w:hAnsi="Arial"/>
                <w:sz w:val="20"/>
                <w:szCs w:val="20"/>
                <w:color w:val="B4B4B4"/>
                <w:w w:val="92"/>
              </w:rPr>
              <w:t>. . . . . . . . . . . . . . . . . . . . . . .</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1,058</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(256)</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1,221</w:t>
            </w:r>
          </w:p>
        </w:tc>
        <w:tc>
          <w:tcPr>
            <w:tcW w:w="0" w:type="dxa"/>
            <w:vAlign w:val="bottom"/>
          </w:tcPr>
          <w:p>
            <w:pPr>
              <w:spacing w:after="0"/>
              <w:rPr>
                <w:sz w:val="1"/>
                <w:szCs w:val="1"/>
                <w:color w:val="auto"/>
              </w:rPr>
            </w:pPr>
          </w:p>
        </w:tc>
      </w:tr>
      <w:tr>
        <w:trPr>
          <w:trHeight w:val="297"/>
        </w:trPr>
        <w:tc>
          <w:tcPr>
            <w:tcW w:w="6540" w:type="dxa"/>
            <w:vAlign w:val="bottom"/>
          </w:tcPr>
          <w:p>
            <w:pPr>
              <w:jc w:val="right"/>
              <w:spacing w:after="0"/>
              <w:rPr>
                <w:sz w:val="20"/>
                <w:szCs w:val="20"/>
                <w:color w:val="auto"/>
              </w:rPr>
            </w:pPr>
            <w:r>
              <w:rPr>
                <w:rFonts w:ascii="Arial" w:cs="Arial" w:eastAsia="Arial" w:hAnsi="Arial"/>
                <w:sz w:val="20"/>
                <w:szCs w:val="20"/>
                <w:color w:val="auto"/>
                <w:w w:val="90"/>
              </w:rPr>
              <w:t xml:space="preserve">Weighted average number of common shares outstanding - basic </w:t>
            </w:r>
            <w:r>
              <w:rPr>
                <w:rFonts w:ascii="Arial" w:cs="Arial" w:eastAsia="Arial" w:hAnsi="Arial"/>
                <w:sz w:val="20"/>
                <w:szCs w:val="20"/>
                <w:color w:val="B4B4B4"/>
                <w:w w:val="90"/>
              </w:rPr>
              <w:t>. . . . . . . . . . . .</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206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236</w:t>
            </w:r>
          </w:p>
        </w:tc>
        <w:tc>
          <w:tcPr>
            <w:tcW w:w="0" w:type="dxa"/>
            <w:vAlign w:val="bottom"/>
          </w:tcPr>
          <w:p>
            <w:pPr>
              <w:spacing w:after="0"/>
              <w:rPr>
                <w:sz w:val="1"/>
                <w:szCs w:val="1"/>
                <w:color w:val="auto"/>
              </w:rPr>
            </w:pPr>
          </w:p>
        </w:tc>
      </w:tr>
      <w:tr>
        <w:trPr>
          <w:trHeight w:val="279"/>
        </w:trPr>
        <w:tc>
          <w:tcPr>
            <w:tcW w:w="6540" w:type="dxa"/>
            <w:vAlign w:val="bottom"/>
          </w:tcPr>
          <w:p>
            <w:pPr>
              <w:jc w:val="right"/>
              <w:spacing w:after="0"/>
              <w:rPr>
                <w:sz w:val="20"/>
                <w:szCs w:val="20"/>
                <w:color w:val="auto"/>
              </w:rPr>
            </w:pPr>
            <w:r>
              <w:rPr>
                <w:rFonts w:ascii="Arial" w:cs="Arial" w:eastAsia="Arial" w:hAnsi="Arial"/>
                <w:sz w:val="20"/>
                <w:szCs w:val="20"/>
                <w:b w:val="1"/>
                <w:bCs w:val="1"/>
                <w:color w:val="auto"/>
                <w:w w:val="88"/>
              </w:rPr>
              <w:t xml:space="preserve">Income/(Loss) per weighted average common share — basic </w:t>
            </w:r>
            <w:r>
              <w:rPr>
                <w:rFonts w:ascii="Arial" w:cs="Arial" w:eastAsia="Arial" w:hAnsi="Arial"/>
                <w:sz w:val="20"/>
                <w:szCs w:val="20"/>
                <w:b w:val="1"/>
                <w:bCs w:val="1"/>
                <w:color w:val="B4B4B4"/>
                <w:w w:val="88"/>
              </w:rPr>
              <w:t>. . . . . . . . . . . . . .</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5.14</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(1.12)</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5.17</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20"/>
                <w:szCs w:val="20"/>
                <w:b w:val="1"/>
                <w:bCs w:val="1"/>
                <w:color w:val="auto"/>
              </w:rPr>
              <w:t>Diluted income/(loss)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5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540" w:type="dxa"/>
            <w:vAlign w:val="bottom"/>
          </w:tcPr>
          <w:p>
            <w:pPr>
              <w:jc w:val="right"/>
              <w:spacing w:after="0"/>
              <w:rPr>
                <w:sz w:val="20"/>
                <w:szCs w:val="20"/>
                <w:color w:val="auto"/>
              </w:rPr>
            </w:pPr>
            <w:r>
              <w:rPr>
                <w:rFonts w:ascii="Arial" w:cs="Arial" w:eastAsia="Arial" w:hAnsi="Arial"/>
                <w:sz w:val="20"/>
                <w:szCs w:val="20"/>
                <w:color w:val="auto"/>
                <w:w w:val="91"/>
              </w:rPr>
              <w:t xml:space="preserve">Net income/(loss)  </w:t>
            </w:r>
            <w:r>
              <w:rPr>
                <w:rFonts w:ascii="Arial" w:cs="Arial" w:eastAsia="Arial" w:hAnsi="Arial"/>
                <w:sz w:val="20"/>
                <w:szCs w:val="20"/>
                <w:color w:val="B4B4B4"/>
                <w:w w:val="91"/>
              </w:rPr>
              <w:t>. . . . . . . . . . . . . . . . . . . . . . . . . . . . . . . . . . . . . . . . . . . . . . . . .</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1,125</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(202)</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1,221</w:t>
            </w:r>
          </w:p>
        </w:tc>
        <w:tc>
          <w:tcPr>
            <w:tcW w:w="0" w:type="dxa"/>
            <w:vAlign w:val="bottom"/>
          </w:tcPr>
          <w:p>
            <w:pPr>
              <w:spacing w:after="0"/>
              <w:rPr>
                <w:sz w:val="1"/>
                <w:szCs w:val="1"/>
                <w:color w:val="auto"/>
              </w:rPr>
            </w:pPr>
          </w:p>
        </w:tc>
      </w:tr>
      <w:tr>
        <w:trPr>
          <w:trHeight w:val="299"/>
        </w:trPr>
        <w:tc>
          <w:tcPr>
            <w:tcW w:w="6540" w:type="dxa"/>
            <w:vAlign w:val="bottom"/>
          </w:tcPr>
          <w:p>
            <w:pPr>
              <w:jc w:val="right"/>
              <w:spacing w:after="0"/>
              <w:rPr>
                <w:sz w:val="20"/>
                <w:szCs w:val="20"/>
                <w:color w:val="auto"/>
              </w:rPr>
            </w:pPr>
            <w:r>
              <w:rPr>
                <w:rFonts w:ascii="Arial" w:cs="Arial" w:eastAsia="Arial" w:hAnsi="Arial"/>
                <w:sz w:val="20"/>
                <w:szCs w:val="20"/>
                <w:color w:val="auto"/>
                <w:w w:val="92"/>
              </w:rPr>
              <w:t xml:space="preserve">Less: Cumulative dividends attributable to Series A Preferred Stock  </w:t>
            </w:r>
            <w:r>
              <w:rPr>
                <w:rFonts w:ascii="Arial" w:cs="Arial" w:eastAsia="Arial" w:hAnsi="Arial"/>
                <w:sz w:val="20"/>
                <w:szCs w:val="20"/>
                <w:color w:val="B4B4B4"/>
                <w:w w:val="92"/>
              </w:rPr>
              <w:t>. . . . . . . . .</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6540" w:type="dxa"/>
            <w:vAlign w:val="bottom"/>
          </w:tcPr>
          <w:p>
            <w:pPr>
              <w:jc w:val="right"/>
              <w:spacing w:after="0"/>
              <w:rPr>
                <w:sz w:val="20"/>
                <w:szCs w:val="20"/>
                <w:color w:val="auto"/>
              </w:rPr>
            </w:pPr>
            <w:r>
              <w:rPr>
                <w:rFonts w:ascii="Arial" w:cs="Arial" w:eastAsia="Arial" w:hAnsi="Arial"/>
                <w:sz w:val="20"/>
                <w:szCs w:val="20"/>
                <w:color w:val="auto"/>
                <w:w w:val="92"/>
              </w:rPr>
              <w:t xml:space="preserve">Income/(Loss) Available to Common Stockholders </w:t>
            </w:r>
            <w:r>
              <w:rPr>
                <w:rFonts w:ascii="Arial" w:cs="Arial" w:eastAsia="Arial" w:hAnsi="Arial"/>
                <w:sz w:val="20"/>
                <w:szCs w:val="20"/>
                <w:color w:val="B4B4B4"/>
                <w:w w:val="92"/>
              </w:rPr>
              <w:t>. . . . . . . . . . . . . . . . . . . . . . .</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1,058</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(256)</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1,221</w:t>
            </w:r>
          </w:p>
        </w:tc>
        <w:tc>
          <w:tcPr>
            <w:tcW w:w="0" w:type="dxa"/>
            <w:vAlign w:val="bottom"/>
          </w:tcPr>
          <w:p>
            <w:pPr>
              <w:spacing w:after="0"/>
              <w:rPr>
                <w:sz w:val="1"/>
                <w:szCs w:val="1"/>
                <w:color w:val="auto"/>
              </w:rPr>
            </w:pPr>
          </w:p>
        </w:tc>
      </w:tr>
      <w:tr>
        <w:trPr>
          <w:trHeight w:val="297"/>
        </w:trPr>
        <w:tc>
          <w:tcPr>
            <w:tcW w:w="6540" w:type="dxa"/>
            <w:vAlign w:val="bottom"/>
          </w:tcPr>
          <w:p>
            <w:pPr>
              <w:jc w:val="right"/>
              <w:spacing w:after="0"/>
              <w:rPr>
                <w:sz w:val="20"/>
                <w:szCs w:val="20"/>
                <w:color w:val="auto"/>
              </w:rPr>
            </w:pPr>
            <w:r>
              <w:rPr>
                <w:rFonts w:ascii="Arial" w:cs="Arial" w:eastAsia="Arial" w:hAnsi="Arial"/>
                <w:sz w:val="20"/>
                <w:szCs w:val="20"/>
                <w:color w:val="auto"/>
                <w:w w:val="90"/>
              </w:rPr>
              <w:t xml:space="preserve">Weighted average number of common shares outstanding - basic </w:t>
            </w:r>
            <w:r>
              <w:rPr>
                <w:rFonts w:ascii="Arial" w:cs="Arial" w:eastAsia="Arial" w:hAnsi="Arial"/>
                <w:sz w:val="20"/>
                <w:szCs w:val="20"/>
                <w:color w:val="B4B4B4"/>
                <w:w w:val="90"/>
              </w:rPr>
              <w:t>. . . . . . . . . . . .</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206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236</w:t>
            </w:r>
          </w:p>
        </w:tc>
        <w:tc>
          <w:tcPr>
            <w:tcW w:w="0" w:type="dxa"/>
            <w:vAlign w:val="bottom"/>
          </w:tcPr>
          <w:p>
            <w:pPr>
              <w:spacing w:after="0"/>
              <w:rPr>
                <w:sz w:val="1"/>
                <w:szCs w:val="1"/>
                <w:color w:val="auto"/>
              </w:rPr>
            </w:pPr>
          </w:p>
        </w:tc>
      </w:tr>
      <w:tr>
        <w:trPr>
          <w:trHeight w:val="232"/>
        </w:trPr>
        <w:tc>
          <w:tcPr>
            <w:tcW w:w="6540" w:type="dxa"/>
            <w:vAlign w:val="bottom"/>
          </w:tcPr>
          <w:p>
            <w:pPr>
              <w:jc w:val="right"/>
              <w:ind w:right="2"/>
              <w:spacing w:after="0"/>
              <w:rPr>
                <w:sz w:val="20"/>
                <w:szCs w:val="20"/>
                <w:color w:val="auto"/>
              </w:rPr>
            </w:pPr>
            <w:r>
              <w:rPr>
                <w:rFonts w:ascii="Arial" w:cs="Arial" w:eastAsia="Arial" w:hAnsi="Arial"/>
                <w:sz w:val="20"/>
                <w:szCs w:val="20"/>
                <w:color w:val="auto"/>
                <w:w w:val="90"/>
              </w:rPr>
              <w:t>Incremental shares attributable to the issuance of equity compensation (treasury</w:t>
            </w:r>
          </w:p>
        </w:tc>
        <w:tc>
          <w:tcPr>
            <w:tcW w:w="26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8"/>
        </w:trPr>
        <w:tc>
          <w:tcPr>
            <w:tcW w:w="6540" w:type="dxa"/>
            <w:vAlign w:val="bottom"/>
          </w:tcPr>
          <w:p>
            <w:pPr>
              <w:jc w:val="right"/>
              <w:spacing w:after="0"/>
              <w:rPr>
                <w:sz w:val="20"/>
                <w:szCs w:val="20"/>
                <w:color w:val="auto"/>
              </w:rPr>
            </w:pPr>
            <w:r>
              <w:rPr>
                <w:rFonts w:ascii="Arial" w:cs="Arial" w:eastAsia="Arial" w:hAnsi="Arial"/>
                <w:sz w:val="20"/>
                <w:szCs w:val="20"/>
                <w:color w:val="auto"/>
                <w:w w:val="91"/>
              </w:rPr>
              <w:t xml:space="preserve">stock method) </w:t>
            </w:r>
            <w:r>
              <w:rPr>
                <w:rFonts w:ascii="Arial" w:cs="Arial" w:eastAsia="Arial" w:hAnsi="Arial"/>
                <w:sz w:val="20"/>
                <w:szCs w:val="20"/>
                <w:color w:val="B4B4B4"/>
                <w:w w:val="91"/>
              </w:rPr>
              <w:t>. . . . . . . . . . . . . . . . . . . . . . . . . . . . . . . . . . . . . . . . . . . . . . . . . . . .</w:t>
            </w: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540" w:type="dxa"/>
            <w:vAlign w:val="bottom"/>
          </w:tcPr>
          <w:p>
            <w:pPr>
              <w:jc w:val="right"/>
              <w:ind w:right="122"/>
              <w:spacing w:after="0"/>
              <w:rPr>
                <w:sz w:val="20"/>
                <w:szCs w:val="20"/>
                <w:color w:val="auto"/>
              </w:rPr>
            </w:pPr>
            <w:r>
              <w:rPr>
                <w:rFonts w:ascii="Arial" w:cs="Arial" w:eastAsia="Arial" w:hAnsi="Arial"/>
                <w:sz w:val="20"/>
                <w:szCs w:val="20"/>
                <w:color w:val="auto"/>
                <w:w w:val="90"/>
              </w:rPr>
              <w:t>Incremental shares attributable to the potential share settlement of Convertible</w:t>
            </w:r>
          </w:p>
        </w:tc>
        <w:tc>
          <w:tcPr>
            <w:tcW w:w="26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8"/>
        </w:trPr>
        <w:tc>
          <w:tcPr>
            <w:tcW w:w="6540" w:type="dxa"/>
            <w:vAlign w:val="bottom"/>
          </w:tcPr>
          <w:p>
            <w:pPr>
              <w:jc w:val="right"/>
              <w:spacing w:after="0"/>
              <w:rPr>
                <w:sz w:val="20"/>
                <w:szCs w:val="20"/>
                <w:color w:val="auto"/>
              </w:rPr>
            </w:pPr>
            <w:r>
              <w:rPr>
                <w:rFonts w:ascii="Arial" w:cs="Arial" w:eastAsia="Arial" w:hAnsi="Arial"/>
                <w:sz w:val="20"/>
                <w:szCs w:val="20"/>
                <w:color w:val="auto"/>
                <w:w w:val="91"/>
              </w:rPr>
              <w:t xml:space="preserve">Senior Notes (if converted method)  </w:t>
            </w:r>
            <w:r>
              <w:rPr>
                <w:rFonts w:ascii="Arial" w:cs="Arial" w:eastAsia="Arial" w:hAnsi="Arial"/>
                <w:sz w:val="20"/>
                <w:szCs w:val="20"/>
                <w:color w:val="B4B4B4"/>
                <w:w w:val="91"/>
              </w:rPr>
              <w:t>. . . . . . . . . . . . . . . . . . . . . . . . . . . . . . . . . . .</w:t>
            </w: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540" w:type="dxa"/>
            <w:vAlign w:val="bottom"/>
          </w:tcPr>
          <w:p>
            <w:pPr>
              <w:jc w:val="right"/>
              <w:spacing w:after="0"/>
              <w:rPr>
                <w:sz w:val="20"/>
                <w:szCs w:val="20"/>
                <w:color w:val="auto"/>
              </w:rPr>
            </w:pPr>
            <w:r>
              <w:rPr>
                <w:rFonts w:ascii="Arial" w:cs="Arial" w:eastAsia="Arial" w:hAnsi="Arial"/>
                <w:sz w:val="20"/>
                <w:szCs w:val="20"/>
                <w:color w:val="auto"/>
                <w:w w:val="91"/>
              </w:rPr>
              <w:t xml:space="preserve">Weighted average number of common shares outstanding - diluted  </w:t>
            </w:r>
            <w:r>
              <w:rPr>
                <w:rFonts w:ascii="Arial" w:cs="Arial" w:eastAsia="Arial" w:hAnsi="Arial"/>
                <w:sz w:val="20"/>
                <w:szCs w:val="20"/>
                <w:color w:val="B4B4B4"/>
                <w:w w:val="91"/>
              </w:rPr>
              <w:t>. . . . . . . . . .</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212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236</w:t>
            </w:r>
          </w:p>
        </w:tc>
        <w:tc>
          <w:tcPr>
            <w:tcW w:w="0" w:type="dxa"/>
            <w:vAlign w:val="bottom"/>
          </w:tcPr>
          <w:p>
            <w:pPr>
              <w:spacing w:after="0"/>
              <w:rPr>
                <w:sz w:val="1"/>
                <w:szCs w:val="1"/>
                <w:color w:val="auto"/>
              </w:rPr>
            </w:pPr>
          </w:p>
        </w:tc>
      </w:tr>
      <w:tr>
        <w:trPr>
          <w:trHeight w:val="279"/>
        </w:trPr>
        <w:tc>
          <w:tcPr>
            <w:tcW w:w="654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Income/(Loss) per weighted average common share — diluted </w:t>
            </w:r>
            <w:r>
              <w:rPr>
                <w:rFonts w:ascii="Arial" w:cs="Arial" w:eastAsia="Arial" w:hAnsi="Arial"/>
                <w:sz w:val="20"/>
                <w:szCs w:val="20"/>
                <w:b w:val="1"/>
                <w:bCs w:val="1"/>
                <w:color w:val="B4B4B4"/>
                <w:w w:val="89"/>
              </w:rPr>
              <w:t>. . . . . . . . . . . .</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4.99</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(1.12)</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5.17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-3095625</wp:posOffset>
            </wp:positionV>
            <wp:extent cx="6456680" cy="31026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56">
                      <a:extLst>
                        <a:ext uri="{28A0092B-C50C-407E-A947-70E740481C1C}"/>
                      </a:extLst>
                    </a:blip>
                    <a:srcRect/>
                    <a:stretch>
                      <a:fillRect/>
                    </a:stretch>
                  </pic:blipFill>
                  <pic:spPr bwMode="auto">
                    <a:xfrm>
                      <a:off x="0" y="0"/>
                      <a:ext cx="6456680" cy="3102610"/>
                    </a:xfrm>
                    <a:prstGeom prst="rect">
                      <a:avLst/>
                    </a:prstGeom>
                    <a:noFill/>
                  </pic:spPr>
                </pic:pic>
              </a:graphicData>
            </a:graphic>
          </wp:anchor>
        </w:drawing>
      </w:r>
    </w:p>
    <w:p>
      <w:pPr>
        <w:spacing w:after="0" w:line="10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As of December 31, 2024 and 2022, the Company had an insignificant number of outstanding equity instruments that were anti-dilutive and were not included in the computation of the Company’s diluted income per share. As of December 31, 2023, the Company had 6 million of outstanding equity instruments that were anti-dilutive and were not included in the computation of the Company’s diluted loss per share.</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w:t>
      </w:r>
    </w:p>
    <w:p>
      <w:pPr>
        <w:sectPr>
          <w:pgSz w:w="11880" w:h="15480" w:orient="portrait"/>
          <w:cols w:equalWidth="0" w:num="1">
            <w:col w:w="10160"/>
          </w:cols>
          <w:pgMar w:left="860" w:top="505" w:right="860" w:bottom="0" w:gutter="0" w:footer="0" w:header="0"/>
          <w:type w:val="continuous"/>
        </w:sectPr>
      </w:pPr>
    </w:p>
    <w:bookmarkStart w:id="149" w:name="page150"/>
    <w:bookmarkEnd w:id="149"/>
    <w:p>
      <w:pPr>
        <w:spacing w:after="0"/>
        <w:rPr>
          <w:sz w:val="20"/>
          <w:szCs w:val="20"/>
          <w:color w:val="auto"/>
        </w:rPr>
      </w:pPr>
      <w:r>
        <w:rPr>
          <w:rFonts w:ascii="Arial" w:cs="Arial" w:eastAsia="Arial" w:hAnsi="Arial"/>
          <w:sz w:val="20"/>
          <w:szCs w:val="20"/>
          <w:b w:val="1"/>
          <w:bCs w:val="1"/>
          <w:color w:val="auto"/>
        </w:rPr>
        <w:t xml:space="preserve">Note 18 — </w:t>
      </w:r>
      <w:r>
        <w:rPr>
          <w:rFonts w:ascii="Arial" w:cs="Arial" w:eastAsia="Arial" w:hAnsi="Arial"/>
          <w:sz w:val="20"/>
          <w:szCs w:val="20"/>
          <w:b w:val="1"/>
          <w:bCs w:val="1"/>
          <w:i w:val="1"/>
          <w:iCs w:val="1"/>
          <w:color w:val="auto"/>
        </w:rPr>
        <w:t>Segment Reporting</w:t>
      </w:r>
    </w:p>
    <w:p>
      <w:pPr>
        <w:spacing w:after="0" w:line="134"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8"/>
          <w:szCs w:val="18"/>
          <w:color w:val="auto"/>
        </w:rPr>
        <w:t xml:space="preserve">The Company’s segment structure reflects how management makes financial decisions and allocates resources. The Company manages its operations based on the combined results of the retail, wholesale and generation businesses with a geographical focus except for Vivint Smart Home operations which are reported within the Vivint Smart Home segment. Corporate represents the corporate business activities, and corporate shared services, to support the Company’s operating segments. Beginning in the fourth quarter of 2024, Corporate now includes interest expense related to its consolidated debt financing activities and income tax expense related to its consolidated U.S. federal, foreign and state income taxes conforming to the way the Company internally manages and monitors the business. Prior periods amounts have been recast for comparative purposes to reflect this change, which had no impact on the Company’s consolidated financial position, results of operations, and cash flows. The accounting policies of the segments are the same as those applied in the consolidated financial statements as disclosed in Note 2, </w:t>
      </w:r>
      <w:r>
        <w:rPr>
          <w:rFonts w:ascii="Arial" w:cs="Arial" w:eastAsia="Arial" w:hAnsi="Arial"/>
          <w:sz w:val="18"/>
          <w:szCs w:val="18"/>
          <w:b w:val="1"/>
          <w:bCs w:val="1"/>
          <w:i w:val="1"/>
          <w:iCs w:val="1"/>
          <w:color w:val="auto"/>
        </w:rPr>
        <w:t>Summary of Significant Accounting Policies</w:t>
      </w:r>
      <w:r>
        <w:rPr>
          <w:rFonts w:ascii="Arial" w:cs="Arial" w:eastAsia="Arial" w:hAnsi="Arial"/>
          <w:sz w:val="18"/>
          <w:szCs w:val="18"/>
          <w:color w:val="auto"/>
        </w:rPr>
        <w:t>.</w:t>
      </w:r>
    </w:p>
    <w:p>
      <w:pPr>
        <w:spacing w:after="0" w:line="63"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NRG's chief operating decision maker ("CODM"), its chief executive officer, uses more than one measure to evaluate the performance of its segments and allocate resources, including net income/(loss) and various non-GAAP financial measures such as adjusted earnings before interest, taxes, depreciation and amortization, or Adjusted EBITDA. Net income/(loss) and Adjusted EBITDA are used to review business performance and allocate resources as it provides a clearer view of segment profitability by focusing on operational performance. Additionally, operating expenses’ impact on each operating segment results are analyzed. On a monthly basis, Adjusted EBITDA is compared against the budget, latest forecast, and prior period.</w:t>
      </w:r>
    </w:p>
    <w:p>
      <w:pPr>
        <w:spacing w:after="0" w:line="5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The Company had no customer that comprised more than 10% of the Company's consolidated revenues during the years ended December 31, 2024, 2023 and 2022.</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Intersegment sales are accounted for at market.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9"/>
          </w:tcPr>
          <w:p>
            <w:pPr>
              <w:jc w:val="right"/>
              <w:ind w:right="106"/>
              <w:spacing w:after="0"/>
              <w:rPr>
                <w:sz w:val="20"/>
                <w:szCs w:val="20"/>
                <w:color w:val="auto"/>
              </w:rPr>
            </w:pPr>
            <w:r>
              <w:rPr>
                <w:rFonts w:ascii="Arial" w:cs="Arial" w:eastAsia="Arial" w:hAnsi="Arial"/>
                <w:sz w:val="16"/>
                <w:szCs w:val="16"/>
                <w:b w:val="1"/>
                <w:bCs w:val="1"/>
                <w:color w:val="auto"/>
                <w:w w:val="94"/>
              </w:rPr>
              <w:t>For the Year Ended December 31, 2024</w:t>
            </w: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right="64"/>
              <w:spacing w:after="0"/>
              <w:rPr>
                <w:sz w:val="20"/>
                <w:szCs w:val="20"/>
                <w:color w:val="auto"/>
              </w:rPr>
            </w:pPr>
            <w:r>
              <w:rPr>
                <w:rFonts w:ascii="Arial" w:cs="Arial" w:eastAsia="Arial" w:hAnsi="Arial"/>
                <w:sz w:val="16"/>
                <w:szCs w:val="16"/>
                <w:b w:val="1"/>
                <w:bCs w:val="1"/>
                <w:color w:val="auto"/>
                <w:w w:val="88"/>
              </w:rPr>
              <w:t>West/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ind w:left="20"/>
              <w:spacing w:after="0"/>
              <w:rPr>
                <w:sz w:val="20"/>
                <w:szCs w:val="20"/>
                <w:color w:val="auto"/>
              </w:rPr>
            </w:pPr>
            <w:r>
              <w:rPr>
                <w:rFonts w:ascii="Arial" w:cs="Arial" w:eastAsia="Arial" w:hAnsi="Arial"/>
                <w:sz w:val="16"/>
                <w:szCs w:val="16"/>
                <w:b w:val="1"/>
                <w:bCs w:val="1"/>
                <w:color w:val="auto"/>
              </w:rPr>
              <w:t>Vivint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5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3"/>
                <w:szCs w:val="13"/>
                <w:color w:val="auto"/>
              </w:rPr>
            </w:pPr>
          </w:p>
        </w:tc>
        <w:tc>
          <w:tcPr>
            <w:tcW w:w="620" w:type="dxa"/>
            <w:vAlign w:val="bottom"/>
            <w:vMerge w:val="restart"/>
          </w:tcPr>
          <w:p>
            <w:pPr>
              <w:jc w:val="right"/>
              <w:ind w:right="82"/>
              <w:spacing w:after="0"/>
              <w:rPr>
                <w:sz w:val="20"/>
                <w:szCs w:val="20"/>
                <w:color w:val="auto"/>
              </w:rPr>
            </w:pPr>
            <w:r>
              <w:rPr>
                <w:rFonts w:ascii="Arial" w:cs="Arial" w:eastAsia="Arial" w:hAnsi="Arial"/>
                <w:sz w:val="16"/>
                <w:szCs w:val="16"/>
                <w:b w:val="1"/>
                <w:bCs w:val="1"/>
                <w:color w:val="auto"/>
                <w:w w:val="92"/>
              </w:rPr>
              <w:t>Texas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East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84"/>
              <w:spacing w:after="0" w:line="158" w:lineRule="exact"/>
              <w:rPr>
                <w:sz w:val="20"/>
                <w:szCs w:val="20"/>
                <w:color w:val="auto"/>
              </w:rPr>
            </w:pPr>
            <w:r>
              <w:rPr>
                <w:rFonts w:ascii="Arial" w:cs="Arial" w:eastAsia="Arial" w:hAnsi="Arial"/>
                <w:sz w:val="16"/>
                <w:szCs w:val="16"/>
                <w:b w:val="1"/>
                <w:bCs w:val="1"/>
                <w:color w:val="auto"/>
                <w:w w:val="85"/>
              </w:rPr>
              <w:t>Services/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Smart</w:t>
            </w:r>
          </w:p>
        </w:tc>
        <w:tc>
          <w:tcPr>
            <w:tcW w:w="60" w:type="dxa"/>
            <w:vAlign w:val="bottom"/>
          </w:tcPr>
          <w:p>
            <w:pPr>
              <w:spacing w:after="0"/>
              <w:rPr>
                <w:sz w:val="13"/>
                <w:szCs w:val="13"/>
                <w:color w:val="auto"/>
              </w:rPr>
            </w:pPr>
          </w:p>
        </w:tc>
        <w:tc>
          <w:tcPr>
            <w:tcW w:w="1000" w:type="dxa"/>
            <w:vAlign w:val="bottom"/>
            <w:gridSpan w:val="2"/>
            <w:vMerge w:val="restart"/>
          </w:tcPr>
          <w:p>
            <w:pPr>
              <w:jc w:val="right"/>
              <w:ind w:right="1"/>
              <w:spacing w:after="0"/>
              <w:rPr>
                <w:sz w:val="20"/>
                <w:szCs w:val="20"/>
                <w:color w:val="auto"/>
              </w:rPr>
            </w:pPr>
            <w:r>
              <w:rPr>
                <w:rFonts w:ascii="Arial" w:cs="Arial" w:eastAsia="Arial" w:hAnsi="Arial"/>
                <w:sz w:val="16"/>
                <w:szCs w:val="16"/>
                <w:b w:val="1"/>
                <w:bCs w:val="1"/>
                <w:color w:val="auto"/>
                <w:w w:val="94"/>
              </w:rPr>
              <w:t>Corporate</w:t>
            </w:r>
            <w:r>
              <w:rPr>
                <w:rFonts w:ascii="Arial" w:cs="Arial" w:eastAsia="Arial" w:hAnsi="Arial"/>
                <w:sz w:val="20"/>
                <w:szCs w:val="20"/>
                <w:b w:val="1"/>
                <w:bCs w:val="1"/>
                <w:color w:val="auto"/>
                <w:w w:val="94"/>
                <w:vertAlign w:val="superscript"/>
              </w:rPr>
              <w:t>(a)</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5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84"/>
              <w:spacing w:after="0"/>
              <w:rPr>
                <w:sz w:val="20"/>
                <w:szCs w:val="20"/>
                <w:color w:val="auto"/>
              </w:rPr>
            </w:pPr>
            <w:r>
              <w:rPr>
                <w:rFonts w:ascii="Arial" w:cs="Arial" w:eastAsia="Arial" w:hAnsi="Arial"/>
                <w:sz w:val="16"/>
                <w:szCs w:val="16"/>
                <w:b w:val="1"/>
                <w:bCs w:val="1"/>
                <w:color w:val="auto"/>
                <w:w w:val="93"/>
              </w:rPr>
              <w:t>Other</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Home</w:t>
            </w:r>
          </w:p>
        </w:tc>
        <w:tc>
          <w:tcPr>
            <w:tcW w:w="60" w:type="dxa"/>
            <w:vAlign w:val="bottom"/>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Eliminations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3500" w:type="dxa"/>
            <w:vAlign w:val="bottom"/>
          </w:tcPr>
          <w:p>
            <w:pPr>
              <w:jc w:val="right"/>
              <w:spacing w:after="0"/>
              <w:rPr>
                <w:sz w:val="20"/>
                <w:szCs w:val="20"/>
                <w:color w:val="auto"/>
              </w:rPr>
            </w:pPr>
            <w:r>
              <w:rPr>
                <w:rFonts w:ascii="Arial" w:cs="Arial" w:eastAsia="Arial" w:hAnsi="Arial"/>
                <w:sz w:val="20"/>
                <w:szCs w:val="20"/>
                <w:b w:val="1"/>
                <w:bCs w:val="1"/>
                <w:color w:val="B4B4B4"/>
                <w:w w:val="90"/>
              </w:rPr>
              <w:t>. . . . . . . . . . . . . . . . . . . . . . . . .</w:t>
            </w:r>
            <w:r>
              <w:rPr>
                <w:rFonts w:ascii="Arial" w:cs="Arial" w:eastAsia="Arial" w:hAnsi="Arial"/>
                <w:sz w:val="20"/>
                <w:szCs w:val="20"/>
                <w:b w:val="1"/>
                <w:bCs w:val="1"/>
                <w:color w:val="000000"/>
                <w:w w:val="90"/>
              </w:rPr>
              <w:t>Revenue</w:t>
            </w:r>
            <w:r>
              <w:rPr>
                <w:rFonts w:ascii="Arial" w:cs="Arial" w:eastAsia="Arial" w:hAnsi="Arial"/>
                <w:sz w:val="25"/>
                <w:szCs w:val="25"/>
                <w:b w:val="1"/>
                <w:bCs w:val="1"/>
                <w:color w:val="000000"/>
                <w:w w:val="90"/>
                <w:vertAlign w:val="superscript"/>
              </w:rPr>
              <w:t>(a)</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84"/>
              </w:rPr>
              <w:t>10,653</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88"/>
              </w:rPr>
              <w:t>11,707</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3,886</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1,932</w:t>
            </w:r>
          </w:p>
        </w:tc>
        <w:tc>
          <w:tcPr>
            <w:tcW w:w="32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gridSpan w:val="2"/>
          </w:tcPr>
          <w:p>
            <w:pPr>
              <w:jc w:val="right"/>
              <w:ind w:right="6"/>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(48)</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28,130</w:t>
            </w:r>
          </w:p>
        </w:tc>
        <w:tc>
          <w:tcPr>
            <w:tcW w:w="0" w:type="dxa"/>
            <w:vAlign w:val="bottom"/>
          </w:tcPr>
          <w:p>
            <w:pPr>
              <w:spacing w:after="0"/>
              <w:rPr>
                <w:sz w:val="1"/>
                <w:szCs w:val="1"/>
                <w:color w:val="auto"/>
              </w:rPr>
            </w:pPr>
          </w:p>
        </w:tc>
      </w:tr>
      <w:tr>
        <w:trPr>
          <w:trHeight w:val="258"/>
        </w:trPr>
        <w:tc>
          <w:tcPr>
            <w:tcW w:w="3500" w:type="dxa"/>
            <w:vAlign w:val="bottom"/>
          </w:tcPr>
          <w:p>
            <w:pPr>
              <w:jc w:val="right"/>
              <w:spacing w:after="0"/>
              <w:rPr>
                <w:sz w:val="20"/>
                <w:szCs w:val="20"/>
                <w:color w:val="auto"/>
              </w:rPr>
            </w:pPr>
            <w:r>
              <w:rPr>
                <w:rFonts w:ascii="Arial" w:cs="Arial" w:eastAsia="Arial" w:hAnsi="Arial"/>
                <w:sz w:val="20"/>
                <w:szCs w:val="20"/>
                <w:color w:val="auto"/>
                <w:w w:val="90"/>
              </w:rPr>
              <w:t xml:space="preserve">Operating Expenses </w:t>
            </w:r>
            <w:r>
              <w:rPr>
                <w:rFonts w:ascii="Arial" w:cs="Arial" w:eastAsia="Arial" w:hAnsi="Arial"/>
                <w:sz w:val="20"/>
                <w:szCs w:val="20"/>
                <w:color w:val="B4B4B4"/>
                <w:w w:val="90"/>
              </w:rPr>
              <w:t>. . . . . . . . . . . . . . . . . .</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9,785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9,746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3,874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1,037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1"/>
              <w:spacing w:after="0"/>
              <w:rPr>
                <w:sz w:val="20"/>
                <w:szCs w:val="20"/>
                <w:color w:val="auto"/>
              </w:rPr>
            </w:pPr>
            <w:r>
              <w:rPr>
                <w:rFonts w:ascii="Arial" w:cs="Arial" w:eastAsia="Arial" w:hAnsi="Arial"/>
                <w:sz w:val="20"/>
                <w:szCs w:val="20"/>
                <w:color w:val="auto"/>
              </w:rPr>
              <w:t>81</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24,475</w:t>
            </w:r>
          </w:p>
        </w:tc>
        <w:tc>
          <w:tcPr>
            <w:tcW w:w="0" w:type="dxa"/>
            <w:vAlign w:val="bottom"/>
          </w:tcPr>
          <w:p>
            <w:pPr>
              <w:spacing w:after="0"/>
              <w:rPr>
                <w:sz w:val="1"/>
                <w:szCs w:val="1"/>
                <w:color w:val="auto"/>
              </w:rPr>
            </w:pPr>
          </w:p>
        </w:tc>
      </w:tr>
      <w:tr>
        <w:trPr>
          <w:trHeight w:val="303"/>
        </w:trPr>
        <w:tc>
          <w:tcPr>
            <w:tcW w:w="350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w w:val="91"/>
              </w:rPr>
              <w:t xml:space="preserve">Depreciation and amortization </w:t>
            </w:r>
            <w:r>
              <w:rPr>
                <w:rFonts w:ascii="Arial" w:cs="Arial" w:eastAsia="Arial" w:hAnsi="Arial"/>
                <w:sz w:val="20"/>
                <w:szCs w:val="20"/>
                <w:color w:val="B4B4B4"/>
                <w:w w:val="91"/>
              </w:rPr>
              <w:t>. . . . . . . . . .</w:t>
            </w:r>
          </w:p>
        </w:tc>
        <w:tc>
          <w:tcPr>
            <w:tcW w:w="160" w:type="dxa"/>
            <w:vAlign w:val="bottom"/>
            <w:tcBorders>
              <w:bottom w:val="single" w:sz="8" w:color="E6E6E6"/>
            </w:tcBorders>
          </w:tcPr>
          <w:p>
            <w:pPr>
              <w:spacing w:after="0"/>
              <w:rPr>
                <w:sz w:val="24"/>
                <w:szCs w:val="24"/>
                <w:color w:val="auto"/>
              </w:rPr>
            </w:pPr>
          </w:p>
        </w:tc>
        <w:tc>
          <w:tcPr>
            <w:tcW w:w="62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323</w:t>
            </w:r>
          </w:p>
        </w:tc>
        <w:tc>
          <w:tcPr>
            <w:tcW w:w="60" w:type="dxa"/>
            <w:vAlign w:val="bottom"/>
            <w:tcBorders>
              <w:bottom w:val="single" w:sz="8" w:color="E6E6E6"/>
            </w:tcBorders>
          </w:tcPr>
          <w:p>
            <w:pPr>
              <w:spacing w:after="0"/>
              <w:rPr>
                <w:sz w:val="24"/>
                <w:szCs w:val="24"/>
                <w:color w:val="auto"/>
              </w:rPr>
            </w:pPr>
          </w:p>
        </w:tc>
        <w:tc>
          <w:tcPr>
            <w:tcW w:w="140" w:type="dxa"/>
            <w:vAlign w:val="bottom"/>
            <w:tcBorders>
              <w:bottom w:val="single" w:sz="8" w:color="E6E6E6"/>
            </w:tcBorders>
          </w:tcPr>
          <w:p>
            <w:pPr>
              <w:spacing w:after="0"/>
              <w:rPr>
                <w:sz w:val="24"/>
                <w:szCs w:val="24"/>
                <w:color w:val="auto"/>
              </w:rPr>
            </w:pPr>
          </w:p>
        </w:tc>
        <w:tc>
          <w:tcPr>
            <w:tcW w:w="62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158</w:t>
            </w: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82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114</w:t>
            </w:r>
          </w:p>
        </w:tc>
        <w:tc>
          <w:tcPr>
            <w:tcW w:w="6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62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767</w:t>
            </w:r>
          </w:p>
        </w:tc>
        <w:tc>
          <w:tcPr>
            <w:tcW w:w="60" w:type="dxa"/>
            <w:vAlign w:val="bottom"/>
            <w:tcBorders>
              <w:bottom w:val="single" w:sz="8" w:color="E6E6E6"/>
            </w:tcBorders>
          </w:tcPr>
          <w:p>
            <w:pPr>
              <w:spacing w:after="0"/>
              <w:rPr>
                <w:sz w:val="24"/>
                <w:szCs w:val="24"/>
                <w:color w:val="auto"/>
              </w:rPr>
            </w:pPr>
          </w:p>
        </w:tc>
        <w:tc>
          <w:tcPr>
            <w:tcW w:w="260" w:type="dxa"/>
            <w:vAlign w:val="bottom"/>
            <w:tcBorders>
              <w:bottom w:val="single" w:sz="8" w:color="E6E6E6"/>
            </w:tcBorders>
          </w:tcPr>
          <w:p>
            <w:pPr>
              <w:spacing w:after="0"/>
              <w:rPr>
                <w:sz w:val="24"/>
                <w:szCs w:val="24"/>
                <w:color w:val="auto"/>
              </w:rPr>
            </w:pPr>
          </w:p>
        </w:tc>
        <w:tc>
          <w:tcPr>
            <w:tcW w:w="740" w:type="dxa"/>
            <w:vAlign w:val="bottom"/>
            <w:tcBorders>
              <w:bottom w:val="single" w:sz="8" w:color="E6E6E6"/>
            </w:tcBorders>
          </w:tcPr>
          <w:p>
            <w:pPr>
              <w:jc w:val="right"/>
              <w:ind w:right="1"/>
              <w:spacing w:after="0"/>
              <w:rPr>
                <w:sz w:val="20"/>
                <w:szCs w:val="20"/>
                <w:color w:val="auto"/>
              </w:rPr>
            </w:pPr>
            <w:r>
              <w:rPr>
                <w:rFonts w:ascii="Arial" w:cs="Arial" w:eastAsia="Arial" w:hAnsi="Arial"/>
                <w:sz w:val="20"/>
                <w:szCs w:val="20"/>
                <w:color w:val="auto"/>
              </w:rPr>
              <w:t>41</w:t>
            </w:r>
          </w:p>
        </w:tc>
        <w:tc>
          <w:tcPr>
            <w:tcW w:w="40" w:type="dxa"/>
            <w:vAlign w:val="bottom"/>
            <w:tcBorders>
              <w:bottom w:val="single" w:sz="8" w:color="E6E6E6"/>
            </w:tcBorders>
          </w:tcPr>
          <w:p>
            <w:pPr>
              <w:spacing w:after="0"/>
              <w:rPr>
                <w:sz w:val="24"/>
                <w:szCs w:val="24"/>
                <w:color w:val="auto"/>
              </w:rPr>
            </w:pPr>
          </w:p>
        </w:tc>
        <w:tc>
          <w:tcPr>
            <w:tcW w:w="240" w:type="dxa"/>
            <w:vAlign w:val="bottom"/>
            <w:tcBorders>
              <w:bottom w:val="single" w:sz="8" w:color="E6E6E6"/>
            </w:tcBorders>
          </w:tcPr>
          <w:p>
            <w:pPr>
              <w:spacing w:after="0"/>
              <w:rPr>
                <w:sz w:val="24"/>
                <w:szCs w:val="24"/>
                <w:color w:val="auto"/>
              </w:rPr>
            </w:pPr>
          </w:p>
        </w:tc>
        <w:tc>
          <w:tcPr>
            <w:tcW w:w="76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E6E6E6"/>
            </w:tcBorders>
          </w:tcPr>
          <w:p>
            <w:pPr>
              <w:spacing w:after="0"/>
              <w:rPr>
                <w:sz w:val="24"/>
                <w:szCs w:val="24"/>
                <w:color w:val="auto"/>
              </w:rPr>
            </w:pPr>
          </w:p>
        </w:tc>
        <w:tc>
          <w:tcPr>
            <w:tcW w:w="76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1,403</w:t>
            </w:r>
          </w:p>
        </w:tc>
        <w:tc>
          <w:tcPr>
            <w:tcW w:w="0" w:type="dxa"/>
            <w:vAlign w:val="bottom"/>
          </w:tcPr>
          <w:p>
            <w:pPr>
              <w:spacing w:after="0"/>
              <w:rPr>
                <w:sz w:val="1"/>
                <w:szCs w:val="1"/>
                <w:color w:val="auto"/>
              </w:rPr>
            </w:pPr>
          </w:p>
        </w:tc>
      </w:tr>
      <w:tr>
        <w:trPr>
          <w:trHeight w:val="274"/>
        </w:trPr>
        <w:tc>
          <w:tcPr>
            <w:tcW w:w="3500" w:type="dxa"/>
            <w:vAlign w:val="bottom"/>
          </w:tcPr>
          <w:p>
            <w:pPr>
              <w:jc w:val="right"/>
              <w:spacing w:after="0"/>
              <w:rPr>
                <w:sz w:val="20"/>
                <w:szCs w:val="20"/>
                <w:color w:val="auto"/>
              </w:rPr>
            </w:pPr>
            <w:r>
              <w:rPr>
                <w:rFonts w:ascii="Arial" w:cs="Arial" w:eastAsia="Arial" w:hAnsi="Arial"/>
                <w:sz w:val="20"/>
                <w:szCs w:val="20"/>
                <w:color w:val="auto"/>
                <w:w w:val="91"/>
              </w:rPr>
              <w:t xml:space="preserve">Impairment losses </w:t>
            </w:r>
            <w:r>
              <w:rPr>
                <w:rFonts w:ascii="Arial" w:cs="Arial" w:eastAsia="Arial" w:hAnsi="Arial"/>
                <w:sz w:val="20"/>
                <w:szCs w:val="20"/>
                <w:color w:val="B4B4B4"/>
                <w:w w:val="91"/>
              </w:rPr>
              <w:t>. . . . . . . . . . . . . . . . . . .</w:t>
            </w: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75"/>
        </w:trPr>
        <w:tc>
          <w:tcPr>
            <w:tcW w:w="3500" w:type="dxa"/>
            <w:vAlign w:val="bottom"/>
          </w:tcPr>
          <w:p>
            <w:pPr>
              <w:jc w:val="right"/>
              <w:spacing w:after="0"/>
              <w:rPr>
                <w:sz w:val="20"/>
                <w:szCs w:val="20"/>
                <w:color w:val="auto"/>
              </w:rPr>
            </w:pPr>
            <w:r>
              <w:rPr>
                <w:rFonts w:ascii="Arial" w:cs="Arial" w:eastAsia="Arial" w:hAnsi="Arial"/>
                <w:sz w:val="20"/>
                <w:szCs w:val="20"/>
                <w:b w:val="1"/>
                <w:bCs w:val="1"/>
                <w:color w:val="auto"/>
                <w:w w:val="94"/>
              </w:rPr>
              <w:t xml:space="preserve">Total operating cost and expenses </w:t>
            </w:r>
            <w:r>
              <w:rPr>
                <w:rFonts w:ascii="Arial" w:cs="Arial" w:eastAsia="Arial" w:hAnsi="Arial"/>
                <w:sz w:val="20"/>
                <w:szCs w:val="20"/>
                <w:b w:val="1"/>
                <w:bCs w:val="1"/>
                <w:color w:val="B4B4B4"/>
                <w:w w:val="94"/>
              </w:rPr>
              <w:t>. . .</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10,115</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9,904</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4,017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1,804</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
              <w:spacing w:after="0"/>
              <w:rPr>
                <w:sz w:val="20"/>
                <w:szCs w:val="20"/>
                <w:color w:val="auto"/>
              </w:rPr>
            </w:pPr>
            <w:r>
              <w:rPr>
                <w:rFonts w:ascii="Arial" w:cs="Arial" w:eastAsia="Arial" w:hAnsi="Arial"/>
                <w:sz w:val="20"/>
                <w:szCs w:val="20"/>
                <w:color w:val="auto"/>
              </w:rPr>
              <w:t>122</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(48)</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25,914</w:t>
            </w:r>
          </w:p>
        </w:tc>
        <w:tc>
          <w:tcPr>
            <w:tcW w:w="0" w:type="dxa"/>
            <w:vAlign w:val="bottom"/>
          </w:tcPr>
          <w:p>
            <w:pPr>
              <w:spacing w:after="0"/>
              <w:rPr>
                <w:sz w:val="1"/>
                <w:szCs w:val="1"/>
                <w:color w:val="auto"/>
              </w:rPr>
            </w:pPr>
          </w:p>
        </w:tc>
      </w:tr>
      <w:tr>
        <w:trPr>
          <w:trHeight w:val="299"/>
        </w:trPr>
        <w:tc>
          <w:tcPr>
            <w:tcW w:w="3500" w:type="dxa"/>
            <w:vAlign w:val="bottom"/>
          </w:tcPr>
          <w:p>
            <w:pPr>
              <w:jc w:val="right"/>
              <w:spacing w:after="0"/>
              <w:rPr>
                <w:sz w:val="20"/>
                <w:szCs w:val="20"/>
                <w:color w:val="auto"/>
              </w:rPr>
            </w:pPr>
            <w:r>
              <w:rPr>
                <w:rFonts w:ascii="Arial" w:cs="Arial" w:eastAsia="Arial" w:hAnsi="Arial"/>
                <w:sz w:val="20"/>
                <w:szCs w:val="20"/>
                <w:color w:val="auto"/>
                <w:w w:val="90"/>
              </w:rPr>
              <w:t xml:space="preserve">(Loss)/gain on sale of assets </w:t>
            </w:r>
            <w:r>
              <w:rPr>
                <w:rFonts w:ascii="Arial" w:cs="Arial" w:eastAsia="Arial" w:hAnsi="Arial"/>
                <w:sz w:val="20"/>
                <w:szCs w:val="20"/>
                <w:color w:val="B4B4B4"/>
                <w:w w:val="90"/>
              </w:rPr>
              <w:t>. . . . . . . . . . .</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208</w:t>
            </w:r>
          </w:p>
        </w:tc>
        <w:tc>
          <w:tcPr>
            <w:tcW w:w="0" w:type="dxa"/>
            <w:vAlign w:val="bottom"/>
          </w:tcPr>
          <w:p>
            <w:pPr>
              <w:spacing w:after="0"/>
              <w:rPr>
                <w:sz w:val="1"/>
                <w:szCs w:val="1"/>
                <w:color w:val="auto"/>
              </w:rPr>
            </w:pPr>
          </w:p>
        </w:tc>
      </w:tr>
      <w:tr>
        <w:trPr>
          <w:trHeight w:val="275"/>
        </w:trPr>
        <w:tc>
          <w:tcPr>
            <w:tcW w:w="3500" w:type="dxa"/>
            <w:vAlign w:val="bottom"/>
          </w:tcPr>
          <w:p>
            <w:pPr>
              <w:jc w:val="right"/>
              <w:spacing w:after="0"/>
              <w:rPr>
                <w:sz w:val="20"/>
                <w:szCs w:val="20"/>
                <w:color w:val="auto"/>
              </w:rPr>
            </w:pPr>
            <w:r>
              <w:rPr>
                <w:rFonts w:ascii="Arial" w:cs="Arial" w:eastAsia="Arial" w:hAnsi="Arial"/>
                <w:sz w:val="20"/>
                <w:szCs w:val="20"/>
                <w:b w:val="1"/>
                <w:bCs w:val="1"/>
                <w:color w:val="auto"/>
                <w:w w:val="94"/>
              </w:rPr>
              <w:t xml:space="preserve">Operating income/(loss) </w:t>
            </w:r>
            <w:r>
              <w:rPr>
                <w:rFonts w:ascii="Arial" w:cs="Arial" w:eastAsia="Arial" w:hAnsi="Arial"/>
                <w:sz w:val="20"/>
                <w:szCs w:val="20"/>
                <w:b w:val="1"/>
                <w:bCs w:val="1"/>
                <w:color w:val="B4B4B4"/>
                <w:w w:val="94"/>
              </w:rPr>
              <w:t>. . . . . . . . . . . .</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534</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1,806</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128</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(122)</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2,424</w:t>
            </w:r>
          </w:p>
        </w:tc>
        <w:tc>
          <w:tcPr>
            <w:tcW w:w="0" w:type="dxa"/>
            <w:vAlign w:val="bottom"/>
          </w:tcPr>
          <w:p>
            <w:pPr>
              <w:spacing w:after="0"/>
              <w:rPr>
                <w:sz w:val="1"/>
                <w:szCs w:val="1"/>
                <w:color w:val="auto"/>
              </w:rPr>
            </w:pPr>
          </w:p>
        </w:tc>
      </w:tr>
      <w:tr>
        <w:trPr>
          <w:trHeight w:val="232"/>
        </w:trPr>
        <w:tc>
          <w:tcPr>
            <w:tcW w:w="3500" w:type="dxa"/>
            <w:vAlign w:val="bottom"/>
          </w:tcPr>
          <w:p>
            <w:pPr>
              <w:ind w:left="60"/>
              <w:spacing w:after="0"/>
              <w:rPr>
                <w:sz w:val="20"/>
                <w:szCs w:val="20"/>
                <w:color w:val="auto"/>
              </w:rPr>
            </w:pPr>
            <w:r>
              <w:rPr>
                <w:rFonts w:ascii="Arial" w:cs="Arial" w:eastAsia="Arial" w:hAnsi="Arial"/>
                <w:sz w:val="20"/>
                <w:szCs w:val="20"/>
                <w:color w:val="auto"/>
              </w:rPr>
              <w:t>Equity in earnings of unconsolidated</w:t>
            </w:r>
          </w:p>
        </w:tc>
        <w:tc>
          <w:tcPr>
            <w:tcW w:w="16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58"/>
        </w:trPr>
        <w:tc>
          <w:tcPr>
            <w:tcW w:w="3500" w:type="dxa"/>
            <w:vAlign w:val="bottom"/>
          </w:tcPr>
          <w:p>
            <w:pPr>
              <w:jc w:val="right"/>
              <w:spacing w:after="0"/>
              <w:rPr>
                <w:sz w:val="20"/>
                <w:szCs w:val="20"/>
                <w:color w:val="auto"/>
              </w:rPr>
            </w:pPr>
            <w:r>
              <w:rPr>
                <w:rFonts w:ascii="Arial" w:cs="Arial" w:eastAsia="Arial" w:hAnsi="Arial"/>
                <w:sz w:val="20"/>
                <w:szCs w:val="20"/>
                <w:color w:val="auto"/>
                <w:w w:val="92"/>
              </w:rPr>
              <w:t xml:space="preserve">affiliates </w:t>
            </w:r>
            <w:r>
              <w:rPr>
                <w:rFonts w:ascii="Arial" w:cs="Arial" w:eastAsia="Arial" w:hAnsi="Arial"/>
                <w:sz w:val="20"/>
                <w:szCs w:val="20"/>
                <w:color w:val="B4B4B4"/>
                <w:w w:val="92"/>
              </w:rPr>
              <w:t>. . . . . . . . . . . . . . . . . . . . . . . . . . .</w:t>
            </w:r>
          </w:p>
        </w:tc>
        <w:tc>
          <w:tcPr>
            <w:tcW w:w="16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500" w:type="dxa"/>
            <w:vAlign w:val="bottom"/>
          </w:tcPr>
          <w:p>
            <w:pPr>
              <w:jc w:val="right"/>
              <w:spacing w:after="0"/>
              <w:rPr>
                <w:sz w:val="20"/>
                <w:szCs w:val="20"/>
                <w:color w:val="auto"/>
              </w:rPr>
            </w:pPr>
            <w:r>
              <w:rPr>
                <w:rFonts w:ascii="Arial" w:cs="Arial" w:eastAsia="Arial" w:hAnsi="Arial"/>
                <w:sz w:val="20"/>
                <w:szCs w:val="20"/>
                <w:color w:val="auto"/>
                <w:w w:val="90"/>
              </w:rPr>
              <w:t xml:space="preserve">Impairment losses on investments </w:t>
            </w:r>
            <w:r>
              <w:rPr>
                <w:rFonts w:ascii="Arial" w:cs="Arial" w:eastAsia="Arial" w:hAnsi="Arial"/>
                <w:sz w:val="20"/>
                <w:szCs w:val="20"/>
                <w:color w:val="B4B4B4"/>
                <w:w w:val="90"/>
              </w:rPr>
              <w:t>. . . . . . .</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97"/>
        </w:trPr>
        <w:tc>
          <w:tcPr>
            <w:tcW w:w="3500" w:type="dxa"/>
            <w:vAlign w:val="bottom"/>
          </w:tcPr>
          <w:p>
            <w:pPr>
              <w:jc w:val="right"/>
              <w:spacing w:after="0"/>
              <w:rPr>
                <w:sz w:val="20"/>
                <w:szCs w:val="20"/>
                <w:color w:val="auto"/>
              </w:rPr>
            </w:pPr>
            <w:r>
              <w:rPr>
                <w:rFonts w:ascii="Arial" w:cs="Arial" w:eastAsia="Arial" w:hAnsi="Arial"/>
                <w:sz w:val="20"/>
                <w:szCs w:val="20"/>
                <w:color w:val="auto"/>
                <w:w w:val="90"/>
              </w:rPr>
              <w:t xml:space="preserve">Other income, net  </w:t>
            </w:r>
            <w:r>
              <w:rPr>
                <w:rFonts w:ascii="Arial" w:cs="Arial" w:eastAsia="Arial" w:hAnsi="Arial"/>
                <w:sz w:val="20"/>
                <w:szCs w:val="20"/>
                <w:color w:val="B4B4B4"/>
                <w:w w:val="90"/>
              </w:rPr>
              <w:t>. . . . . . . . . . . . . . . . . . .</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Arial" w:cs="Arial" w:eastAsia="Arial" w:hAnsi="Arial"/>
                <w:sz w:val="20"/>
                <w:szCs w:val="20"/>
                <w:color w:val="auto"/>
              </w:rPr>
              <w:t>54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97"/>
        </w:trPr>
        <w:tc>
          <w:tcPr>
            <w:tcW w:w="3500" w:type="dxa"/>
            <w:vAlign w:val="bottom"/>
          </w:tcPr>
          <w:p>
            <w:pPr>
              <w:jc w:val="right"/>
              <w:spacing w:after="0"/>
              <w:rPr>
                <w:sz w:val="20"/>
                <w:szCs w:val="20"/>
                <w:color w:val="auto"/>
              </w:rPr>
            </w:pPr>
            <w:r>
              <w:rPr>
                <w:rFonts w:ascii="Arial" w:cs="Arial" w:eastAsia="Arial" w:hAnsi="Arial"/>
                <w:sz w:val="20"/>
                <w:szCs w:val="20"/>
                <w:color w:val="auto"/>
                <w:w w:val="91"/>
              </w:rPr>
              <w:t xml:space="preserve">Loss on debt extinguishment </w:t>
            </w:r>
            <w:r>
              <w:rPr>
                <w:rFonts w:ascii="Arial" w:cs="Arial" w:eastAsia="Arial" w:hAnsi="Arial"/>
                <w:sz w:val="20"/>
                <w:szCs w:val="20"/>
                <w:color w:val="B4B4B4"/>
                <w:w w:val="91"/>
              </w:rPr>
              <w:t>. . . . . . . . . . .</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(382)</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(382)</w:t>
            </w:r>
          </w:p>
        </w:tc>
        <w:tc>
          <w:tcPr>
            <w:tcW w:w="0" w:type="dxa"/>
            <w:vAlign w:val="bottom"/>
          </w:tcPr>
          <w:p>
            <w:pPr>
              <w:spacing w:after="0"/>
              <w:rPr>
                <w:sz w:val="1"/>
                <w:szCs w:val="1"/>
                <w:color w:val="auto"/>
              </w:rPr>
            </w:pPr>
          </w:p>
        </w:tc>
      </w:tr>
      <w:tr>
        <w:trPr>
          <w:trHeight w:val="299"/>
        </w:trPr>
        <w:tc>
          <w:tcPr>
            <w:tcW w:w="3500" w:type="dxa"/>
            <w:vAlign w:val="bottom"/>
          </w:tcPr>
          <w:p>
            <w:pPr>
              <w:jc w:val="right"/>
              <w:spacing w:after="0"/>
              <w:rPr>
                <w:sz w:val="20"/>
                <w:szCs w:val="20"/>
                <w:color w:val="auto"/>
              </w:rPr>
            </w:pPr>
            <w:r>
              <w:rPr>
                <w:rFonts w:ascii="Arial" w:cs="Arial" w:eastAsia="Arial" w:hAnsi="Arial"/>
                <w:sz w:val="20"/>
                <w:szCs w:val="20"/>
                <w:color w:val="auto"/>
                <w:w w:val="90"/>
              </w:rPr>
              <w:t xml:space="preserve">Interest expense </w:t>
            </w:r>
            <w:r>
              <w:rPr>
                <w:rFonts w:ascii="Arial" w:cs="Arial" w:eastAsia="Arial" w:hAnsi="Arial"/>
                <w:sz w:val="20"/>
                <w:szCs w:val="20"/>
                <w:color w:val="B4B4B4"/>
                <w:w w:val="90"/>
              </w:rPr>
              <w:t>. . . . . . . . . . . . . . . . . . . . .</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(651)</w:t>
            </w: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(651)</w:t>
            </w:r>
          </w:p>
        </w:tc>
        <w:tc>
          <w:tcPr>
            <w:tcW w:w="0" w:type="dxa"/>
            <w:vAlign w:val="bottom"/>
          </w:tcPr>
          <w:p>
            <w:pPr>
              <w:spacing w:after="0"/>
              <w:rPr>
                <w:sz w:val="1"/>
                <w:szCs w:val="1"/>
                <w:color w:val="auto"/>
              </w:rPr>
            </w:pPr>
          </w:p>
        </w:tc>
      </w:tr>
      <w:tr>
        <w:trPr>
          <w:trHeight w:val="275"/>
        </w:trPr>
        <w:tc>
          <w:tcPr>
            <w:tcW w:w="3500" w:type="dxa"/>
            <w:vAlign w:val="bottom"/>
          </w:tcPr>
          <w:p>
            <w:pPr>
              <w:jc w:val="right"/>
              <w:spacing w:after="0"/>
              <w:rPr>
                <w:sz w:val="20"/>
                <w:szCs w:val="20"/>
                <w:color w:val="auto"/>
              </w:rPr>
            </w:pPr>
            <w:r>
              <w:rPr>
                <w:rFonts w:ascii="Arial" w:cs="Arial" w:eastAsia="Arial" w:hAnsi="Arial"/>
                <w:sz w:val="20"/>
                <w:szCs w:val="20"/>
                <w:b w:val="1"/>
                <w:bCs w:val="1"/>
                <w:color w:val="auto"/>
                <w:w w:val="94"/>
              </w:rPr>
              <w:t xml:space="preserve">Income/(loss) before income taxes </w:t>
            </w:r>
            <w:r>
              <w:rPr>
                <w:rFonts w:ascii="Arial" w:cs="Arial" w:eastAsia="Arial" w:hAnsi="Arial"/>
                <w:sz w:val="20"/>
                <w:szCs w:val="20"/>
                <w:b w:val="1"/>
                <w:bCs w:val="1"/>
                <w:color w:val="B4B4B4"/>
                <w:w w:val="94"/>
              </w:rPr>
              <w:t>. . .</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534</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1,805</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97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113</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(1,101)</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1,448</w:t>
            </w:r>
          </w:p>
        </w:tc>
        <w:tc>
          <w:tcPr>
            <w:tcW w:w="0" w:type="dxa"/>
            <w:vAlign w:val="bottom"/>
          </w:tcPr>
          <w:p>
            <w:pPr>
              <w:spacing w:after="0"/>
              <w:rPr>
                <w:sz w:val="1"/>
                <w:szCs w:val="1"/>
                <w:color w:val="auto"/>
              </w:rPr>
            </w:pPr>
          </w:p>
        </w:tc>
      </w:tr>
      <w:tr>
        <w:trPr>
          <w:trHeight w:val="299"/>
        </w:trPr>
        <w:tc>
          <w:tcPr>
            <w:tcW w:w="3500" w:type="dxa"/>
            <w:vAlign w:val="bottom"/>
          </w:tcPr>
          <w:p>
            <w:pPr>
              <w:jc w:val="right"/>
              <w:spacing w:after="0"/>
              <w:rPr>
                <w:sz w:val="20"/>
                <w:szCs w:val="20"/>
                <w:color w:val="auto"/>
              </w:rPr>
            </w:pPr>
            <w:r>
              <w:rPr>
                <w:rFonts w:ascii="Arial" w:cs="Arial" w:eastAsia="Arial" w:hAnsi="Arial"/>
                <w:sz w:val="20"/>
                <w:szCs w:val="20"/>
                <w:color w:val="auto"/>
                <w:w w:val="90"/>
              </w:rPr>
              <w:t xml:space="preserve">Income tax expense </w:t>
            </w:r>
            <w:r>
              <w:rPr>
                <w:rFonts w:ascii="Arial" w:cs="Arial" w:eastAsia="Arial" w:hAnsi="Arial"/>
                <w:sz w:val="20"/>
                <w:szCs w:val="20"/>
                <w:color w:val="B4B4B4"/>
                <w:w w:val="90"/>
              </w:rPr>
              <w:t>. . . . . . . . . . . . . . . . . .</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323</w:t>
            </w: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323</w:t>
            </w:r>
          </w:p>
        </w:tc>
        <w:tc>
          <w:tcPr>
            <w:tcW w:w="0" w:type="dxa"/>
            <w:vAlign w:val="bottom"/>
          </w:tcPr>
          <w:p>
            <w:pPr>
              <w:spacing w:after="0"/>
              <w:rPr>
                <w:sz w:val="1"/>
                <w:szCs w:val="1"/>
                <w:color w:val="auto"/>
              </w:rPr>
            </w:pPr>
          </w:p>
        </w:tc>
      </w:tr>
      <w:tr>
        <w:trPr>
          <w:trHeight w:val="257"/>
        </w:trPr>
        <w:tc>
          <w:tcPr>
            <w:tcW w:w="3500" w:type="dxa"/>
            <w:vAlign w:val="bottom"/>
          </w:tcPr>
          <w:p>
            <w:pPr>
              <w:jc w:val="right"/>
              <w:spacing w:after="0"/>
              <w:rPr>
                <w:sz w:val="20"/>
                <w:szCs w:val="20"/>
                <w:color w:val="auto"/>
              </w:rPr>
            </w:pPr>
            <w:r>
              <w:rPr>
                <w:rFonts w:ascii="Arial" w:cs="Arial" w:eastAsia="Arial" w:hAnsi="Arial"/>
                <w:sz w:val="20"/>
                <w:szCs w:val="20"/>
                <w:b w:val="1"/>
                <w:bCs w:val="1"/>
                <w:color w:val="auto"/>
                <w:w w:val="94"/>
              </w:rPr>
              <w:t xml:space="preserve">Net income/(loss)  </w:t>
            </w:r>
            <w:r>
              <w:rPr>
                <w:rFonts w:ascii="Arial" w:cs="Arial" w:eastAsia="Arial" w:hAnsi="Arial"/>
                <w:sz w:val="20"/>
                <w:szCs w:val="20"/>
                <w:b w:val="1"/>
                <w:bCs w:val="1"/>
                <w:color w:val="B4B4B4"/>
                <w:w w:val="94"/>
              </w:rPr>
              <w:t>.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534</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1,805</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97</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113</w:t>
            </w:r>
          </w:p>
        </w:tc>
        <w:tc>
          <w:tcPr>
            <w:tcW w:w="32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(1,424)</w:t>
            </w:r>
          </w:p>
        </w:tc>
        <w:tc>
          <w:tcPr>
            <w:tcW w:w="280" w:type="dxa"/>
            <w:vAlign w:val="bottom"/>
            <w:gridSpan w:val="2"/>
          </w:tcPr>
          <w:p>
            <w:pPr>
              <w:jc w:val="right"/>
              <w:ind w:right="6"/>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1,125</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Balance sheet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3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tcPr>
          <w:p>
            <w:pPr>
              <w:jc w:val="right"/>
              <w:spacing w:after="0"/>
              <w:rPr>
                <w:sz w:val="20"/>
                <w:szCs w:val="20"/>
                <w:color w:val="auto"/>
              </w:rPr>
            </w:pPr>
            <w:r>
              <w:rPr>
                <w:rFonts w:ascii="Arial" w:cs="Arial" w:eastAsia="Arial" w:hAnsi="Arial"/>
                <w:sz w:val="20"/>
                <w:szCs w:val="20"/>
                <w:color w:val="auto"/>
                <w:w w:val="93"/>
              </w:rPr>
              <w:t xml:space="preserve">Equity investments in affiliates </w:t>
            </w:r>
            <w:r>
              <w:rPr>
                <w:rFonts w:ascii="Arial" w:cs="Arial" w:eastAsia="Arial" w:hAnsi="Arial"/>
                <w:sz w:val="20"/>
                <w:szCs w:val="20"/>
                <w:color w:val="B4B4B4"/>
                <w:w w:val="93"/>
              </w:rPr>
              <w:t>.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45</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gridSpan w:val="2"/>
          </w:tcPr>
          <w:p>
            <w:pPr>
              <w:jc w:val="right"/>
              <w:ind w:right="6"/>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97"/>
        </w:trPr>
        <w:tc>
          <w:tcPr>
            <w:tcW w:w="3500" w:type="dxa"/>
            <w:vAlign w:val="bottom"/>
          </w:tcPr>
          <w:p>
            <w:pPr>
              <w:ind w:left="60"/>
              <w:spacing w:after="0"/>
              <w:rPr>
                <w:sz w:val="20"/>
                <w:szCs w:val="20"/>
                <w:color w:val="auto"/>
              </w:rPr>
            </w:pPr>
            <w:r>
              <w:rPr>
                <w:rFonts w:ascii="Arial" w:cs="Arial" w:eastAsia="Arial" w:hAnsi="Arial"/>
                <w:sz w:val="20"/>
                <w:szCs w:val="20"/>
                <w:color w:val="auto"/>
              </w:rPr>
              <w:t>Capital expenditures</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369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Arial" w:cs="Arial" w:eastAsia="Arial" w:hAnsi="Arial"/>
                <w:sz w:val="20"/>
                <w:szCs w:val="20"/>
                <w:color w:val="auto"/>
              </w:rPr>
              <w:t>61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472</w:t>
            </w:r>
          </w:p>
        </w:tc>
        <w:tc>
          <w:tcPr>
            <w:tcW w:w="0" w:type="dxa"/>
            <w:vAlign w:val="bottom"/>
          </w:tcPr>
          <w:p>
            <w:pPr>
              <w:spacing w:after="0"/>
              <w:rPr>
                <w:sz w:val="1"/>
                <w:szCs w:val="1"/>
                <w:color w:val="auto"/>
              </w:rPr>
            </w:pPr>
          </w:p>
        </w:tc>
      </w:tr>
      <w:tr>
        <w:trPr>
          <w:trHeight w:val="297"/>
        </w:trPr>
        <w:tc>
          <w:tcPr>
            <w:tcW w:w="3500" w:type="dxa"/>
            <w:vAlign w:val="bottom"/>
          </w:tcPr>
          <w:p>
            <w:pPr>
              <w:jc w:val="right"/>
              <w:spacing w:after="0"/>
              <w:rPr>
                <w:sz w:val="20"/>
                <w:szCs w:val="20"/>
                <w:color w:val="auto"/>
              </w:rPr>
            </w:pPr>
            <w:r>
              <w:rPr>
                <w:rFonts w:ascii="Arial" w:cs="Arial" w:eastAsia="Arial" w:hAnsi="Arial"/>
                <w:sz w:val="20"/>
                <w:szCs w:val="20"/>
                <w:color w:val="auto"/>
                <w:w w:val="93"/>
              </w:rPr>
              <w:t xml:space="preserve">Goodwill </w:t>
            </w:r>
            <w:r>
              <w:rPr>
                <w:rFonts w:ascii="Arial" w:cs="Arial" w:eastAsia="Arial" w:hAnsi="Arial"/>
                <w:sz w:val="20"/>
                <w:szCs w:val="20"/>
                <w:color w:val="B4B4B4"/>
                <w:w w:val="93"/>
              </w:rPr>
              <w:t>. . . . . . . . . . . . . . . . . . . . . . . . . .</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643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721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153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3,494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5,011</w:t>
            </w:r>
          </w:p>
        </w:tc>
        <w:tc>
          <w:tcPr>
            <w:tcW w:w="0" w:type="dxa"/>
            <w:vAlign w:val="bottom"/>
          </w:tcPr>
          <w:p>
            <w:pPr>
              <w:spacing w:after="0"/>
              <w:rPr>
                <w:sz w:val="1"/>
                <w:szCs w:val="1"/>
                <w:color w:val="auto"/>
              </w:rPr>
            </w:pPr>
          </w:p>
        </w:tc>
      </w:tr>
      <w:tr>
        <w:trPr>
          <w:trHeight w:val="297"/>
        </w:trPr>
        <w:tc>
          <w:tcPr>
            <w:tcW w:w="3500" w:type="dxa"/>
            <w:vAlign w:val="bottom"/>
          </w:tcPr>
          <w:p>
            <w:pPr>
              <w:jc w:val="right"/>
              <w:spacing w:after="0"/>
              <w:rPr>
                <w:sz w:val="20"/>
                <w:szCs w:val="20"/>
                <w:color w:val="auto"/>
              </w:rPr>
            </w:pPr>
            <w:r>
              <w:rPr>
                <w:rFonts w:ascii="Arial" w:cs="Arial" w:eastAsia="Arial" w:hAnsi="Arial"/>
                <w:sz w:val="20"/>
                <w:szCs w:val="20"/>
                <w:color w:val="auto"/>
                <w:w w:val="89"/>
              </w:rPr>
              <w:t xml:space="preserve">Total assets  </w:t>
            </w:r>
            <w:r>
              <w:rPr>
                <w:rFonts w:ascii="Arial" w:cs="Arial" w:eastAsia="Arial" w:hAnsi="Arial"/>
                <w:sz w:val="20"/>
                <w:szCs w:val="20"/>
                <w:color w:val="B4B4B4"/>
                <w:w w:val="89"/>
              </w:rPr>
              <w:t>. . .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6,925</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8,021</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2,254</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6,624</w:t>
            </w:r>
          </w:p>
        </w:tc>
        <w:tc>
          <w:tcPr>
            <w:tcW w:w="32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1"/>
              <w:spacing w:after="0"/>
              <w:rPr>
                <w:sz w:val="20"/>
                <w:szCs w:val="20"/>
                <w:color w:val="auto"/>
              </w:rPr>
            </w:pPr>
            <w:r>
              <w:rPr>
                <w:rFonts w:ascii="Arial" w:cs="Arial" w:eastAsia="Arial" w:hAnsi="Arial"/>
                <w:sz w:val="20"/>
                <w:szCs w:val="20"/>
                <w:color w:val="auto"/>
              </w:rPr>
              <w:t>15,543</w:t>
            </w:r>
          </w:p>
        </w:tc>
        <w:tc>
          <w:tcPr>
            <w:tcW w:w="280" w:type="dxa"/>
            <w:vAlign w:val="bottom"/>
            <w:gridSpan w:val="2"/>
          </w:tcPr>
          <w:p>
            <w:pPr>
              <w:jc w:val="right"/>
              <w:ind w:right="6"/>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w w:val="96"/>
              </w:rPr>
              <w:t>(15,345)</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24,022</w:t>
            </w:r>
          </w:p>
        </w:tc>
        <w:tc>
          <w:tcPr>
            <w:tcW w:w="0" w:type="dxa"/>
            <w:vAlign w:val="bottom"/>
          </w:tcPr>
          <w:p>
            <w:pPr>
              <w:spacing w:after="0"/>
              <w:rPr>
                <w:sz w:val="1"/>
                <w:szCs w:val="1"/>
                <w:color w:val="auto"/>
              </w:rPr>
            </w:pPr>
          </w:p>
        </w:tc>
      </w:tr>
      <w:tr>
        <w:trPr>
          <w:trHeight w:val="305"/>
        </w:trPr>
        <w:tc>
          <w:tcPr>
            <w:tcW w:w="3500" w:type="dxa"/>
            <w:vAlign w:val="bottom"/>
          </w:tcPr>
          <w:p>
            <w:pPr>
              <w:ind w:left="60"/>
              <w:spacing w:after="0"/>
              <w:rPr>
                <w:sz w:val="20"/>
                <w:szCs w:val="20"/>
                <w:color w:val="auto"/>
              </w:rPr>
            </w:pPr>
            <w:r>
              <w:rPr>
                <w:rFonts w:ascii="Arial" w:cs="Arial" w:eastAsia="Arial" w:hAnsi="Arial"/>
                <w:sz w:val="16"/>
                <w:szCs w:val="16"/>
                <w:color w:val="auto"/>
              </w:rPr>
              <w:t>(a) Inter-segment sales and inter-segment net</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22</w:t>
            </w:r>
          </w:p>
        </w:tc>
        <w:tc>
          <w:tcPr>
            <w:tcW w:w="20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18</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320" w:type="dxa"/>
            <w:vAlign w:val="bottom"/>
            <w:gridSpan w:val="2"/>
            <w:vMerge w:val="restart"/>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vMerge w:val="restart"/>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gridSpan w:val="2"/>
            <w:vMerge w:val="restart"/>
          </w:tcPr>
          <w:p>
            <w:pPr>
              <w:jc w:val="right"/>
              <w:ind w:right="6"/>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210"/>
        </w:trPr>
        <w:tc>
          <w:tcPr>
            <w:tcW w:w="3500" w:type="dxa"/>
            <w:vAlign w:val="bottom"/>
          </w:tcPr>
          <w:p>
            <w:pPr>
              <w:jc w:val="right"/>
              <w:ind w:right="123"/>
              <w:spacing w:after="0"/>
              <w:rPr>
                <w:sz w:val="20"/>
                <w:szCs w:val="20"/>
                <w:color w:val="auto"/>
              </w:rPr>
            </w:pPr>
            <w:r>
              <w:rPr>
                <w:rFonts w:ascii="Arial" w:cs="Arial" w:eastAsia="Arial" w:hAnsi="Arial"/>
                <w:sz w:val="16"/>
                <w:szCs w:val="16"/>
                <w:color w:val="auto"/>
                <w:w w:val="94"/>
              </w:rPr>
              <w:t>derivative gains and losses included in revenues</w:t>
            </w:r>
          </w:p>
        </w:tc>
        <w:tc>
          <w:tcPr>
            <w:tcW w:w="16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-4404995</wp:posOffset>
            </wp:positionV>
            <wp:extent cx="6475095" cy="40989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57">
                      <a:extLst>
                        <a:ext uri="{28A0092B-C50C-407E-A947-70E740481C1C}"/>
                      </a:extLst>
                    </a:blip>
                    <a:srcRect/>
                    <a:stretch>
                      <a:fillRect/>
                    </a:stretch>
                  </pic:blipFill>
                  <pic:spPr bwMode="auto">
                    <a:xfrm>
                      <a:off x="0" y="0"/>
                      <a:ext cx="6475095" cy="4098925"/>
                    </a:xfrm>
                    <a:prstGeom prst="rect">
                      <a:avLst/>
                    </a:prstGeom>
                    <a:noFill/>
                  </pic:spPr>
                </pic:pic>
              </a:graphicData>
            </a:graphic>
          </wp:anchor>
        </w:drawing>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148</w:t>
      </w:r>
    </w:p>
    <w:p>
      <w:pPr>
        <w:sectPr>
          <w:pgSz w:w="11880" w:h="15480" w:orient="portrait"/>
          <w:cols w:equalWidth="0" w:num="1">
            <w:col w:w="10160"/>
          </w:cols>
          <w:pgMar w:left="860" w:top="505" w:right="860" w:bottom="0" w:gutter="0" w:footer="0" w:header="0"/>
          <w:type w:val="continuous"/>
        </w:sectPr>
      </w:pPr>
    </w:p>
    <w:bookmarkStart w:id="150" w:name="page151"/>
    <w:bookmarkEnd w:id="150"/>
    <w:tbl>
      <w:tblPr>
        <w:tblLayout w:type="fixed"/>
        <w:tblInd w:w="0" w:type="dxa"/>
        <w:tblCellMar>
          <w:top w:w="0" w:type="dxa"/>
          <w:left w:w="0" w:type="dxa"/>
          <w:bottom w:w="0" w:type="dxa"/>
          <w:right w:w="0" w:type="dxa"/>
        </w:tblCellMar>
      </w:tblPr>
      <w:tr>
        <w:trPr>
          <w:trHeight w:val="215"/>
        </w:trPr>
        <w:tc>
          <w:tcPr>
            <w:tcW w:w="3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9"/>
          </w:tcPr>
          <w:p>
            <w:pPr>
              <w:ind w:left="80"/>
              <w:spacing w:after="0"/>
              <w:rPr>
                <w:sz w:val="20"/>
                <w:szCs w:val="20"/>
                <w:color w:val="auto"/>
              </w:rPr>
            </w:pPr>
            <w:r>
              <w:rPr>
                <w:rFonts w:ascii="Arial" w:cs="Arial" w:eastAsia="Arial" w:hAnsi="Arial"/>
                <w:sz w:val="16"/>
                <w:szCs w:val="16"/>
                <w:b w:val="1"/>
                <w:bCs w:val="1"/>
                <w:color w:val="auto"/>
                <w:w w:val="91"/>
              </w:rPr>
              <w:t>For the Year Ended December 31, 2023</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center"/>
              <w:ind w:right="104"/>
              <w:spacing w:after="0"/>
              <w:rPr>
                <w:sz w:val="20"/>
                <w:szCs w:val="20"/>
                <w:color w:val="auto"/>
              </w:rPr>
            </w:pPr>
            <w:r>
              <w:rPr>
                <w:rFonts w:ascii="Arial" w:cs="Arial" w:eastAsia="Arial" w:hAnsi="Arial"/>
                <w:sz w:val="16"/>
                <w:szCs w:val="16"/>
                <w:b w:val="1"/>
                <w:bCs w:val="1"/>
                <w:color w:val="auto"/>
                <w:w w:val="88"/>
              </w:rPr>
              <w:t>West/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84"/>
              <w:spacing w:after="0"/>
              <w:rPr>
                <w:sz w:val="20"/>
                <w:szCs w:val="20"/>
                <w:color w:val="auto"/>
              </w:rPr>
            </w:pPr>
            <w:r>
              <w:rPr>
                <w:rFonts w:ascii="Arial" w:cs="Arial" w:eastAsia="Arial" w:hAnsi="Arial"/>
                <w:sz w:val="16"/>
                <w:szCs w:val="16"/>
                <w:b w:val="1"/>
                <w:bCs w:val="1"/>
                <w:color w:val="auto"/>
                <w:w w:val="96"/>
              </w:rPr>
              <w:t>Vivint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8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3"/>
                <w:szCs w:val="13"/>
                <w:color w:val="auto"/>
              </w:rPr>
            </w:pPr>
          </w:p>
        </w:tc>
        <w:tc>
          <w:tcPr>
            <w:tcW w:w="620" w:type="dxa"/>
            <w:vAlign w:val="bottom"/>
            <w:vMerge w:val="restart"/>
          </w:tcPr>
          <w:p>
            <w:pPr>
              <w:jc w:val="right"/>
              <w:ind w:right="103"/>
              <w:spacing w:after="0"/>
              <w:rPr>
                <w:sz w:val="20"/>
                <w:szCs w:val="20"/>
                <w:color w:val="auto"/>
              </w:rPr>
            </w:pPr>
            <w:r>
              <w:rPr>
                <w:rFonts w:ascii="Arial" w:cs="Arial" w:eastAsia="Arial" w:hAnsi="Arial"/>
                <w:sz w:val="16"/>
                <w:szCs w:val="16"/>
                <w:b w:val="1"/>
                <w:bCs w:val="1"/>
                <w:color w:val="auto"/>
                <w:w w:val="88"/>
              </w:rPr>
              <w:t>Texas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ind w:right="163"/>
              <w:spacing w:after="0"/>
              <w:rPr>
                <w:sz w:val="20"/>
                <w:szCs w:val="20"/>
                <w:color w:val="auto"/>
              </w:rPr>
            </w:pPr>
            <w:r>
              <w:rPr>
                <w:rFonts w:ascii="Arial" w:cs="Arial" w:eastAsia="Arial" w:hAnsi="Arial"/>
                <w:sz w:val="16"/>
                <w:szCs w:val="16"/>
                <w:b w:val="1"/>
                <w:bCs w:val="1"/>
                <w:color w:val="auto"/>
              </w:rPr>
              <w:t>East</w:t>
            </w:r>
          </w:p>
        </w:tc>
        <w:tc>
          <w:tcPr>
            <w:tcW w:w="60" w:type="dxa"/>
            <w:vAlign w:val="bottom"/>
          </w:tcPr>
          <w:p>
            <w:pPr>
              <w:spacing w:after="0"/>
              <w:rPr>
                <w:sz w:val="13"/>
                <w:szCs w:val="13"/>
                <w:color w:val="auto"/>
              </w:rPr>
            </w:pPr>
          </w:p>
        </w:tc>
        <w:tc>
          <w:tcPr>
            <w:tcW w:w="88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85"/>
              </w:rPr>
              <w:t>Services/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84"/>
              <w:spacing w:after="0" w:line="158" w:lineRule="exact"/>
              <w:rPr>
                <w:sz w:val="20"/>
                <w:szCs w:val="20"/>
                <w:color w:val="auto"/>
              </w:rPr>
            </w:pPr>
            <w:r>
              <w:rPr>
                <w:rFonts w:ascii="Arial" w:cs="Arial" w:eastAsia="Arial" w:hAnsi="Arial"/>
                <w:sz w:val="16"/>
                <w:szCs w:val="16"/>
                <w:b w:val="1"/>
                <w:bCs w:val="1"/>
                <w:color w:val="auto"/>
                <w:w w:val="92"/>
              </w:rPr>
              <w:t>Smart</w:t>
            </w:r>
          </w:p>
        </w:tc>
        <w:tc>
          <w:tcPr>
            <w:tcW w:w="60" w:type="dxa"/>
            <w:vAlign w:val="bottom"/>
          </w:tcPr>
          <w:p>
            <w:pPr>
              <w:spacing w:after="0"/>
              <w:rPr>
                <w:sz w:val="13"/>
                <w:szCs w:val="13"/>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Corporate</w:t>
            </w:r>
            <w:r>
              <w:rPr>
                <w:rFonts w:ascii="Arial" w:cs="Arial" w:eastAsia="Arial" w:hAnsi="Arial"/>
                <w:sz w:val="20"/>
                <w:szCs w:val="20"/>
                <w:b w:val="1"/>
                <w:bCs w:val="1"/>
                <w:color w:val="auto"/>
                <w:w w:val="94"/>
                <w:vertAlign w:val="superscript"/>
              </w:rPr>
              <w:t>(b)</w:t>
            </w:r>
          </w:p>
        </w:tc>
        <w:tc>
          <w:tcPr>
            <w:tcW w:w="6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ind w:right="10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8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84"/>
              <w:spacing w:after="0"/>
              <w:rPr>
                <w:sz w:val="20"/>
                <w:szCs w:val="20"/>
                <w:color w:val="auto"/>
              </w:rPr>
            </w:pPr>
            <w:r>
              <w:rPr>
                <w:rFonts w:ascii="Arial" w:cs="Arial" w:eastAsia="Arial" w:hAnsi="Arial"/>
                <w:sz w:val="16"/>
                <w:szCs w:val="16"/>
                <w:b w:val="1"/>
                <w:bCs w:val="1"/>
                <w:color w:val="auto"/>
                <w:w w:val="93"/>
              </w:rPr>
              <w:t>Other</w:t>
            </w:r>
          </w:p>
        </w:tc>
        <w:tc>
          <w:tcPr>
            <w:tcW w:w="6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24"/>
              <w:spacing w:after="0" w:line="212" w:lineRule="exact"/>
              <w:rPr>
                <w:sz w:val="20"/>
                <w:szCs w:val="20"/>
                <w:color w:val="auto"/>
              </w:rPr>
            </w:pPr>
            <w:r>
              <w:rPr>
                <w:rFonts w:ascii="Arial" w:cs="Arial" w:eastAsia="Arial" w:hAnsi="Arial"/>
                <w:sz w:val="16"/>
                <w:szCs w:val="16"/>
                <w:b w:val="1"/>
                <w:bCs w:val="1"/>
                <w:color w:val="auto"/>
              </w:rPr>
              <w:t>Home</w:t>
            </w:r>
            <w:r>
              <w:rPr>
                <w:rFonts w:ascii="Arial" w:cs="Arial" w:eastAsia="Arial" w:hAnsi="Arial"/>
                <w:sz w:val="20"/>
                <w:szCs w:val="20"/>
                <w:b w:val="1"/>
                <w:bCs w:val="1"/>
                <w:color w:val="auto"/>
                <w:vertAlign w:val="superscript"/>
              </w:rPr>
              <w:t>(a)</w:t>
            </w:r>
          </w:p>
        </w:tc>
        <w:tc>
          <w:tcPr>
            <w:tcW w:w="60" w:type="dxa"/>
            <w:vAlign w:val="bottom"/>
          </w:tcPr>
          <w:p>
            <w:pPr>
              <w:spacing w:after="0"/>
              <w:rPr>
                <w:sz w:val="18"/>
                <w:szCs w:val="18"/>
                <w:color w:val="auto"/>
              </w:rPr>
            </w:pPr>
          </w:p>
        </w:tc>
        <w:tc>
          <w:tcPr>
            <w:tcW w:w="960" w:type="dxa"/>
            <w:vAlign w:val="bottom"/>
            <w:tcBorders>
              <w:bottom w:val="single" w:sz="8" w:color="auto"/>
            </w:tcBorders>
            <w:gridSpan w:val="2"/>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4"/>
              </w:rPr>
              <w:t>Eliminations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3860" w:type="dxa"/>
            <w:vAlign w:val="bottom"/>
          </w:tcPr>
          <w:p>
            <w:pPr>
              <w:ind w:left="60"/>
              <w:spacing w:after="0"/>
              <w:rPr>
                <w:sz w:val="20"/>
                <w:szCs w:val="20"/>
                <w:color w:val="auto"/>
              </w:rPr>
            </w:pPr>
            <w:r>
              <w:rPr>
                <w:rFonts w:ascii="Arial" w:cs="Arial" w:eastAsia="Arial" w:hAnsi="Arial"/>
                <w:sz w:val="20"/>
                <w:szCs w:val="20"/>
                <w:b w:val="1"/>
                <w:bCs w:val="1"/>
                <w:color w:val="B4B4B4"/>
                <w:w w:val="89"/>
              </w:rPr>
              <w:t>. . . . . . . . . . . . . . . . . . . . . . . . . . . . .</w:t>
            </w:r>
            <w:r>
              <w:rPr>
                <w:rFonts w:ascii="Arial" w:cs="Arial" w:eastAsia="Arial" w:hAnsi="Arial"/>
                <w:sz w:val="20"/>
                <w:szCs w:val="20"/>
                <w:b w:val="1"/>
                <w:bCs w:val="1"/>
                <w:color w:val="000000"/>
                <w:w w:val="89"/>
              </w:rPr>
              <w:t>Revenue</w:t>
            </w:r>
            <w:r>
              <w:rPr>
                <w:rFonts w:ascii="Arial" w:cs="Arial" w:eastAsia="Arial" w:hAnsi="Arial"/>
                <w:sz w:val="25"/>
                <w:szCs w:val="25"/>
                <w:b w:val="1"/>
                <w:bCs w:val="1"/>
                <w:color w:val="000000"/>
                <w:w w:val="89"/>
                <w:vertAlign w:val="superscript"/>
              </w:rPr>
              <w:t>(b)</w:t>
            </w:r>
          </w:p>
        </w:tc>
        <w:tc>
          <w:tcPr>
            <w:tcW w:w="160" w:type="dxa"/>
            <w:vAlign w:val="bottom"/>
          </w:tcPr>
          <w:p>
            <w:pPr>
              <w:ind w:left="60"/>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84"/>
              </w:rPr>
              <w:t>10,476</w:t>
            </w:r>
          </w:p>
        </w:tc>
        <w:tc>
          <w:tcPr>
            <w:tcW w:w="220" w:type="dxa"/>
            <w:vAlign w:val="bottom"/>
            <w:gridSpan w:val="2"/>
          </w:tcPr>
          <w:p>
            <w:pPr>
              <w:ind w:left="100"/>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ind w:right="3"/>
              <w:spacing w:after="0"/>
              <w:rPr>
                <w:sz w:val="20"/>
                <w:szCs w:val="20"/>
                <w:color w:val="auto"/>
              </w:rPr>
            </w:pPr>
            <w:r>
              <w:rPr>
                <w:rFonts w:ascii="Arial" w:cs="Arial" w:eastAsia="Arial" w:hAnsi="Arial"/>
                <w:sz w:val="20"/>
                <w:szCs w:val="20"/>
                <w:color w:val="auto"/>
                <w:w w:val="88"/>
              </w:rPr>
              <w:t>12,547</w:t>
            </w:r>
          </w:p>
        </w:tc>
        <w:tc>
          <w:tcPr>
            <w:tcW w:w="24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4,281</w:t>
            </w:r>
          </w:p>
        </w:tc>
        <w:tc>
          <w:tcPr>
            <w:tcW w:w="220" w:type="dxa"/>
            <w:vAlign w:val="bottom"/>
            <w:gridSpan w:val="2"/>
          </w:tcPr>
          <w:p>
            <w:pPr>
              <w:ind w:left="120"/>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1,549</w:t>
            </w:r>
          </w:p>
        </w:tc>
        <w:tc>
          <w:tcPr>
            <w:tcW w:w="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200" w:type="dxa"/>
            <w:vAlign w:val="bottom"/>
          </w:tcPr>
          <w:p>
            <w:pPr>
              <w:ind w:left="4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(30)</w:t>
            </w:r>
          </w:p>
        </w:tc>
        <w:tc>
          <w:tcPr>
            <w:tcW w:w="200" w:type="dxa"/>
            <w:vAlign w:val="bottom"/>
            <w:gridSpan w:val="2"/>
          </w:tcPr>
          <w:p>
            <w:pPr>
              <w:ind w:left="100"/>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84"/>
              </w:rPr>
              <w:t>28,823</w:t>
            </w:r>
          </w:p>
        </w:tc>
        <w:tc>
          <w:tcPr>
            <w:tcW w:w="0" w:type="dxa"/>
            <w:vAlign w:val="bottom"/>
          </w:tcPr>
          <w:p>
            <w:pPr>
              <w:spacing w:after="0"/>
              <w:rPr>
                <w:sz w:val="1"/>
                <w:szCs w:val="1"/>
                <w:color w:val="auto"/>
              </w:rPr>
            </w:pPr>
          </w:p>
        </w:tc>
      </w:tr>
      <w:tr>
        <w:trPr>
          <w:trHeight w:val="258"/>
        </w:trPr>
        <w:tc>
          <w:tcPr>
            <w:tcW w:w="3860" w:type="dxa"/>
            <w:vAlign w:val="bottom"/>
          </w:tcPr>
          <w:p>
            <w:pPr>
              <w:ind w:left="60"/>
              <w:spacing w:after="0"/>
              <w:rPr>
                <w:sz w:val="20"/>
                <w:szCs w:val="20"/>
                <w:color w:val="auto"/>
              </w:rPr>
            </w:pPr>
            <w:r>
              <w:rPr>
                <w:rFonts w:ascii="Arial" w:cs="Arial" w:eastAsia="Arial" w:hAnsi="Arial"/>
                <w:sz w:val="20"/>
                <w:szCs w:val="20"/>
                <w:color w:val="auto"/>
                <w:w w:val="89"/>
              </w:rPr>
              <w:t xml:space="preserve">Operating Expenses  </w:t>
            </w:r>
            <w:r>
              <w:rPr>
                <w:rFonts w:ascii="Arial" w:cs="Arial" w:eastAsia="Arial" w:hAnsi="Arial"/>
                <w:sz w:val="20"/>
                <w:szCs w:val="20"/>
                <w:color w:val="B4B4B4"/>
                <w:w w:val="89"/>
              </w:rPr>
              <w:t>. . . . . . . . . . . . . . . . . . . . .</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8,353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3"/>
              <w:spacing w:after="0"/>
              <w:rPr>
                <w:sz w:val="20"/>
                <w:szCs w:val="20"/>
                <w:color w:val="auto"/>
              </w:rPr>
            </w:pPr>
            <w:r>
              <w:rPr>
                <w:rFonts w:ascii="Arial" w:cs="Arial" w:eastAsia="Arial" w:hAnsi="Arial"/>
                <w:sz w:val="20"/>
                <w:szCs w:val="20"/>
                <w:color w:val="auto"/>
                <w:w w:val="88"/>
              </w:rPr>
              <w:t>14,361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5,021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858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133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(30)</w:t>
            </w:r>
          </w:p>
        </w:tc>
        <w:tc>
          <w:tcPr>
            <w:tcW w:w="820" w:type="dxa"/>
            <w:vAlign w:val="bottom"/>
            <w:gridSpan w:val="3"/>
          </w:tcPr>
          <w:p>
            <w:pPr>
              <w:jc w:val="right"/>
              <w:spacing w:after="0"/>
              <w:rPr>
                <w:sz w:val="20"/>
                <w:szCs w:val="20"/>
                <w:color w:val="auto"/>
              </w:rPr>
            </w:pPr>
            <w:r>
              <w:rPr>
                <w:rFonts w:ascii="Arial" w:cs="Arial" w:eastAsia="Arial" w:hAnsi="Arial"/>
                <w:sz w:val="20"/>
                <w:szCs w:val="20"/>
                <w:color w:val="auto"/>
              </w:rPr>
              <w:t>28,696</w:t>
            </w:r>
          </w:p>
        </w:tc>
        <w:tc>
          <w:tcPr>
            <w:tcW w:w="0" w:type="dxa"/>
            <w:vAlign w:val="bottom"/>
          </w:tcPr>
          <w:p>
            <w:pPr>
              <w:spacing w:after="0"/>
              <w:rPr>
                <w:sz w:val="1"/>
                <w:szCs w:val="1"/>
                <w:color w:val="auto"/>
              </w:rPr>
            </w:pPr>
          </w:p>
        </w:tc>
      </w:tr>
      <w:tr>
        <w:trPr>
          <w:trHeight w:val="303"/>
        </w:trPr>
        <w:tc>
          <w:tcPr>
            <w:tcW w:w="386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w w:val="92"/>
              </w:rPr>
              <w:t xml:space="preserve">Depreciation and amortization </w:t>
            </w:r>
            <w:r>
              <w:rPr>
                <w:rFonts w:ascii="Arial" w:cs="Arial" w:eastAsia="Arial" w:hAnsi="Arial"/>
                <w:sz w:val="20"/>
                <w:szCs w:val="20"/>
                <w:color w:val="B4B4B4"/>
                <w:w w:val="92"/>
              </w:rPr>
              <w:t>. . . . . . . . . . . . .</w:t>
            </w:r>
          </w:p>
        </w:tc>
        <w:tc>
          <w:tcPr>
            <w:tcW w:w="160" w:type="dxa"/>
            <w:vAlign w:val="bottom"/>
            <w:tcBorders>
              <w:bottom w:val="single" w:sz="8" w:color="E6E6E6"/>
            </w:tcBorders>
          </w:tcPr>
          <w:p>
            <w:pPr>
              <w:spacing w:after="0"/>
              <w:rPr>
                <w:sz w:val="24"/>
                <w:szCs w:val="24"/>
                <w:color w:val="auto"/>
              </w:rPr>
            </w:pPr>
          </w:p>
        </w:tc>
        <w:tc>
          <w:tcPr>
            <w:tcW w:w="62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348</w:t>
            </w:r>
          </w:p>
        </w:tc>
        <w:tc>
          <w:tcPr>
            <w:tcW w:w="6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660" w:type="dxa"/>
            <w:vAlign w:val="bottom"/>
            <w:tcBorders>
              <w:bottom w:val="single" w:sz="8" w:color="E6E6E6"/>
            </w:tcBorders>
          </w:tcPr>
          <w:p>
            <w:pPr>
              <w:jc w:val="right"/>
              <w:ind w:right="3"/>
              <w:spacing w:after="0"/>
              <w:rPr>
                <w:sz w:val="20"/>
                <w:szCs w:val="20"/>
                <w:color w:val="auto"/>
              </w:rPr>
            </w:pPr>
            <w:r>
              <w:rPr>
                <w:rFonts w:ascii="Arial" w:cs="Arial" w:eastAsia="Arial" w:hAnsi="Arial"/>
                <w:sz w:val="20"/>
                <w:szCs w:val="20"/>
                <w:color w:val="auto"/>
              </w:rPr>
              <w:t>167</w:t>
            </w: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70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99</w:t>
            </w:r>
          </w:p>
        </w:tc>
        <w:tc>
          <w:tcPr>
            <w:tcW w:w="6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62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645</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E6E6E6"/>
            </w:tcBorders>
          </w:tcPr>
          <w:p>
            <w:pPr>
              <w:spacing w:after="0"/>
              <w:rPr>
                <w:sz w:val="24"/>
                <w:szCs w:val="24"/>
                <w:color w:val="auto"/>
              </w:rPr>
            </w:pPr>
          </w:p>
        </w:tc>
        <w:tc>
          <w:tcPr>
            <w:tcW w:w="72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36</w:t>
            </w:r>
          </w:p>
        </w:tc>
        <w:tc>
          <w:tcPr>
            <w:tcW w:w="6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74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4"/>
                <w:szCs w:val="24"/>
                <w:color w:val="auto"/>
              </w:rPr>
            </w:pPr>
          </w:p>
        </w:tc>
        <w:tc>
          <w:tcPr>
            <w:tcW w:w="140" w:type="dxa"/>
            <w:vAlign w:val="bottom"/>
            <w:tcBorders>
              <w:bottom w:val="single" w:sz="8" w:color="E6E6E6"/>
            </w:tcBorders>
          </w:tcPr>
          <w:p>
            <w:pPr>
              <w:spacing w:after="0"/>
              <w:rPr>
                <w:sz w:val="24"/>
                <w:szCs w:val="24"/>
                <w:color w:val="auto"/>
              </w:rPr>
            </w:pPr>
          </w:p>
        </w:tc>
        <w:tc>
          <w:tcPr>
            <w:tcW w:w="62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1,295</w:t>
            </w:r>
          </w:p>
        </w:tc>
        <w:tc>
          <w:tcPr>
            <w:tcW w:w="0" w:type="dxa"/>
            <w:vAlign w:val="bottom"/>
          </w:tcPr>
          <w:p>
            <w:pPr>
              <w:spacing w:after="0"/>
              <w:rPr>
                <w:sz w:val="1"/>
                <w:szCs w:val="1"/>
                <w:color w:val="auto"/>
              </w:rPr>
            </w:pPr>
          </w:p>
        </w:tc>
      </w:tr>
      <w:tr>
        <w:trPr>
          <w:trHeight w:val="274"/>
        </w:trPr>
        <w:tc>
          <w:tcPr>
            <w:tcW w:w="3860" w:type="dxa"/>
            <w:vAlign w:val="bottom"/>
          </w:tcPr>
          <w:p>
            <w:pPr>
              <w:ind w:left="60"/>
              <w:spacing w:after="0"/>
              <w:rPr>
                <w:sz w:val="20"/>
                <w:szCs w:val="20"/>
                <w:color w:val="auto"/>
              </w:rPr>
            </w:pPr>
            <w:r>
              <w:rPr>
                <w:rFonts w:ascii="Arial" w:cs="Arial" w:eastAsia="Arial" w:hAnsi="Arial"/>
                <w:sz w:val="20"/>
                <w:szCs w:val="20"/>
                <w:color w:val="auto"/>
                <w:w w:val="90"/>
              </w:rPr>
              <w:t xml:space="preserve">Impairment losses </w:t>
            </w:r>
            <w:r>
              <w:rPr>
                <w:rFonts w:ascii="Arial" w:cs="Arial" w:eastAsia="Arial" w:hAnsi="Arial"/>
                <w:sz w:val="20"/>
                <w:szCs w:val="20"/>
                <w:color w:val="B4B4B4"/>
                <w:w w:val="90"/>
              </w:rPr>
              <w:t>. . . . . . . . . . . . . . . . . . . . . . .</w:t>
            </w: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75"/>
        </w:trPr>
        <w:tc>
          <w:tcPr>
            <w:tcW w:w="3860" w:type="dxa"/>
            <w:vAlign w:val="bottom"/>
          </w:tcPr>
          <w:p>
            <w:pPr>
              <w:ind w:left="240"/>
              <w:spacing w:after="0"/>
              <w:rPr>
                <w:sz w:val="20"/>
                <w:szCs w:val="20"/>
                <w:color w:val="auto"/>
              </w:rPr>
            </w:pPr>
            <w:r>
              <w:rPr>
                <w:rFonts w:ascii="Arial" w:cs="Arial" w:eastAsia="Arial" w:hAnsi="Arial"/>
                <w:sz w:val="20"/>
                <w:szCs w:val="20"/>
                <w:b w:val="1"/>
                <w:bCs w:val="1"/>
                <w:color w:val="auto"/>
                <w:w w:val="88"/>
              </w:rPr>
              <w:t xml:space="preserve">Total operating cost and expenses </w:t>
            </w:r>
            <w:r>
              <w:rPr>
                <w:rFonts w:ascii="Arial" w:cs="Arial" w:eastAsia="Arial" w:hAnsi="Arial"/>
                <w:sz w:val="20"/>
                <w:szCs w:val="20"/>
                <w:b w:val="1"/>
                <w:bCs w:val="1"/>
                <w:color w:val="B4B4B4"/>
                <w:w w:val="88"/>
              </w:rPr>
              <w:t>. . . . . . .</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8,703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ind w:right="3"/>
              <w:spacing w:after="0"/>
              <w:rPr>
                <w:sz w:val="20"/>
                <w:szCs w:val="20"/>
                <w:color w:val="auto"/>
              </w:rPr>
            </w:pPr>
            <w:r>
              <w:rPr>
                <w:rFonts w:ascii="Arial" w:cs="Arial" w:eastAsia="Arial" w:hAnsi="Arial"/>
                <w:sz w:val="20"/>
                <w:szCs w:val="20"/>
                <w:color w:val="auto"/>
                <w:w w:val="88"/>
              </w:rPr>
              <w:t>14,532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5,140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1,503</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169</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(30)</w:t>
            </w:r>
          </w:p>
        </w:tc>
        <w:tc>
          <w:tcPr>
            <w:tcW w:w="820" w:type="dxa"/>
            <w:vAlign w:val="bottom"/>
            <w:gridSpan w:val="3"/>
          </w:tcPr>
          <w:p>
            <w:pPr>
              <w:jc w:val="right"/>
              <w:spacing w:after="0"/>
              <w:rPr>
                <w:sz w:val="20"/>
                <w:szCs w:val="20"/>
                <w:color w:val="auto"/>
              </w:rPr>
            </w:pPr>
            <w:r>
              <w:rPr>
                <w:rFonts w:ascii="Arial" w:cs="Arial" w:eastAsia="Arial" w:hAnsi="Arial"/>
                <w:sz w:val="20"/>
                <w:szCs w:val="20"/>
                <w:color w:val="auto"/>
              </w:rPr>
              <w:t>30,017</w:t>
            </w:r>
          </w:p>
        </w:tc>
        <w:tc>
          <w:tcPr>
            <w:tcW w:w="0" w:type="dxa"/>
            <w:vAlign w:val="bottom"/>
          </w:tcPr>
          <w:p>
            <w:pPr>
              <w:spacing w:after="0"/>
              <w:rPr>
                <w:sz w:val="1"/>
                <w:szCs w:val="1"/>
                <w:color w:val="auto"/>
              </w:rPr>
            </w:pPr>
          </w:p>
        </w:tc>
      </w:tr>
      <w:tr>
        <w:trPr>
          <w:trHeight w:val="299"/>
        </w:trPr>
        <w:tc>
          <w:tcPr>
            <w:tcW w:w="3860" w:type="dxa"/>
            <w:vAlign w:val="bottom"/>
          </w:tcPr>
          <w:p>
            <w:pPr>
              <w:ind w:left="60"/>
              <w:spacing w:after="0"/>
              <w:rPr>
                <w:sz w:val="20"/>
                <w:szCs w:val="20"/>
                <w:color w:val="auto"/>
              </w:rPr>
            </w:pPr>
            <w:r>
              <w:rPr>
                <w:rFonts w:ascii="Arial" w:cs="Arial" w:eastAsia="Arial" w:hAnsi="Arial"/>
                <w:sz w:val="20"/>
                <w:szCs w:val="20"/>
                <w:color w:val="auto"/>
                <w:w w:val="89"/>
              </w:rPr>
              <w:t xml:space="preserve">Gain on sale of assets </w:t>
            </w:r>
            <w:r>
              <w:rPr>
                <w:rFonts w:ascii="Arial" w:cs="Arial" w:eastAsia="Arial" w:hAnsi="Arial"/>
                <w:sz w:val="20"/>
                <w:szCs w:val="20"/>
                <w:color w:val="B4B4B4"/>
                <w:w w:val="89"/>
              </w:rPr>
              <w:t>. . . . . . . . . . . . . . . . . . . .</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1,319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3"/>
              <w:spacing w:after="0"/>
              <w:rPr>
                <w:sz w:val="20"/>
                <w:szCs w:val="20"/>
                <w:color w:val="auto"/>
              </w:rPr>
            </w:pPr>
            <w:r>
              <w:rPr>
                <w:rFonts w:ascii="Arial" w:cs="Arial" w:eastAsia="Arial" w:hAnsi="Arial"/>
                <w:sz w:val="20"/>
                <w:szCs w:val="20"/>
                <w:color w:val="auto"/>
              </w:rPr>
              <w:t>259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1,578</w:t>
            </w:r>
          </w:p>
        </w:tc>
        <w:tc>
          <w:tcPr>
            <w:tcW w:w="0" w:type="dxa"/>
            <w:vAlign w:val="bottom"/>
          </w:tcPr>
          <w:p>
            <w:pPr>
              <w:spacing w:after="0"/>
              <w:rPr>
                <w:sz w:val="1"/>
                <w:szCs w:val="1"/>
                <w:color w:val="auto"/>
              </w:rPr>
            </w:pPr>
          </w:p>
        </w:tc>
      </w:tr>
      <w:tr>
        <w:trPr>
          <w:trHeight w:val="275"/>
        </w:trPr>
        <w:tc>
          <w:tcPr>
            <w:tcW w:w="3860" w:type="dxa"/>
            <w:vAlign w:val="bottom"/>
          </w:tcPr>
          <w:p>
            <w:pPr>
              <w:ind w:left="240"/>
              <w:spacing w:after="0"/>
              <w:rPr>
                <w:sz w:val="20"/>
                <w:szCs w:val="20"/>
                <w:color w:val="auto"/>
              </w:rPr>
            </w:pPr>
            <w:r>
              <w:rPr>
                <w:rFonts w:ascii="Arial" w:cs="Arial" w:eastAsia="Arial" w:hAnsi="Arial"/>
                <w:sz w:val="20"/>
                <w:szCs w:val="20"/>
                <w:b w:val="1"/>
                <w:bCs w:val="1"/>
                <w:color w:val="auto"/>
                <w:w w:val="90"/>
              </w:rPr>
              <w:t xml:space="preserve">Operating income/(loss) </w:t>
            </w:r>
            <w:r>
              <w:rPr>
                <w:rFonts w:ascii="Arial" w:cs="Arial" w:eastAsia="Arial" w:hAnsi="Arial"/>
                <w:sz w:val="20"/>
                <w:szCs w:val="20"/>
                <w:b w:val="1"/>
                <w:bCs w:val="1"/>
                <w:color w:val="B4B4B4"/>
                <w:w w:val="90"/>
              </w:rPr>
              <w:t>. . . . . . . . . . . . . . .</w:t>
            </w:r>
          </w:p>
        </w:tc>
        <w:tc>
          <w:tcPr>
            <w:tcW w:w="1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3,092</w:t>
            </w: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7"/>
              </w:rPr>
              <w:t>(1,726)</w:t>
            </w:r>
          </w:p>
        </w:tc>
        <w:tc>
          <w:tcPr>
            <w:tcW w:w="6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(859)</w:t>
            </w: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46</w:t>
            </w:r>
          </w:p>
        </w:tc>
        <w:tc>
          <w:tcPr>
            <w:tcW w:w="6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(169)</w:t>
            </w:r>
          </w:p>
        </w:tc>
        <w:tc>
          <w:tcPr>
            <w:tcW w:w="6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384</w:t>
            </w:r>
          </w:p>
        </w:tc>
        <w:tc>
          <w:tcPr>
            <w:tcW w:w="0" w:type="dxa"/>
            <w:vAlign w:val="bottom"/>
          </w:tcPr>
          <w:p>
            <w:pPr>
              <w:spacing w:after="0"/>
              <w:rPr>
                <w:sz w:val="1"/>
                <w:szCs w:val="1"/>
                <w:color w:val="auto"/>
              </w:rPr>
            </w:pPr>
          </w:p>
        </w:tc>
      </w:tr>
      <w:tr>
        <w:trPr>
          <w:trHeight w:val="297"/>
        </w:trPr>
        <w:tc>
          <w:tcPr>
            <w:tcW w:w="3860" w:type="dxa"/>
            <w:vAlign w:val="bottom"/>
          </w:tcPr>
          <w:p>
            <w:pPr>
              <w:ind w:left="60"/>
              <w:spacing w:after="0"/>
              <w:rPr>
                <w:sz w:val="20"/>
                <w:szCs w:val="20"/>
                <w:color w:val="auto"/>
              </w:rPr>
            </w:pPr>
            <w:r>
              <w:rPr>
                <w:rFonts w:ascii="Arial" w:cs="Arial" w:eastAsia="Arial" w:hAnsi="Arial"/>
                <w:sz w:val="20"/>
                <w:szCs w:val="20"/>
                <w:color w:val="auto"/>
                <w:w w:val="91"/>
              </w:rPr>
              <w:t xml:space="preserve">Equity in earnings of unconsolidated affiliates </w:t>
            </w:r>
            <w:r>
              <w:rPr>
                <w:rFonts w:ascii="Arial" w:cs="Arial" w:eastAsia="Arial" w:hAnsi="Arial"/>
                <w:sz w:val="20"/>
                <w:szCs w:val="20"/>
                <w:color w:val="B4B4B4"/>
                <w:w w:val="91"/>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97"/>
        </w:trPr>
        <w:tc>
          <w:tcPr>
            <w:tcW w:w="3860" w:type="dxa"/>
            <w:vAlign w:val="bottom"/>
          </w:tcPr>
          <w:p>
            <w:pPr>
              <w:ind w:left="60"/>
              <w:spacing w:after="0"/>
              <w:rPr>
                <w:sz w:val="20"/>
                <w:szCs w:val="20"/>
                <w:color w:val="auto"/>
              </w:rPr>
            </w:pPr>
            <w:r>
              <w:rPr>
                <w:rFonts w:ascii="Arial" w:cs="Arial" w:eastAsia="Arial" w:hAnsi="Arial"/>
                <w:sz w:val="20"/>
                <w:szCs w:val="20"/>
                <w:color w:val="auto"/>
                <w:w w:val="91"/>
              </w:rPr>
              <w:t xml:space="preserve">Impairment losses on investments </w:t>
            </w:r>
            <w:r>
              <w:rPr>
                <w:rFonts w:ascii="Arial" w:cs="Arial" w:eastAsia="Arial" w:hAnsi="Arial"/>
                <w:sz w:val="20"/>
                <w:szCs w:val="20"/>
                <w:color w:val="B4B4B4"/>
                <w:w w:val="91"/>
              </w:rPr>
              <w:t>. . . . . . . . . .</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(102)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97"/>
        </w:trPr>
        <w:tc>
          <w:tcPr>
            <w:tcW w:w="3860" w:type="dxa"/>
            <w:vAlign w:val="bottom"/>
          </w:tcPr>
          <w:p>
            <w:pPr>
              <w:ind w:left="60"/>
              <w:spacing w:after="0"/>
              <w:rPr>
                <w:sz w:val="20"/>
                <w:szCs w:val="20"/>
                <w:color w:val="auto"/>
              </w:rPr>
            </w:pPr>
            <w:r>
              <w:rPr>
                <w:rFonts w:ascii="Arial" w:cs="Arial" w:eastAsia="Arial" w:hAnsi="Arial"/>
                <w:sz w:val="20"/>
                <w:szCs w:val="20"/>
                <w:color w:val="auto"/>
                <w:w w:val="91"/>
              </w:rPr>
              <w:t xml:space="preserve">Other income, net </w:t>
            </w:r>
            <w:r>
              <w:rPr>
                <w:rFonts w:ascii="Arial" w:cs="Arial" w:eastAsia="Arial" w:hAnsi="Arial"/>
                <w:sz w:val="20"/>
                <w:szCs w:val="20"/>
                <w:color w:val="B4B4B4"/>
                <w:w w:val="91"/>
              </w:rPr>
              <w:t>. . . . . . . . . . . . . . . . . . . . . . .</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60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97"/>
        </w:trPr>
        <w:tc>
          <w:tcPr>
            <w:tcW w:w="3860" w:type="dxa"/>
            <w:vAlign w:val="bottom"/>
          </w:tcPr>
          <w:p>
            <w:pPr>
              <w:ind w:left="60"/>
              <w:spacing w:after="0"/>
              <w:rPr>
                <w:sz w:val="20"/>
                <w:szCs w:val="20"/>
                <w:color w:val="auto"/>
              </w:rPr>
            </w:pPr>
            <w:r>
              <w:rPr>
                <w:rFonts w:ascii="Arial" w:cs="Arial" w:eastAsia="Arial" w:hAnsi="Arial"/>
                <w:sz w:val="20"/>
                <w:szCs w:val="20"/>
                <w:color w:val="auto"/>
                <w:w w:val="92"/>
              </w:rPr>
              <w:t xml:space="preserve">Gain on debt extinguishment </w:t>
            </w:r>
            <w:r>
              <w:rPr>
                <w:rFonts w:ascii="Arial" w:cs="Arial" w:eastAsia="Arial" w:hAnsi="Arial"/>
                <w:sz w:val="20"/>
                <w:szCs w:val="20"/>
                <w:color w:val="B4B4B4"/>
                <w:w w:val="92"/>
              </w:rPr>
              <w:t>. . . . . . . . . . . . . .</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109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109</w:t>
            </w:r>
          </w:p>
        </w:tc>
        <w:tc>
          <w:tcPr>
            <w:tcW w:w="0" w:type="dxa"/>
            <w:vAlign w:val="bottom"/>
          </w:tcPr>
          <w:p>
            <w:pPr>
              <w:spacing w:after="0"/>
              <w:rPr>
                <w:sz w:val="1"/>
                <w:szCs w:val="1"/>
                <w:color w:val="auto"/>
              </w:rPr>
            </w:pPr>
          </w:p>
        </w:tc>
      </w:tr>
      <w:tr>
        <w:trPr>
          <w:trHeight w:val="299"/>
        </w:trPr>
        <w:tc>
          <w:tcPr>
            <w:tcW w:w="3860" w:type="dxa"/>
            <w:vAlign w:val="bottom"/>
          </w:tcPr>
          <w:p>
            <w:pPr>
              <w:ind w:left="60"/>
              <w:spacing w:after="0"/>
              <w:rPr>
                <w:sz w:val="20"/>
                <w:szCs w:val="20"/>
                <w:color w:val="auto"/>
              </w:rPr>
            </w:pPr>
            <w:r>
              <w:rPr>
                <w:rFonts w:ascii="Arial" w:cs="Arial" w:eastAsia="Arial" w:hAnsi="Arial"/>
                <w:sz w:val="20"/>
                <w:szCs w:val="20"/>
                <w:color w:val="auto"/>
                <w:w w:val="88"/>
              </w:rPr>
              <w:t xml:space="preserve">Interest expense </w:t>
            </w:r>
            <w:r>
              <w:rPr>
                <w:rFonts w:ascii="Arial" w:cs="Arial" w:eastAsia="Arial" w:hAnsi="Arial"/>
                <w:sz w:val="20"/>
                <w:szCs w:val="20"/>
                <w:color w:val="B4B4B4"/>
                <w:w w:val="88"/>
              </w:rPr>
              <w:t>. . . . . . . . . . . . . . . . . . . . . . . . .</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(667)</w:t>
            </w:r>
          </w:p>
        </w:tc>
        <w:tc>
          <w:tcPr>
            <w:tcW w:w="0" w:type="dxa"/>
            <w:vAlign w:val="bottom"/>
          </w:tcPr>
          <w:p>
            <w:pPr>
              <w:spacing w:after="0"/>
              <w:rPr>
                <w:sz w:val="1"/>
                <w:szCs w:val="1"/>
                <w:color w:val="auto"/>
              </w:rPr>
            </w:pPr>
          </w:p>
        </w:tc>
      </w:tr>
      <w:tr>
        <w:trPr>
          <w:trHeight w:val="275"/>
        </w:trPr>
        <w:tc>
          <w:tcPr>
            <w:tcW w:w="3860" w:type="dxa"/>
            <w:vAlign w:val="bottom"/>
          </w:tcPr>
          <w:p>
            <w:pPr>
              <w:ind w:left="240"/>
              <w:spacing w:after="0"/>
              <w:rPr>
                <w:sz w:val="20"/>
                <w:szCs w:val="20"/>
                <w:color w:val="auto"/>
              </w:rPr>
            </w:pPr>
            <w:r>
              <w:rPr>
                <w:rFonts w:ascii="Arial" w:cs="Arial" w:eastAsia="Arial" w:hAnsi="Arial"/>
                <w:sz w:val="20"/>
                <w:szCs w:val="20"/>
                <w:b w:val="1"/>
                <w:bCs w:val="1"/>
                <w:color w:val="auto"/>
                <w:w w:val="88"/>
              </w:rPr>
              <w:t xml:space="preserve">Income/(loss) before income taxes </w:t>
            </w:r>
            <w:r>
              <w:rPr>
                <w:rFonts w:ascii="Arial" w:cs="Arial" w:eastAsia="Arial" w:hAnsi="Arial"/>
                <w:sz w:val="20"/>
                <w:szCs w:val="20"/>
                <w:b w:val="1"/>
                <w:bCs w:val="1"/>
                <w:color w:val="B4B4B4"/>
                <w:w w:val="88"/>
              </w:rPr>
              <w:t>. . . . . . .</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3,094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7"/>
              </w:rPr>
              <w:t>(1,727)</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(944)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(667)</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(213)</w:t>
            </w:r>
          </w:p>
        </w:tc>
        <w:tc>
          <w:tcPr>
            <w:tcW w:w="0" w:type="dxa"/>
            <w:vAlign w:val="bottom"/>
          </w:tcPr>
          <w:p>
            <w:pPr>
              <w:spacing w:after="0"/>
              <w:rPr>
                <w:sz w:val="1"/>
                <w:szCs w:val="1"/>
                <w:color w:val="auto"/>
              </w:rPr>
            </w:pPr>
          </w:p>
        </w:tc>
      </w:tr>
      <w:tr>
        <w:trPr>
          <w:trHeight w:val="299"/>
        </w:trPr>
        <w:tc>
          <w:tcPr>
            <w:tcW w:w="3860" w:type="dxa"/>
            <w:vAlign w:val="bottom"/>
          </w:tcPr>
          <w:p>
            <w:pPr>
              <w:ind w:left="60"/>
              <w:spacing w:after="0"/>
              <w:rPr>
                <w:sz w:val="20"/>
                <w:szCs w:val="20"/>
                <w:color w:val="auto"/>
              </w:rPr>
            </w:pPr>
            <w:r>
              <w:rPr>
                <w:rFonts w:ascii="Arial" w:cs="Arial" w:eastAsia="Arial" w:hAnsi="Arial"/>
                <w:sz w:val="20"/>
                <w:szCs w:val="20"/>
                <w:color w:val="auto"/>
                <w:w w:val="91"/>
              </w:rPr>
              <w:t xml:space="preserve">Income tax benefit  </w:t>
            </w:r>
            <w:r>
              <w:rPr>
                <w:rFonts w:ascii="Arial" w:cs="Arial" w:eastAsia="Arial" w:hAnsi="Arial"/>
                <w:sz w:val="20"/>
                <w:szCs w:val="20"/>
                <w:color w:val="B4B4B4"/>
                <w:w w:val="91"/>
              </w:rPr>
              <w:t>. . . . . . . . . . . . . . . . . . . . . .</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57"/>
        </w:trPr>
        <w:tc>
          <w:tcPr>
            <w:tcW w:w="3860" w:type="dxa"/>
            <w:vAlign w:val="bottom"/>
          </w:tcPr>
          <w:p>
            <w:pPr>
              <w:ind w:left="240"/>
              <w:spacing w:after="0"/>
              <w:rPr>
                <w:sz w:val="20"/>
                <w:szCs w:val="20"/>
                <w:color w:val="auto"/>
              </w:rPr>
            </w:pPr>
            <w:r>
              <w:rPr>
                <w:rFonts w:ascii="Arial" w:cs="Arial" w:eastAsia="Arial" w:hAnsi="Arial"/>
                <w:sz w:val="20"/>
                <w:szCs w:val="20"/>
                <w:b w:val="1"/>
                <w:bCs w:val="1"/>
                <w:color w:val="auto"/>
                <w:w w:val="89"/>
              </w:rPr>
              <w:t xml:space="preserve">Net income/(loss) </w:t>
            </w:r>
            <w:r>
              <w:rPr>
                <w:rFonts w:ascii="Arial" w:cs="Arial" w:eastAsia="Arial" w:hAnsi="Arial"/>
                <w:sz w:val="20"/>
                <w:szCs w:val="20"/>
                <w:b w:val="1"/>
                <w:bCs w:val="1"/>
                <w:color w:val="B4B4B4"/>
                <w:w w:val="89"/>
              </w:rPr>
              <w:t>. . . . . . . . . . . . . . . . . . . . .</w:t>
            </w:r>
          </w:p>
        </w:tc>
        <w:tc>
          <w:tcPr>
            <w:tcW w:w="160" w:type="dxa"/>
            <w:vAlign w:val="bottom"/>
          </w:tcPr>
          <w:p>
            <w:pPr>
              <w:ind w:left="60"/>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3,094</w:t>
            </w:r>
          </w:p>
        </w:tc>
        <w:tc>
          <w:tcPr>
            <w:tcW w:w="220" w:type="dxa"/>
            <w:vAlign w:val="bottom"/>
            <w:gridSpan w:val="2"/>
          </w:tcPr>
          <w:p>
            <w:pPr>
              <w:ind w:left="100"/>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w w:val="97"/>
              </w:rPr>
              <w:t>(1,727)</w:t>
            </w:r>
          </w:p>
        </w:tc>
        <w:tc>
          <w:tcPr>
            <w:tcW w:w="24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(944)</w:t>
            </w:r>
          </w:p>
        </w:tc>
        <w:tc>
          <w:tcPr>
            <w:tcW w:w="220" w:type="dxa"/>
            <w:vAlign w:val="bottom"/>
            <w:gridSpan w:val="2"/>
          </w:tcPr>
          <w:p>
            <w:pPr>
              <w:ind w:left="120"/>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31</w:t>
            </w:r>
          </w:p>
        </w:tc>
        <w:tc>
          <w:tcPr>
            <w:tcW w:w="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(656)</w:t>
            </w:r>
          </w:p>
        </w:tc>
        <w:tc>
          <w:tcPr>
            <w:tcW w:w="6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gridSpan w:val="2"/>
          </w:tcPr>
          <w:p>
            <w:pPr>
              <w:ind w:left="100"/>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(202)</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Balance sheet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60" w:type="dxa"/>
            <w:vAlign w:val="bottom"/>
          </w:tcPr>
          <w:p>
            <w:pPr>
              <w:ind w:left="60"/>
              <w:spacing w:after="0"/>
              <w:rPr>
                <w:sz w:val="20"/>
                <w:szCs w:val="20"/>
                <w:color w:val="auto"/>
              </w:rPr>
            </w:pPr>
            <w:r>
              <w:rPr>
                <w:rFonts w:ascii="Arial" w:cs="Arial" w:eastAsia="Arial" w:hAnsi="Arial"/>
                <w:sz w:val="20"/>
                <w:szCs w:val="20"/>
                <w:color w:val="auto"/>
                <w:w w:val="91"/>
              </w:rPr>
              <w:t xml:space="preserve">Equity investments in affiliates </w:t>
            </w:r>
            <w:r>
              <w:rPr>
                <w:rFonts w:ascii="Arial" w:cs="Arial" w:eastAsia="Arial" w:hAnsi="Arial"/>
                <w:sz w:val="20"/>
                <w:szCs w:val="20"/>
                <w:color w:val="B4B4B4"/>
                <w:w w:val="91"/>
              </w:rPr>
              <w:t>. . . . . . . . . . . . .</w:t>
            </w:r>
          </w:p>
        </w:tc>
        <w:tc>
          <w:tcPr>
            <w:tcW w:w="160" w:type="dxa"/>
            <w:vAlign w:val="bottom"/>
          </w:tcPr>
          <w:p>
            <w:pPr>
              <w:ind w:left="60"/>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gridSpan w:val="2"/>
          </w:tcPr>
          <w:p>
            <w:pPr>
              <w:ind w:left="100"/>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24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42</w:t>
            </w:r>
          </w:p>
        </w:tc>
        <w:tc>
          <w:tcPr>
            <w:tcW w:w="220" w:type="dxa"/>
            <w:vAlign w:val="bottom"/>
            <w:gridSpan w:val="2"/>
          </w:tcPr>
          <w:p>
            <w:pPr>
              <w:ind w:left="120"/>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200" w:type="dxa"/>
            <w:vAlign w:val="bottom"/>
          </w:tcPr>
          <w:p>
            <w:pPr>
              <w:ind w:left="4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gridSpan w:val="2"/>
          </w:tcPr>
          <w:p>
            <w:pPr>
              <w:ind w:left="100"/>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97"/>
        </w:trPr>
        <w:tc>
          <w:tcPr>
            <w:tcW w:w="3860" w:type="dxa"/>
            <w:vAlign w:val="bottom"/>
          </w:tcPr>
          <w:p>
            <w:pPr>
              <w:ind w:left="60"/>
              <w:spacing w:after="0"/>
              <w:rPr>
                <w:sz w:val="20"/>
                <w:szCs w:val="20"/>
                <w:color w:val="auto"/>
              </w:rPr>
            </w:pPr>
            <w:r>
              <w:rPr>
                <w:rFonts w:ascii="Arial" w:cs="Arial" w:eastAsia="Arial" w:hAnsi="Arial"/>
                <w:sz w:val="20"/>
                <w:szCs w:val="20"/>
                <w:color w:val="auto"/>
              </w:rPr>
              <w:t>Capital expenditures</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495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3"/>
              <w:spacing w:after="0"/>
              <w:rPr>
                <w:sz w:val="20"/>
                <w:szCs w:val="20"/>
                <w:color w:val="auto"/>
              </w:rPr>
            </w:pPr>
            <w:r>
              <w:rPr>
                <w:rFonts w:ascii="Arial" w:cs="Arial" w:eastAsia="Arial" w:hAnsi="Arial"/>
                <w:sz w:val="20"/>
                <w:szCs w:val="20"/>
                <w:color w:val="auto"/>
              </w:rPr>
              <w:t>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598</w:t>
            </w:r>
          </w:p>
        </w:tc>
        <w:tc>
          <w:tcPr>
            <w:tcW w:w="0" w:type="dxa"/>
            <w:vAlign w:val="bottom"/>
          </w:tcPr>
          <w:p>
            <w:pPr>
              <w:spacing w:after="0"/>
              <w:rPr>
                <w:sz w:val="1"/>
                <w:szCs w:val="1"/>
                <w:color w:val="auto"/>
              </w:rPr>
            </w:pPr>
          </w:p>
        </w:tc>
      </w:tr>
      <w:tr>
        <w:trPr>
          <w:trHeight w:val="297"/>
        </w:trPr>
        <w:tc>
          <w:tcPr>
            <w:tcW w:w="3860" w:type="dxa"/>
            <w:vAlign w:val="bottom"/>
          </w:tcPr>
          <w:p>
            <w:pPr>
              <w:ind w:left="60"/>
              <w:spacing w:after="0"/>
              <w:rPr>
                <w:sz w:val="20"/>
                <w:szCs w:val="20"/>
                <w:color w:val="auto"/>
              </w:rPr>
            </w:pPr>
            <w:r>
              <w:rPr>
                <w:rFonts w:ascii="Arial" w:cs="Arial" w:eastAsia="Arial" w:hAnsi="Arial"/>
                <w:sz w:val="20"/>
                <w:szCs w:val="20"/>
                <w:color w:val="auto"/>
                <w:w w:val="92"/>
              </w:rPr>
              <w:t xml:space="preserve">Goodwill </w:t>
            </w:r>
            <w:r>
              <w:rPr>
                <w:rFonts w:ascii="Arial" w:cs="Arial" w:eastAsia="Arial" w:hAnsi="Arial"/>
                <w:sz w:val="20"/>
                <w:szCs w:val="20"/>
                <w:color w:val="B4B4B4"/>
                <w:w w:val="92"/>
              </w:rPr>
              <w:t>. . . . . . . . . . . . . . . . . . . . . . . . . . . . . .</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643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3"/>
              <w:spacing w:after="0"/>
              <w:rPr>
                <w:sz w:val="20"/>
                <w:szCs w:val="20"/>
                <w:color w:val="auto"/>
              </w:rPr>
            </w:pPr>
            <w:r>
              <w:rPr>
                <w:rFonts w:ascii="Arial" w:cs="Arial" w:eastAsia="Arial" w:hAnsi="Arial"/>
                <w:sz w:val="20"/>
                <w:szCs w:val="20"/>
                <w:color w:val="auto"/>
              </w:rPr>
              <w:t>721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3,494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5,079</w:t>
            </w:r>
          </w:p>
        </w:tc>
        <w:tc>
          <w:tcPr>
            <w:tcW w:w="0" w:type="dxa"/>
            <w:vAlign w:val="bottom"/>
          </w:tcPr>
          <w:p>
            <w:pPr>
              <w:spacing w:after="0"/>
              <w:rPr>
                <w:sz w:val="1"/>
                <w:szCs w:val="1"/>
                <w:color w:val="auto"/>
              </w:rPr>
            </w:pPr>
          </w:p>
        </w:tc>
      </w:tr>
      <w:tr>
        <w:trPr>
          <w:trHeight w:val="359"/>
        </w:trPr>
        <w:tc>
          <w:tcPr>
            <w:tcW w:w="3860" w:type="dxa"/>
            <w:vAlign w:val="bottom"/>
          </w:tcPr>
          <w:p>
            <w:pPr>
              <w:ind w:left="60"/>
              <w:spacing w:after="0"/>
              <w:rPr>
                <w:sz w:val="20"/>
                <w:szCs w:val="20"/>
                <w:color w:val="auto"/>
              </w:rPr>
            </w:pPr>
            <w:r>
              <w:rPr>
                <w:rFonts w:ascii="Arial" w:cs="Arial" w:eastAsia="Arial" w:hAnsi="Arial"/>
                <w:sz w:val="20"/>
                <w:szCs w:val="20"/>
                <w:color w:val="auto"/>
                <w:w w:val="88"/>
              </w:rPr>
              <w:t>Total assets</w:t>
            </w:r>
            <w:r>
              <w:rPr>
                <w:rFonts w:ascii="Arial" w:cs="Arial" w:eastAsia="Arial" w:hAnsi="Arial"/>
                <w:sz w:val="25"/>
                <w:szCs w:val="25"/>
                <w:color w:val="auto"/>
                <w:w w:val="88"/>
                <w:vertAlign w:val="superscript"/>
              </w:rPr>
              <w:t>(c)</w:t>
            </w:r>
            <w:r>
              <w:rPr>
                <w:rFonts w:ascii="Arial" w:cs="Arial" w:eastAsia="Arial" w:hAnsi="Arial"/>
                <w:sz w:val="20"/>
                <w:szCs w:val="20"/>
                <w:color w:val="auto"/>
                <w:w w:val="88"/>
              </w:rPr>
              <w:t xml:space="preserve"> </w:t>
            </w:r>
            <w:r>
              <w:rPr>
                <w:rFonts w:ascii="Arial" w:cs="Arial" w:eastAsia="Arial" w:hAnsi="Arial"/>
                <w:sz w:val="20"/>
                <w:szCs w:val="20"/>
                <w:color w:val="B4B4B4"/>
                <w:w w:val="88"/>
              </w:rPr>
              <w:t>. . . . . . . . . . . . . . . . . . . . . . . . . . .</w:t>
            </w:r>
          </w:p>
        </w:tc>
        <w:tc>
          <w:tcPr>
            <w:tcW w:w="160" w:type="dxa"/>
            <w:vAlign w:val="bottom"/>
          </w:tcPr>
          <w:p>
            <w:pPr>
              <w:ind w:left="60"/>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8,236</w:t>
            </w:r>
          </w:p>
        </w:tc>
        <w:tc>
          <w:tcPr>
            <w:tcW w:w="220" w:type="dxa"/>
            <w:vAlign w:val="bottom"/>
            <w:gridSpan w:val="2"/>
          </w:tcPr>
          <w:p>
            <w:pPr>
              <w:ind w:left="100"/>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ind w:right="3"/>
              <w:spacing w:after="0"/>
              <w:rPr>
                <w:sz w:val="20"/>
                <w:szCs w:val="20"/>
                <w:color w:val="auto"/>
              </w:rPr>
            </w:pPr>
            <w:r>
              <w:rPr>
                <w:rFonts w:ascii="Arial" w:cs="Arial" w:eastAsia="Arial" w:hAnsi="Arial"/>
                <w:sz w:val="20"/>
                <w:szCs w:val="20"/>
                <w:color w:val="auto"/>
                <w:w w:val="88"/>
              </w:rPr>
              <w:t>13,712</w:t>
            </w:r>
          </w:p>
        </w:tc>
        <w:tc>
          <w:tcPr>
            <w:tcW w:w="24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3,612</w:t>
            </w:r>
          </w:p>
        </w:tc>
        <w:tc>
          <w:tcPr>
            <w:tcW w:w="220" w:type="dxa"/>
            <w:vAlign w:val="bottom"/>
            <w:gridSpan w:val="2"/>
          </w:tcPr>
          <w:p>
            <w:pPr>
              <w:ind w:left="120"/>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6,619</w:t>
            </w:r>
          </w:p>
        </w:tc>
        <w:tc>
          <w:tcPr>
            <w:tcW w:w="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20,357</w:t>
            </w:r>
          </w:p>
        </w:tc>
        <w:tc>
          <w:tcPr>
            <w:tcW w:w="6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w w:val="93"/>
              </w:rPr>
              <w:t>(26,498)</w:t>
            </w:r>
          </w:p>
        </w:tc>
        <w:tc>
          <w:tcPr>
            <w:tcW w:w="200" w:type="dxa"/>
            <w:vAlign w:val="bottom"/>
            <w:gridSpan w:val="2"/>
          </w:tcPr>
          <w:p>
            <w:pPr>
              <w:ind w:left="100"/>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84"/>
              </w:rPr>
              <w:t>26,038</w:t>
            </w:r>
          </w:p>
        </w:tc>
        <w:tc>
          <w:tcPr>
            <w:tcW w:w="0" w:type="dxa"/>
            <w:vAlign w:val="bottom"/>
          </w:tcPr>
          <w:p>
            <w:pPr>
              <w:spacing w:after="0"/>
              <w:rPr>
                <w:sz w:val="1"/>
                <w:szCs w:val="1"/>
                <w:color w:val="auto"/>
              </w:rPr>
            </w:pPr>
          </w:p>
        </w:tc>
      </w:tr>
      <w:tr>
        <w:trPr>
          <w:trHeight w:val="286"/>
        </w:trPr>
        <w:tc>
          <w:tcPr>
            <w:tcW w:w="5520" w:type="dxa"/>
            <w:vAlign w:val="bottom"/>
            <w:gridSpan w:val="6"/>
          </w:tcPr>
          <w:p>
            <w:pPr>
              <w:ind w:left="60"/>
              <w:spacing w:after="0"/>
              <w:rPr>
                <w:sz w:val="20"/>
                <w:szCs w:val="20"/>
                <w:color w:val="auto"/>
              </w:rPr>
            </w:pPr>
            <w:r>
              <w:rPr>
                <w:rFonts w:ascii="Arial" w:cs="Arial" w:eastAsia="Arial" w:hAnsi="Arial"/>
                <w:sz w:val="16"/>
                <w:szCs w:val="16"/>
                <w:color w:val="auto"/>
                <w:w w:val="94"/>
              </w:rPr>
              <w:t>(a) Includes results of operations following the acquisition date of March 10, 2023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60"/>
              <w:spacing w:after="0"/>
              <w:rPr>
                <w:sz w:val="20"/>
                <w:szCs w:val="20"/>
                <w:color w:val="auto"/>
              </w:rPr>
            </w:pPr>
            <w:r>
              <w:rPr>
                <w:rFonts w:ascii="Arial" w:cs="Arial" w:eastAsia="Arial" w:hAnsi="Arial"/>
                <w:sz w:val="16"/>
                <w:szCs w:val="16"/>
                <w:color w:val="auto"/>
                <w:w w:val="95"/>
              </w:rPr>
              <w:t>(b) Inter-segment sales and inter-segment net derivative</w:t>
            </w:r>
          </w:p>
        </w:tc>
        <w:tc>
          <w:tcPr>
            <w:tcW w:w="160" w:type="dxa"/>
            <w:vAlign w:val="bottom"/>
            <w:vMerge w:val="restart"/>
          </w:tcPr>
          <w:p>
            <w:pPr>
              <w:ind w:left="60"/>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22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24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220" w:type="dxa"/>
            <w:vAlign w:val="bottom"/>
            <w:gridSpan w:val="2"/>
            <w:vMerge w:val="restart"/>
          </w:tcPr>
          <w:p>
            <w:pPr>
              <w:ind w:left="120"/>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7"/>
        </w:trPr>
        <w:tc>
          <w:tcPr>
            <w:tcW w:w="3860" w:type="dxa"/>
            <w:vAlign w:val="bottom"/>
          </w:tcPr>
          <w:p>
            <w:pPr>
              <w:ind w:left="240"/>
              <w:spacing w:after="0"/>
              <w:rPr>
                <w:sz w:val="20"/>
                <w:szCs w:val="20"/>
                <w:color w:val="auto"/>
              </w:rPr>
            </w:pPr>
            <w:r>
              <w:rPr>
                <w:rFonts w:ascii="Arial" w:cs="Arial" w:eastAsia="Arial" w:hAnsi="Arial"/>
                <w:sz w:val="16"/>
                <w:szCs w:val="16"/>
                <w:color w:val="auto"/>
              </w:rPr>
              <w:t>gains and losses included in revenues</w:t>
            </w:r>
          </w:p>
        </w:tc>
        <w:tc>
          <w:tcPr>
            <w:tcW w:w="16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-4450080</wp:posOffset>
            </wp:positionV>
            <wp:extent cx="6466205" cy="39858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58">
                      <a:extLst>
                        <a:ext uri="{28A0092B-C50C-407E-A947-70E740481C1C}"/>
                      </a:extLst>
                    </a:blip>
                    <a:srcRect/>
                    <a:stretch>
                      <a:fillRect/>
                    </a:stretch>
                  </pic:blipFill>
                  <pic:spPr bwMode="auto">
                    <a:xfrm>
                      <a:off x="0" y="0"/>
                      <a:ext cx="6466205" cy="3985895"/>
                    </a:xfrm>
                    <a:prstGeom prst="rect">
                      <a:avLst/>
                    </a:prstGeom>
                    <a:noFill/>
                  </pic:spPr>
                </pic:pic>
              </a:graphicData>
            </a:graphic>
          </wp:anchor>
        </w:drawing>
      </w:r>
    </w:p>
    <w:p>
      <w:pPr>
        <w:spacing w:after="0" w:line="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 Tax related balances have been recast to Corporate for comparative purposes</w:t>
      </w:r>
    </w:p>
    <w:p>
      <w:pPr>
        <w:sectPr>
          <w:pgSz w:w="11880" w:h="15480" w:orient="portrait"/>
          <w:cols w:equalWidth="0" w:num="1">
            <w:col w:w="10140"/>
          </w:cols>
          <w:pgMar w:left="860" w:top="60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149</w:t>
      </w:r>
    </w:p>
    <w:p>
      <w:pPr>
        <w:sectPr>
          <w:pgSz w:w="11880" w:h="15480" w:orient="portrait"/>
          <w:cols w:equalWidth="0" w:num="1">
            <w:col w:w="10140"/>
          </w:cols>
          <w:pgMar w:left="860" w:top="601" w:right="880" w:bottom="0" w:gutter="0" w:footer="0" w:header="0"/>
          <w:type w:val="continuous"/>
        </w:sectPr>
      </w:pPr>
    </w:p>
    <w:bookmarkStart w:id="151" w:name="page152"/>
    <w:bookmarkEnd w:id="151"/>
    <w:tbl>
      <w:tblPr>
        <w:tblLayout w:type="fixed"/>
        <w:tblInd w:w="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11"/>
          </w:tcPr>
          <w:p>
            <w:pPr>
              <w:jc w:val="right"/>
              <w:ind w:right="226"/>
              <w:spacing w:after="0"/>
              <w:rPr>
                <w:sz w:val="20"/>
                <w:szCs w:val="20"/>
                <w:color w:val="auto"/>
              </w:rPr>
            </w:pPr>
            <w:r>
              <w:rPr>
                <w:rFonts w:ascii="Arial" w:cs="Arial" w:eastAsia="Arial" w:hAnsi="Arial"/>
                <w:sz w:val="16"/>
                <w:szCs w:val="16"/>
                <w:b w:val="1"/>
                <w:bCs w:val="1"/>
                <w:color w:val="auto"/>
              </w:rPr>
              <w:t>For the Year Ended December 31, 2022</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West/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9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3"/>
                <w:szCs w:val="13"/>
                <w:color w:val="auto"/>
              </w:rPr>
            </w:pPr>
          </w:p>
        </w:tc>
        <w:tc>
          <w:tcPr>
            <w:tcW w:w="700" w:type="dxa"/>
            <w:vAlign w:val="bottom"/>
            <w:vMerge w:val="restart"/>
          </w:tcPr>
          <w:p>
            <w:pPr>
              <w:jc w:val="right"/>
              <w:ind w:right="203"/>
              <w:spacing w:after="0"/>
              <w:rPr>
                <w:sz w:val="20"/>
                <w:szCs w:val="20"/>
                <w:color w:val="auto"/>
              </w:rPr>
            </w:pPr>
            <w:r>
              <w:rPr>
                <w:rFonts w:ascii="Arial" w:cs="Arial" w:eastAsia="Arial" w:hAnsi="Arial"/>
                <w:sz w:val="16"/>
                <w:szCs w:val="16"/>
                <w:b w:val="1"/>
                <w:bCs w:val="1"/>
                <w:color w:val="auto"/>
                <w:w w:val="83"/>
              </w:rPr>
              <w:t>Texas</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2"/>
            <w:vMerge w:val="restart"/>
          </w:tcPr>
          <w:p>
            <w:pPr>
              <w:jc w:val="right"/>
              <w:ind w:right="360"/>
              <w:spacing w:after="0"/>
              <w:rPr>
                <w:sz w:val="20"/>
                <w:szCs w:val="20"/>
                <w:color w:val="auto"/>
              </w:rPr>
            </w:pPr>
            <w:r>
              <w:rPr>
                <w:rFonts w:ascii="Arial" w:cs="Arial" w:eastAsia="Arial" w:hAnsi="Arial"/>
                <w:sz w:val="16"/>
                <w:szCs w:val="16"/>
                <w:b w:val="1"/>
                <w:bCs w:val="1"/>
                <w:color w:val="auto"/>
                <w:w w:val="82"/>
              </w:rPr>
              <w:t>East</w:t>
            </w:r>
          </w:p>
        </w:tc>
        <w:tc>
          <w:tcPr>
            <w:tcW w:w="6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5"/>
              </w:rPr>
              <w:t>Services/</w:t>
            </w:r>
          </w:p>
        </w:tc>
        <w:tc>
          <w:tcPr>
            <w:tcW w:w="1000" w:type="dxa"/>
            <w:vAlign w:val="bottom"/>
            <w:gridSpan w:val="3"/>
            <w:vMerge w:val="restart"/>
          </w:tcPr>
          <w:p>
            <w:pPr>
              <w:jc w:val="right"/>
              <w:ind w:right="3"/>
              <w:spacing w:after="0"/>
              <w:rPr>
                <w:sz w:val="20"/>
                <w:szCs w:val="20"/>
                <w:color w:val="auto"/>
              </w:rPr>
            </w:pPr>
            <w:r>
              <w:rPr>
                <w:rFonts w:ascii="Arial" w:cs="Arial" w:eastAsia="Arial" w:hAnsi="Arial"/>
                <w:sz w:val="16"/>
                <w:szCs w:val="16"/>
                <w:b w:val="1"/>
                <w:bCs w:val="1"/>
                <w:color w:val="auto"/>
                <w:w w:val="94"/>
              </w:rPr>
              <w:t>Corporate</w:t>
            </w:r>
            <w:r>
              <w:rPr>
                <w:rFonts w:ascii="Arial" w:cs="Arial" w:eastAsia="Arial" w:hAnsi="Arial"/>
                <w:sz w:val="20"/>
                <w:szCs w:val="20"/>
                <w:b w:val="1"/>
                <w:bCs w:val="1"/>
                <w:color w:val="auto"/>
                <w:w w:val="94"/>
                <w:vertAlign w:val="superscript"/>
              </w:rPr>
              <w:t>(a)</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90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85"/>
              <w:spacing w:after="0"/>
              <w:rPr>
                <w:sz w:val="20"/>
                <w:szCs w:val="20"/>
                <w:color w:val="auto"/>
              </w:rPr>
            </w:pPr>
            <w:r>
              <w:rPr>
                <w:rFonts w:ascii="Arial" w:cs="Arial" w:eastAsia="Arial" w:hAnsi="Arial"/>
                <w:sz w:val="16"/>
                <w:szCs w:val="16"/>
                <w:b w:val="1"/>
                <w:bCs w:val="1"/>
                <w:color w:val="auto"/>
                <w:w w:val="93"/>
              </w:rPr>
              <w:t>Other</w:t>
            </w:r>
          </w:p>
        </w:tc>
        <w:tc>
          <w:tcPr>
            <w:tcW w:w="60" w:type="dxa"/>
            <w:vAlign w:val="bottom"/>
          </w:tcPr>
          <w:p>
            <w:pPr>
              <w:spacing w:after="0"/>
              <w:rPr>
                <w:sz w:val="18"/>
                <w:szCs w:val="18"/>
                <w:color w:val="auto"/>
              </w:rPr>
            </w:pPr>
          </w:p>
        </w:tc>
        <w:tc>
          <w:tcPr>
            <w:tcW w:w="1000" w:type="dxa"/>
            <w:vAlign w:val="bottom"/>
            <w:tcBorders>
              <w:bottom w:val="single" w:sz="8" w:color="auto"/>
            </w:tcBorders>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Eliminations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3900" w:type="dxa"/>
            <w:vAlign w:val="bottom"/>
          </w:tcPr>
          <w:p>
            <w:pPr>
              <w:ind w:left="60"/>
              <w:spacing w:after="0"/>
              <w:rPr>
                <w:sz w:val="20"/>
                <w:szCs w:val="20"/>
                <w:color w:val="auto"/>
              </w:rPr>
            </w:pPr>
            <w:r>
              <w:rPr>
                <w:rFonts w:ascii="Arial" w:cs="Arial" w:eastAsia="Arial" w:hAnsi="Arial"/>
                <w:sz w:val="20"/>
                <w:szCs w:val="20"/>
                <w:b w:val="1"/>
                <w:bCs w:val="1"/>
                <w:color w:val="B4B4B4"/>
                <w:w w:val="90"/>
              </w:rPr>
              <w:t>. . . . . . . . . . . . . . . . . . . . . . . . . . . . .</w:t>
            </w:r>
            <w:r>
              <w:rPr>
                <w:rFonts w:ascii="Arial" w:cs="Arial" w:eastAsia="Arial" w:hAnsi="Arial"/>
                <w:sz w:val="20"/>
                <w:szCs w:val="20"/>
                <w:b w:val="1"/>
                <w:bCs w:val="1"/>
                <w:color w:val="000000"/>
                <w:w w:val="90"/>
              </w:rPr>
              <w:t>Revenue</w:t>
            </w:r>
            <w:r>
              <w:rPr>
                <w:rFonts w:ascii="Arial" w:cs="Arial" w:eastAsia="Arial" w:hAnsi="Arial"/>
                <w:sz w:val="25"/>
                <w:szCs w:val="25"/>
                <w:b w:val="1"/>
                <w:bCs w:val="1"/>
                <w:color w:val="000000"/>
                <w:w w:val="90"/>
                <w:vertAlign w:val="superscript"/>
              </w:rPr>
              <w:t>(a)</w:t>
            </w:r>
          </w:p>
        </w:tc>
        <w:tc>
          <w:tcPr>
            <w:tcW w:w="300" w:type="dxa"/>
            <w:vAlign w:val="bottom"/>
          </w:tcPr>
          <w:p>
            <w:pPr>
              <w:ind w:left="6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98"/>
              </w:rPr>
              <w:t>10,057</w:t>
            </w:r>
          </w:p>
        </w:tc>
        <w:tc>
          <w:tcPr>
            <w:tcW w:w="4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20"/>
                <w:szCs w:val="20"/>
                <w:color w:val="auto"/>
                <w:w w:val="91"/>
              </w:rPr>
              <w:t>16,763</w:t>
            </w:r>
          </w:p>
        </w:tc>
        <w:tc>
          <w:tcPr>
            <w:tcW w:w="6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4,706</w:t>
            </w:r>
          </w:p>
        </w:tc>
        <w:tc>
          <w:tcPr>
            <w:tcW w:w="60" w:type="dxa"/>
            <w:vAlign w:val="bottom"/>
          </w:tcPr>
          <w:p>
            <w:pPr>
              <w:spacing w:after="0"/>
              <w:rPr>
                <w:sz w:val="24"/>
                <w:szCs w:val="24"/>
                <w:color w:val="auto"/>
              </w:rPr>
            </w:pPr>
          </w:p>
        </w:tc>
        <w:tc>
          <w:tcPr>
            <w:tcW w:w="220" w:type="dxa"/>
            <w:vAlign w:val="bottom"/>
            <w:gridSpan w:val="2"/>
          </w:tcPr>
          <w:p>
            <w:pPr>
              <w:ind w:left="40"/>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60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440" w:type="dxa"/>
            <w:vAlign w:val="bottom"/>
            <w:gridSpan w:val="2"/>
          </w:tcPr>
          <w:p>
            <w:pPr>
              <w:jc w:val="right"/>
              <w:spacing w:after="0"/>
              <w:rPr>
                <w:sz w:val="20"/>
                <w:szCs w:val="20"/>
                <w:color w:val="auto"/>
              </w:rPr>
            </w:pPr>
            <w:r>
              <w:rPr>
                <w:rFonts w:ascii="Arial" w:cs="Arial" w:eastAsia="Arial" w:hAnsi="Arial"/>
                <w:sz w:val="20"/>
                <w:szCs w:val="20"/>
                <w:color w:val="auto"/>
              </w:rPr>
              <w:t>17</w:t>
            </w:r>
          </w:p>
        </w:tc>
        <w:tc>
          <w:tcPr>
            <w:tcW w:w="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31,543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900" w:type="dxa"/>
            <w:vAlign w:val="bottom"/>
          </w:tcPr>
          <w:p>
            <w:pPr>
              <w:ind w:left="60"/>
              <w:spacing w:after="0"/>
              <w:rPr>
                <w:sz w:val="20"/>
                <w:szCs w:val="20"/>
                <w:color w:val="auto"/>
              </w:rPr>
            </w:pPr>
            <w:r>
              <w:rPr>
                <w:rFonts w:ascii="Arial" w:cs="Arial" w:eastAsia="Arial" w:hAnsi="Arial"/>
                <w:sz w:val="20"/>
                <w:szCs w:val="20"/>
                <w:color w:val="auto"/>
                <w:w w:val="89"/>
              </w:rPr>
              <w:t xml:space="preserve">Operating Expenses </w:t>
            </w:r>
            <w:r>
              <w:rPr>
                <w:rFonts w:ascii="Arial" w:cs="Arial" w:eastAsia="Arial" w:hAnsi="Arial"/>
                <w:sz w:val="20"/>
                <w:szCs w:val="20"/>
                <w:color w:val="B4B4B4"/>
                <w:w w:val="89"/>
              </w:rPr>
              <w:t>. . . . . . . . . . . . . . . . . . . . . .</w:t>
            </w:r>
          </w:p>
        </w:tc>
        <w:tc>
          <w:tcPr>
            <w:tcW w:w="3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8,444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20"/>
                <w:szCs w:val="20"/>
                <w:color w:val="auto"/>
                <w:w w:val="91"/>
              </w:rPr>
              <w:t>15,998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4,106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3"/>
              <w:spacing w:after="0"/>
              <w:rPr>
                <w:sz w:val="20"/>
                <w:szCs w:val="20"/>
                <w:color w:val="auto"/>
              </w:rPr>
            </w:pPr>
            <w:r>
              <w:rPr>
                <w:rFonts w:ascii="Arial" w:cs="Arial" w:eastAsia="Arial" w:hAnsi="Arial"/>
                <w:sz w:val="20"/>
                <w:szCs w:val="20"/>
                <w:color w:val="auto"/>
              </w:rPr>
              <w:t>86</w:t>
            </w: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20"/>
                <w:szCs w:val="20"/>
                <w:color w:val="auto"/>
              </w:rPr>
              <w:t>17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28,651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3900" w:type="dxa"/>
            <w:vAlign w:val="bottom"/>
          </w:tcPr>
          <w:p>
            <w:pPr>
              <w:ind w:left="60"/>
              <w:spacing w:after="0"/>
              <w:rPr>
                <w:sz w:val="20"/>
                <w:szCs w:val="20"/>
                <w:color w:val="auto"/>
              </w:rPr>
            </w:pPr>
            <w:r>
              <w:rPr>
                <w:rFonts w:ascii="Arial" w:cs="Arial" w:eastAsia="Arial" w:hAnsi="Arial"/>
                <w:sz w:val="20"/>
                <w:szCs w:val="20"/>
                <w:color w:val="auto"/>
                <w:w w:val="90"/>
              </w:rPr>
              <w:t xml:space="preserve">Depreciation and amortization </w:t>
            </w:r>
            <w:r>
              <w:rPr>
                <w:rFonts w:ascii="Arial" w:cs="Arial" w:eastAsia="Arial" w:hAnsi="Arial"/>
                <w:sz w:val="20"/>
                <w:szCs w:val="20"/>
                <w:color w:val="B4B4B4"/>
                <w:w w:val="90"/>
              </w:rPr>
              <w:t>. . . . . . . . . . . . . .</w:t>
            </w:r>
          </w:p>
        </w:tc>
        <w:tc>
          <w:tcPr>
            <w:tcW w:w="300" w:type="dxa"/>
            <w:vAlign w:val="bottom"/>
            <w:tcBorders>
              <w:bottom w:val="single" w:sz="8" w:color="E6E6E6"/>
            </w:tcBorders>
          </w:tcPr>
          <w:p>
            <w:pPr>
              <w:spacing w:after="0"/>
              <w:rPr>
                <w:sz w:val="24"/>
                <w:szCs w:val="24"/>
                <w:color w:val="auto"/>
              </w:rPr>
            </w:pPr>
          </w:p>
        </w:tc>
        <w:tc>
          <w:tcPr>
            <w:tcW w:w="70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361</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E6E6E6"/>
            </w:tcBorders>
          </w:tcPr>
          <w:p>
            <w:pPr>
              <w:spacing w:after="0"/>
              <w:rPr>
                <w:sz w:val="24"/>
                <w:szCs w:val="24"/>
                <w:color w:val="auto"/>
              </w:rPr>
            </w:pPr>
          </w:p>
        </w:tc>
        <w:tc>
          <w:tcPr>
            <w:tcW w:w="660" w:type="dxa"/>
            <w:vAlign w:val="bottom"/>
            <w:tcBorders>
              <w:bottom w:val="single" w:sz="8" w:color="E6E6E6"/>
            </w:tcBorders>
            <w:gridSpan w:val="2"/>
          </w:tcPr>
          <w:p>
            <w:pPr>
              <w:jc w:val="right"/>
              <w:ind w:right="80"/>
              <w:spacing w:after="0"/>
              <w:rPr>
                <w:sz w:val="20"/>
                <w:szCs w:val="20"/>
                <w:color w:val="auto"/>
              </w:rPr>
            </w:pPr>
            <w:r>
              <w:rPr>
                <w:rFonts w:ascii="Arial" w:cs="Arial" w:eastAsia="Arial" w:hAnsi="Arial"/>
                <w:sz w:val="20"/>
                <w:szCs w:val="20"/>
                <w:color w:val="auto"/>
              </w:rPr>
              <w:t>241</w:t>
            </w:r>
          </w:p>
        </w:tc>
        <w:tc>
          <w:tcPr>
            <w:tcW w:w="6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82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87</w:t>
            </w:r>
          </w:p>
        </w:tc>
        <w:tc>
          <w:tcPr>
            <w:tcW w:w="60" w:type="dxa"/>
            <w:vAlign w:val="bottom"/>
            <w:tcBorders>
              <w:bottom w:val="single" w:sz="8" w:color="E6E6E6"/>
            </w:tcBorders>
          </w:tcPr>
          <w:p>
            <w:pPr>
              <w:spacing w:after="0"/>
              <w:rPr>
                <w:sz w:val="24"/>
                <w:szCs w:val="24"/>
                <w:color w:val="auto"/>
              </w:rPr>
            </w:pPr>
          </w:p>
        </w:tc>
        <w:tc>
          <w:tcPr>
            <w:tcW w:w="14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780" w:type="dxa"/>
            <w:vAlign w:val="bottom"/>
            <w:tcBorders>
              <w:bottom w:val="single" w:sz="8" w:color="E6E6E6"/>
            </w:tcBorders>
          </w:tcPr>
          <w:p>
            <w:pPr>
              <w:jc w:val="right"/>
              <w:ind w:right="3"/>
              <w:spacing w:after="0"/>
              <w:rPr>
                <w:sz w:val="20"/>
                <w:szCs w:val="20"/>
                <w:color w:val="auto"/>
              </w:rPr>
            </w:pPr>
            <w:r>
              <w:rPr>
                <w:rFonts w:ascii="Arial" w:cs="Arial" w:eastAsia="Arial" w:hAnsi="Arial"/>
                <w:sz w:val="20"/>
                <w:szCs w:val="20"/>
                <w:color w:val="auto"/>
              </w:rPr>
              <w:t>31</w:t>
            </w:r>
          </w:p>
        </w:tc>
        <w:tc>
          <w:tcPr>
            <w:tcW w:w="40" w:type="dxa"/>
            <w:vAlign w:val="bottom"/>
            <w:tcBorders>
              <w:bottom w:val="single" w:sz="8" w:color="E6E6E6"/>
            </w:tcBorders>
          </w:tcPr>
          <w:p>
            <w:pPr>
              <w:spacing w:after="0"/>
              <w:rPr>
                <w:sz w:val="24"/>
                <w:szCs w:val="24"/>
                <w:color w:val="auto"/>
              </w:rPr>
            </w:pPr>
          </w:p>
        </w:tc>
        <w:tc>
          <w:tcPr>
            <w:tcW w:w="56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36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E6E6E6"/>
            </w:tcBorders>
          </w:tcPr>
          <w:p>
            <w:pPr>
              <w:spacing w:after="0"/>
              <w:rPr>
                <w:sz w:val="24"/>
                <w:szCs w:val="24"/>
                <w:color w:val="auto"/>
              </w:rPr>
            </w:pPr>
          </w:p>
        </w:tc>
        <w:tc>
          <w:tcPr>
            <w:tcW w:w="72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720</w:t>
            </w:r>
          </w:p>
        </w:tc>
        <w:tc>
          <w:tcPr>
            <w:tcW w:w="4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900" w:type="dxa"/>
            <w:vAlign w:val="bottom"/>
          </w:tcPr>
          <w:p>
            <w:pPr>
              <w:ind w:left="60"/>
              <w:spacing w:after="0"/>
              <w:rPr>
                <w:sz w:val="20"/>
                <w:szCs w:val="20"/>
                <w:color w:val="auto"/>
              </w:rPr>
            </w:pPr>
            <w:r>
              <w:rPr>
                <w:rFonts w:ascii="Arial" w:cs="Arial" w:eastAsia="Arial" w:hAnsi="Arial"/>
                <w:sz w:val="20"/>
                <w:szCs w:val="20"/>
                <w:color w:val="auto"/>
                <w:w w:val="91"/>
              </w:rPr>
              <w:t xml:space="preserve">Impairment losses </w:t>
            </w:r>
            <w:r>
              <w:rPr>
                <w:rFonts w:ascii="Arial" w:cs="Arial" w:eastAsia="Arial" w:hAnsi="Arial"/>
                <w:sz w:val="20"/>
                <w:szCs w:val="20"/>
                <w:color w:val="B4B4B4"/>
                <w:w w:val="91"/>
              </w:rPr>
              <w:t>. . . . . . . . . . . . . . . . . . . . . . .</w:t>
            </w: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20"/>
                <w:szCs w:val="20"/>
                <w:color w:val="auto"/>
              </w:rPr>
              <w:t>206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206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900" w:type="dxa"/>
            <w:vAlign w:val="bottom"/>
          </w:tcPr>
          <w:p>
            <w:pPr>
              <w:jc w:val="center"/>
              <w:ind w:left="83"/>
              <w:spacing w:after="0"/>
              <w:rPr>
                <w:sz w:val="20"/>
                <w:szCs w:val="20"/>
                <w:color w:val="auto"/>
              </w:rPr>
            </w:pPr>
            <w:r>
              <w:rPr>
                <w:rFonts w:ascii="Arial" w:cs="Arial" w:eastAsia="Arial" w:hAnsi="Arial"/>
                <w:sz w:val="20"/>
                <w:szCs w:val="20"/>
                <w:b w:val="1"/>
                <w:bCs w:val="1"/>
                <w:color w:val="auto"/>
                <w:w w:val="88"/>
              </w:rPr>
              <w:t xml:space="preserve">Total operating cost and expenses </w:t>
            </w:r>
            <w:r>
              <w:rPr>
                <w:rFonts w:ascii="Arial" w:cs="Arial" w:eastAsia="Arial" w:hAnsi="Arial"/>
                <w:sz w:val="20"/>
                <w:szCs w:val="20"/>
                <w:b w:val="1"/>
                <w:bCs w:val="1"/>
                <w:color w:val="B4B4B4"/>
                <w:w w:val="88"/>
              </w:rPr>
              <w:t>. . . . . . .</w:t>
            </w:r>
          </w:p>
        </w:tc>
        <w:tc>
          <w:tcPr>
            <w:tcW w:w="3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8,805</w:t>
            </w:r>
          </w:p>
        </w:tc>
        <w:tc>
          <w:tcPr>
            <w:tcW w:w="6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20"/>
                <w:szCs w:val="20"/>
                <w:color w:val="auto"/>
                <w:w w:val="91"/>
              </w:rPr>
              <w:t>16,445</w:t>
            </w: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4,193</w:t>
            </w:r>
          </w:p>
        </w:tc>
        <w:tc>
          <w:tcPr>
            <w:tcW w:w="6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jc w:val="right"/>
              <w:ind w:right="3"/>
              <w:spacing w:after="0"/>
              <w:rPr>
                <w:sz w:val="20"/>
                <w:szCs w:val="20"/>
                <w:color w:val="auto"/>
              </w:rPr>
            </w:pPr>
            <w:r>
              <w:rPr>
                <w:rFonts w:ascii="Arial" w:cs="Arial" w:eastAsia="Arial" w:hAnsi="Arial"/>
                <w:sz w:val="20"/>
                <w:szCs w:val="20"/>
                <w:color w:val="auto"/>
              </w:rPr>
              <w:t>117</w:t>
            </w:r>
          </w:p>
        </w:tc>
        <w:tc>
          <w:tcPr>
            <w:tcW w:w="4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rPr>
              <w:t>17</w:t>
            </w:r>
          </w:p>
        </w:tc>
        <w:tc>
          <w:tcPr>
            <w:tcW w:w="6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29,577</w:t>
            </w:r>
          </w:p>
        </w:tc>
        <w:tc>
          <w:tcPr>
            <w:tcW w:w="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3900" w:type="dxa"/>
            <w:vAlign w:val="bottom"/>
          </w:tcPr>
          <w:p>
            <w:pPr>
              <w:ind w:left="60"/>
              <w:spacing w:after="0"/>
              <w:rPr>
                <w:sz w:val="20"/>
                <w:szCs w:val="20"/>
                <w:color w:val="auto"/>
              </w:rPr>
            </w:pPr>
            <w:r>
              <w:rPr>
                <w:rFonts w:ascii="Arial" w:cs="Arial" w:eastAsia="Arial" w:hAnsi="Arial"/>
                <w:sz w:val="20"/>
                <w:szCs w:val="20"/>
                <w:color w:val="auto"/>
                <w:w w:val="88"/>
              </w:rPr>
              <w:t xml:space="preserve">Gain/(loss) on sale of assets </w:t>
            </w:r>
            <w:r>
              <w:rPr>
                <w:rFonts w:ascii="Arial" w:cs="Arial" w:eastAsia="Arial" w:hAnsi="Arial"/>
                <w:sz w:val="20"/>
                <w:szCs w:val="20"/>
                <w:color w:val="B4B4B4"/>
                <w:w w:val="88"/>
              </w:rPr>
              <w:t>. . . . . . . . . . . . . . . .</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900" w:type="dxa"/>
            <w:vAlign w:val="bottom"/>
          </w:tcPr>
          <w:p>
            <w:pPr>
              <w:jc w:val="center"/>
              <w:ind w:left="103"/>
              <w:spacing w:after="0"/>
              <w:rPr>
                <w:sz w:val="20"/>
                <w:szCs w:val="20"/>
                <w:color w:val="auto"/>
              </w:rPr>
            </w:pPr>
            <w:r>
              <w:rPr>
                <w:rFonts w:ascii="Arial" w:cs="Arial" w:eastAsia="Arial" w:hAnsi="Arial"/>
                <w:sz w:val="20"/>
                <w:szCs w:val="20"/>
                <w:b w:val="1"/>
                <w:bCs w:val="1"/>
                <w:color w:val="auto"/>
                <w:w w:val="89"/>
              </w:rPr>
              <w:t xml:space="preserve">Operating income </w:t>
            </w:r>
            <w:r>
              <w:rPr>
                <w:rFonts w:ascii="Arial" w:cs="Arial" w:eastAsia="Arial" w:hAnsi="Arial"/>
                <w:sz w:val="20"/>
                <w:szCs w:val="20"/>
                <w:b w:val="1"/>
                <w:bCs w:val="1"/>
                <w:color w:val="B4B4B4"/>
                <w:w w:val="89"/>
              </w:rPr>
              <w:t>. . . . . . . . . . . . . . . . . . . . .</w:t>
            </w:r>
          </w:p>
        </w:tc>
        <w:tc>
          <w:tcPr>
            <w:tcW w:w="3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1,262</w:t>
            </w:r>
          </w:p>
        </w:tc>
        <w:tc>
          <w:tcPr>
            <w:tcW w:w="6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318</w:t>
            </w: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558</w:t>
            </w:r>
          </w:p>
        </w:tc>
        <w:tc>
          <w:tcPr>
            <w:tcW w:w="6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(120)</w:t>
            </w:r>
          </w:p>
        </w:tc>
        <w:tc>
          <w:tcPr>
            <w:tcW w:w="4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3900" w:type="dxa"/>
            <w:vAlign w:val="bottom"/>
          </w:tcPr>
          <w:p>
            <w:pPr>
              <w:ind w:left="60"/>
              <w:spacing w:after="0"/>
              <w:rPr>
                <w:sz w:val="20"/>
                <w:szCs w:val="20"/>
                <w:color w:val="auto"/>
              </w:rPr>
            </w:pPr>
            <w:r>
              <w:rPr>
                <w:rFonts w:ascii="Arial" w:cs="Arial" w:eastAsia="Arial" w:hAnsi="Arial"/>
                <w:sz w:val="20"/>
                <w:szCs w:val="20"/>
                <w:color w:val="auto"/>
                <w:w w:val="96"/>
              </w:rPr>
              <w:t>Equity in (losses)/earnings of unconsolidated</w:t>
            </w:r>
          </w:p>
        </w:tc>
        <w:tc>
          <w:tcPr>
            <w:tcW w:w="300" w:type="dxa"/>
            <w:vAlign w:val="bottom"/>
          </w:tcPr>
          <w:p>
            <w:pPr>
              <w:spacing w:after="0"/>
              <w:rPr>
                <w:sz w:val="20"/>
                <w:szCs w:val="20"/>
                <w:color w:val="auto"/>
              </w:rPr>
            </w:pP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3"/>
            <w:vMerge w:val="restart"/>
          </w:tcPr>
          <w:p>
            <w:pPr>
              <w:jc w:val="right"/>
              <w:ind w:right="14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vMerge w:val="restart"/>
          </w:tcPr>
          <w:p>
            <w:pPr>
              <w:jc w:val="right"/>
              <w:ind w:right="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900" w:type="dxa"/>
            <w:vAlign w:val="bottom"/>
          </w:tcPr>
          <w:p>
            <w:pPr>
              <w:ind w:left="60"/>
              <w:spacing w:after="0"/>
              <w:rPr>
                <w:sz w:val="20"/>
                <w:szCs w:val="20"/>
                <w:color w:val="auto"/>
              </w:rPr>
            </w:pPr>
            <w:r>
              <w:rPr>
                <w:rFonts w:ascii="Arial" w:cs="Arial" w:eastAsia="Arial" w:hAnsi="Arial"/>
                <w:sz w:val="20"/>
                <w:szCs w:val="20"/>
                <w:color w:val="auto"/>
                <w:w w:val="91"/>
              </w:rPr>
              <w:t xml:space="preserve">affiliates </w:t>
            </w:r>
            <w:r>
              <w:rPr>
                <w:rFonts w:ascii="Arial" w:cs="Arial" w:eastAsia="Arial" w:hAnsi="Arial"/>
                <w:sz w:val="20"/>
                <w:szCs w:val="20"/>
                <w:color w:val="B4B4B4"/>
                <w:w w:val="91"/>
              </w:rPr>
              <w:t>. . . . . . . . . . . . . . . . . . . . . . . . . . . . . . .</w:t>
            </w:r>
          </w:p>
        </w:tc>
        <w:tc>
          <w:tcPr>
            <w:tcW w:w="30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gridSpan w:val="3"/>
            <w:vMerge w:val="continue"/>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900" w:type="dxa"/>
            <w:vAlign w:val="bottom"/>
          </w:tcPr>
          <w:p>
            <w:pPr>
              <w:ind w:left="60"/>
              <w:spacing w:after="0"/>
              <w:rPr>
                <w:sz w:val="20"/>
                <w:szCs w:val="20"/>
                <w:color w:val="auto"/>
              </w:rPr>
            </w:pPr>
            <w:r>
              <w:rPr>
                <w:rFonts w:ascii="Arial" w:cs="Arial" w:eastAsia="Arial" w:hAnsi="Arial"/>
                <w:sz w:val="20"/>
                <w:szCs w:val="20"/>
                <w:color w:val="auto"/>
                <w:w w:val="89"/>
              </w:rPr>
              <w:t xml:space="preserve">Other income, net </w:t>
            </w:r>
            <w:r>
              <w:rPr>
                <w:rFonts w:ascii="Arial" w:cs="Arial" w:eastAsia="Arial" w:hAnsi="Arial"/>
                <w:sz w:val="20"/>
                <w:szCs w:val="20"/>
                <w:color w:val="B4B4B4"/>
                <w:w w:val="89"/>
              </w:rPr>
              <w:t>. . . . . . . . . . . . . . . . . . . . . . . .</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Arial" w:cs="Arial" w:eastAsia="Arial" w:hAnsi="Arial"/>
                <w:sz w:val="20"/>
                <w:szCs w:val="20"/>
                <w:color w:val="auto"/>
              </w:rPr>
              <w:t>50</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900" w:type="dxa"/>
            <w:vAlign w:val="bottom"/>
          </w:tcPr>
          <w:p>
            <w:pPr>
              <w:ind w:left="60"/>
              <w:spacing w:after="0"/>
              <w:rPr>
                <w:sz w:val="20"/>
                <w:szCs w:val="20"/>
                <w:color w:val="auto"/>
              </w:rPr>
            </w:pPr>
            <w:r>
              <w:rPr>
                <w:rFonts w:ascii="Arial" w:cs="Arial" w:eastAsia="Arial" w:hAnsi="Arial"/>
                <w:sz w:val="20"/>
                <w:szCs w:val="20"/>
                <w:color w:val="auto"/>
                <w:w w:val="89"/>
              </w:rPr>
              <w:t xml:space="preserve">Interest expense </w:t>
            </w:r>
            <w:r>
              <w:rPr>
                <w:rFonts w:ascii="Arial" w:cs="Arial" w:eastAsia="Arial" w:hAnsi="Arial"/>
                <w:sz w:val="20"/>
                <w:szCs w:val="20"/>
                <w:color w:val="B4B4B4"/>
                <w:w w:val="89"/>
              </w:rPr>
              <w:t>. . . . . . . . . . . . . . . . . . . . . . . . .</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(417)</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20"/>
                <w:szCs w:val="20"/>
                <w:color w:val="auto"/>
              </w:rPr>
              <w:t>(417)</w:t>
            </w:r>
          </w:p>
        </w:tc>
        <w:tc>
          <w:tcPr>
            <w:tcW w:w="0" w:type="dxa"/>
            <w:vAlign w:val="bottom"/>
          </w:tcPr>
          <w:p>
            <w:pPr>
              <w:spacing w:after="0"/>
              <w:rPr>
                <w:sz w:val="1"/>
                <w:szCs w:val="1"/>
                <w:color w:val="auto"/>
              </w:rPr>
            </w:pPr>
          </w:p>
        </w:tc>
      </w:tr>
      <w:tr>
        <w:trPr>
          <w:trHeight w:val="275"/>
        </w:trPr>
        <w:tc>
          <w:tcPr>
            <w:tcW w:w="3900" w:type="dxa"/>
            <w:vAlign w:val="bottom"/>
          </w:tcPr>
          <w:p>
            <w:pPr>
              <w:jc w:val="center"/>
              <w:ind w:left="83"/>
              <w:spacing w:after="0"/>
              <w:rPr>
                <w:sz w:val="20"/>
                <w:szCs w:val="20"/>
                <w:color w:val="auto"/>
              </w:rPr>
            </w:pPr>
            <w:r>
              <w:rPr>
                <w:rFonts w:ascii="Arial" w:cs="Arial" w:eastAsia="Arial" w:hAnsi="Arial"/>
                <w:sz w:val="20"/>
                <w:szCs w:val="20"/>
                <w:b w:val="1"/>
                <w:bCs w:val="1"/>
                <w:color w:val="auto"/>
                <w:w w:val="88"/>
              </w:rPr>
              <w:t xml:space="preserve">Income/(loss) before income taxes </w:t>
            </w:r>
            <w:r>
              <w:rPr>
                <w:rFonts w:ascii="Arial" w:cs="Arial" w:eastAsia="Arial" w:hAnsi="Arial"/>
                <w:sz w:val="20"/>
                <w:szCs w:val="20"/>
                <w:b w:val="1"/>
                <w:bCs w:val="1"/>
                <w:color w:val="B4B4B4"/>
                <w:w w:val="88"/>
              </w:rPr>
              <w:t>. . . . . . .</w:t>
            </w:r>
          </w:p>
        </w:tc>
        <w:tc>
          <w:tcPr>
            <w:tcW w:w="3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1,264</w:t>
            </w:r>
          </w:p>
        </w:tc>
        <w:tc>
          <w:tcPr>
            <w:tcW w:w="6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319</w:t>
            </w: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567</w:t>
            </w:r>
          </w:p>
        </w:tc>
        <w:tc>
          <w:tcPr>
            <w:tcW w:w="6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(487)</w:t>
            </w:r>
          </w:p>
        </w:tc>
        <w:tc>
          <w:tcPr>
            <w:tcW w:w="4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1,663</w:t>
            </w:r>
          </w:p>
        </w:tc>
        <w:tc>
          <w:tcPr>
            <w:tcW w:w="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3900" w:type="dxa"/>
            <w:vAlign w:val="bottom"/>
          </w:tcPr>
          <w:p>
            <w:pPr>
              <w:ind w:left="60"/>
              <w:spacing w:after="0"/>
              <w:rPr>
                <w:sz w:val="20"/>
                <w:szCs w:val="20"/>
                <w:color w:val="auto"/>
              </w:rPr>
            </w:pPr>
            <w:r>
              <w:rPr>
                <w:rFonts w:ascii="Arial" w:cs="Arial" w:eastAsia="Arial" w:hAnsi="Arial"/>
                <w:sz w:val="20"/>
                <w:szCs w:val="20"/>
                <w:color w:val="auto"/>
                <w:w w:val="90"/>
              </w:rPr>
              <w:t xml:space="preserve">Income tax expense </w:t>
            </w:r>
            <w:r>
              <w:rPr>
                <w:rFonts w:ascii="Arial" w:cs="Arial" w:eastAsia="Arial" w:hAnsi="Arial"/>
                <w:sz w:val="20"/>
                <w:szCs w:val="20"/>
                <w:color w:val="B4B4B4"/>
                <w:w w:val="90"/>
              </w:rPr>
              <w:t>. . . . . . . . . . . . . . . . . . . . . .</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442</w:t>
            </w:r>
          </w:p>
        </w:tc>
        <w:tc>
          <w:tcPr>
            <w:tcW w:w="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442</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900" w:type="dxa"/>
            <w:vAlign w:val="bottom"/>
          </w:tcPr>
          <w:p>
            <w:pPr>
              <w:jc w:val="center"/>
              <w:ind w:left="103"/>
              <w:spacing w:after="0"/>
              <w:rPr>
                <w:sz w:val="20"/>
                <w:szCs w:val="20"/>
                <w:color w:val="auto"/>
              </w:rPr>
            </w:pPr>
            <w:r>
              <w:rPr>
                <w:rFonts w:ascii="Arial" w:cs="Arial" w:eastAsia="Arial" w:hAnsi="Arial"/>
                <w:sz w:val="20"/>
                <w:szCs w:val="20"/>
                <w:b w:val="1"/>
                <w:bCs w:val="1"/>
                <w:color w:val="auto"/>
                <w:w w:val="87"/>
              </w:rPr>
              <w:t xml:space="preserve">Net income/(loss) </w:t>
            </w:r>
            <w:r>
              <w:rPr>
                <w:rFonts w:ascii="Arial" w:cs="Arial" w:eastAsia="Arial" w:hAnsi="Arial"/>
                <w:sz w:val="20"/>
                <w:szCs w:val="20"/>
                <w:b w:val="1"/>
                <w:bCs w:val="1"/>
                <w:color w:val="B4B4B4"/>
                <w:w w:val="87"/>
              </w:rPr>
              <w:t>. . . . . . . . . . . . . . . . . . . . . .</w:t>
            </w:r>
          </w:p>
        </w:tc>
        <w:tc>
          <w:tcPr>
            <w:tcW w:w="300" w:type="dxa"/>
            <w:vAlign w:val="bottom"/>
          </w:tcPr>
          <w:p>
            <w:pPr>
              <w:ind w:left="6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1,264</w:t>
            </w:r>
          </w:p>
        </w:tc>
        <w:tc>
          <w:tcPr>
            <w:tcW w:w="4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20"/>
                <w:szCs w:val="20"/>
                <w:color w:val="auto"/>
              </w:rPr>
              <w:t>319</w:t>
            </w:r>
          </w:p>
        </w:tc>
        <w:tc>
          <w:tcPr>
            <w:tcW w:w="6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567</w:t>
            </w:r>
          </w:p>
        </w:tc>
        <w:tc>
          <w:tcPr>
            <w:tcW w:w="60" w:type="dxa"/>
            <w:vAlign w:val="bottom"/>
          </w:tcPr>
          <w:p>
            <w:pPr>
              <w:spacing w:after="0"/>
              <w:rPr>
                <w:sz w:val="22"/>
                <w:szCs w:val="22"/>
                <w:color w:val="auto"/>
              </w:rPr>
            </w:pPr>
          </w:p>
        </w:tc>
        <w:tc>
          <w:tcPr>
            <w:tcW w:w="220" w:type="dxa"/>
            <w:vAlign w:val="bottom"/>
            <w:gridSpan w:val="2"/>
          </w:tcPr>
          <w:p>
            <w:pPr>
              <w:ind w:left="4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(929)</w:t>
            </w:r>
          </w:p>
        </w:tc>
        <w:tc>
          <w:tcPr>
            <w:tcW w:w="60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1,221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ind w:left="60"/>
              <w:spacing w:after="0"/>
              <w:rPr>
                <w:sz w:val="20"/>
                <w:szCs w:val="20"/>
                <w:color w:val="auto"/>
              </w:rPr>
            </w:pPr>
            <w:r>
              <w:rPr>
                <w:rFonts w:ascii="Arial" w:cs="Arial" w:eastAsia="Arial" w:hAnsi="Arial"/>
                <w:sz w:val="16"/>
                <w:szCs w:val="16"/>
                <w:color w:val="auto"/>
                <w:w w:val="96"/>
              </w:rPr>
              <w:t>(a) Inter-segment sales and inter-segment net derivative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900" w:type="dxa"/>
            <w:vAlign w:val="bottom"/>
            <w:vMerge w:val="continue"/>
          </w:tcPr>
          <w:p>
            <w:pPr>
              <w:spacing w:after="0"/>
              <w:rPr>
                <w:sz w:val="22"/>
                <w:szCs w:val="22"/>
                <w:color w:val="auto"/>
              </w:rPr>
            </w:pPr>
          </w:p>
        </w:tc>
        <w:tc>
          <w:tcPr>
            <w:tcW w:w="3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ind w:right="3"/>
              <w:spacing w:after="0"/>
              <w:rPr>
                <w:sz w:val="20"/>
                <w:szCs w:val="20"/>
                <w:color w:val="auto"/>
              </w:rPr>
            </w:pPr>
            <w:r>
              <w:rPr>
                <w:rFonts w:ascii="Arial" w:cs="Arial" w:eastAsia="Arial" w:hAnsi="Arial"/>
                <w:sz w:val="16"/>
                <w:szCs w:val="16"/>
                <w:color w:val="auto"/>
              </w:rPr>
              <w:t>4</w:t>
            </w:r>
          </w:p>
        </w:tc>
        <w:tc>
          <w:tcPr>
            <w:tcW w:w="4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22"/>
                <w:szCs w:val="22"/>
                <w:color w:val="auto"/>
              </w:rPr>
            </w:pPr>
          </w:p>
        </w:tc>
        <w:tc>
          <w:tcPr>
            <w:tcW w:w="1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2"/>
                <w:szCs w:val="22"/>
                <w:color w:val="auto"/>
              </w:rPr>
            </w:pPr>
          </w:p>
        </w:tc>
        <w:tc>
          <w:tcPr>
            <w:tcW w:w="140" w:type="dxa"/>
            <w:vAlign w:val="bottom"/>
            <w:vMerge w:val="restart"/>
          </w:tcPr>
          <w:p>
            <w:pPr>
              <w:ind w:left="40"/>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7"/>
        </w:trPr>
        <w:tc>
          <w:tcPr>
            <w:tcW w:w="3900" w:type="dxa"/>
            <w:vAlign w:val="bottom"/>
          </w:tcPr>
          <w:p>
            <w:pPr>
              <w:ind w:left="240"/>
              <w:spacing w:after="0"/>
              <w:rPr>
                <w:sz w:val="20"/>
                <w:szCs w:val="20"/>
                <w:color w:val="auto"/>
              </w:rPr>
            </w:pPr>
            <w:r>
              <w:rPr>
                <w:rFonts w:ascii="Arial" w:cs="Arial" w:eastAsia="Arial" w:hAnsi="Arial"/>
                <w:sz w:val="16"/>
                <w:szCs w:val="16"/>
                <w:color w:val="auto"/>
              </w:rPr>
              <w:t>gains and losses included in revenues</w:t>
            </w:r>
          </w:p>
        </w:tc>
        <w:tc>
          <w:tcPr>
            <w:tcW w:w="3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6"/>
        </w:trPr>
        <w:tc>
          <w:tcPr>
            <w:tcW w:w="3900" w:type="dxa"/>
            <w:vAlign w:val="bottom"/>
          </w:tcPr>
          <w:p>
            <w:pPr>
              <w:spacing w:after="0"/>
              <w:rPr>
                <w:sz w:val="20"/>
                <w:szCs w:val="20"/>
                <w:color w:val="auto"/>
              </w:rPr>
            </w:pPr>
            <w:r>
              <w:rPr>
                <w:rFonts w:ascii="Arial" w:cs="Arial" w:eastAsia="Arial" w:hAnsi="Arial"/>
                <w:sz w:val="20"/>
                <w:szCs w:val="20"/>
                <w:b w:val="1"/>
                <w:bCs w:val="1"/>
                <w:color w:val="auto"/>
              </w:rPr>
              <w:t xml:space="preserve">Note 19 — </w:t>
            </w:r>
            <w:r>
              <w:rPr>
                <w:rFonts w:ascii="Arial" w:cs="Arial" w:eastAsia="Arial" w:hAnsi="Arial"/>
                <w:sz w:val="20"/>
                <w:szCs w:val="20"/>
                <w:b w:val="1"/>
                <w:bCs w:val="1"/>
                <w:i w:val="1"/>
                <w:iCs w:val="1"/>
                <w:color w:val="auto"/>
              </w:rPr>
              <w:t>Income Taxes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020" w:type="dxa"/>
            <w:vAlign w:val="bottom"/>
            <w:gridSpan w:val="8"/>
          </w:tcPr>
          <w:p>
            <w:pPr>
              <w:ind w:left="440"/>
              <w:spacing w:after="0"/>
              <w:rPr>
                <w:sz w:val="20"/>
                <w:szCs w:val="20"/>
                <w:color w:val="auto"/>
              </w:rPr>
            </w:pPr>
            <w:r>
              <w:rPr>
                <w:rFonts w:ascii="Arial" w:cs="Arial" w:eastAsia="Arial" w:hAnsi="Arial"/>
                <w:sz w:val="20"/>
                <w:szCs w:val="20"/>
                <w:color w:val="auto"/>
              </w:rPr>
              <w:t>The income tax provision consisted of the following amounts:</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jc w:val="right"/>
              <w:ind w:right="143"/>
              <w:spacing w:after="0"/>
              <w:rPr>
                <w:sz w:val="20"/>
                <w:szCs w:val="20"/>
                <w:color w:val="auto"/>
              </w:rPr>
            </w:pPr>
            <w:r>
              <w:rPr>
                <w:rFonts w:ascii="Arial" w:cs="Arial" w:eastAsia="Arial" w:hAnsi="Arial"/>
                <w:sz w:val="16"/>
                <w:szCs w:val="16"/>
                <w:b w:val="1"/>
                <w:bCs w:val="1"/>
                <w:color w:val="auto"/>
                <w:w w:val="90"/>
              </w:rPr>
              <w:t>Year Ended December 31,</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900" w:type="dxa"/>
            <w:vAlign w:val="bottom"/>
          </w:tcPr>
          <w:p>
            <w:pPr>
              <w:ind w:left="60"/>
              <w:spacing w:after="0"/>
              <w:rPr>
                <w:sz w:val="20"/>
                <w:szCs w:val="20"/>
                <w:color w:val="auto"/>
              </w:rPr>
            </w:pPr>
            <w:r>
              <w:rPr>
                <w:rFonts w:ascii="Arial" w:cs="Arial" w:eastAsia="Arial" w:hAnsi="Arial"/>
                <w:sz w:val="16"/>
                <w:szCs w:val="16"/>
                <w:b w:val="1"/>
                <w:bCs w:val="1"/>
                <w:color w:val="auto"/>
              </w:rPr>
              <w:t>(In millions, except effective income tax rate)</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45"/>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466"/>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443"/>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900" w:type="dxa"/>
            <w:vAlign w:val="bottom"/>
          </w:tcPr>
          <w:p>
            <w:pPr>
              <w:ind w:left="60"/>
              <w:spacing w:after="0"/>
              <w:rPr>
                <w:sz w:val="20"/>
                <w:szCs w:val="20"/>
                <w:color w:val="auto"/>
              </w:rPr>
            </w:pPr>
            <w:r>
              <w:rPr>
                <w:rFonts w:ascii="Arial" w:cs="Arial" w:eastAsia="Arial" w:hAnsi="Arial"/>
                <w:sz w:val="20"/>
                <w:szCs w:val="20"/>
                <w:color w:val="auto"/>
              </w:rPr>
              <w:t>Current</w:t>
            </w: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900" w:type="dxa"/>
            <w:vAlign w:val="bottom"/>
          </w:tcPr>
          <w:p>
            <w:pPr>
              <w:jc w:val="center"/>
              <w:ind w:left="63"/>
              <w:spacing w:after="0"/>
              <w:rPr>
                <w:sz w:val="20"/>
                <w:szCs w:val="20"/>
                <w:color w:val="auto"/>
              </w:rPr>
            </w:pPr>
            <w:r>
              <w:rPr>
                <w:rFonts w:ascii="Arial" w:cs="Arial" w:eastAsia="Arial" w:hAnsi="Arial"/>
                <w:sz w:val="20"/>
                <w:szCs w:val="20"/>
                <w:color w:val="auto"/>
                <w:w w:val="89"/>
              </w:rPr>
              <w:t xml:space="preserve">U.S. Federal </w:t>
            </w:r>
            <w:r>
              <w:rPr>
                <w:rFonts w:ascii="Arial" w:cs="Arial" w:eastAsia="Arial" w:hAnsi="Arial"/>
                <w:sz w:val="20"/>
                <w:szCs w:val="20"/>
                <w:color w:val="B4B4B4"/>
                <w:w w:val="89"/>
              </w:rPr>
              <w:t>. . . . . . . . . . . . . . . . . . . . . . . . . . .</w:t>
            </w:r>
          </w:p>
        </w:tc>
        <w:tc>
          <w:tcPr>
            <w:tcW w:w="300" w:type="dxa"/>
            <w:vAlign w:val="bottom"/>
          </w:tcPr>
          <w:p>
            <w:pPr>
              <w:ind w:left="40"/>
              <w:spacing w:after="0"/>
              <w:rPr>
                <w:sz w:val="20"/>
                <w:szCs w:val="20"/>
                <w:color w:val="auto"/>
              </w:rPr>
            </w:pPr>
            <w:r>
              <w:rPr>
                <w:rFonts w:ascii="Arial" w:cs="Arial" w:eastAsia="Arial" w:hAnsi="Arial"/>
                <w:sz w:val="20"/>
                <w:szCs w:val="20"/>
                <w:color w:val="B4B4B4"/>
                <w:w w:val="86"/>
              </w:rPr>
              <w:t>. . .</w:t>
            </w:r>
          </w:p>
        </w:tc>
        <w:tc>
          <w:tcPr>
            <w:tcW w:w="700" w:type="dxa"/>
            <w:vAlign w:val="bottom"/>
          </w:tcPr>
          <w:p>
            <w:pPr>
              <w:jc w:val="right"/>
              <w:spacing w:after="0"/>
              <w:rPr>
                <w:sz w:val="20"/>
                <w:szCs w:val="20"/>
                <w:color w:val="auto"/>
              </w:rPr>
            </w:pPr>
            <w:r>
              <w:rPr>
                <w:rFonts w:ascii="Arial" w:cs="Arial" w:eastAsia="Arial" w:hAnsi="Arial"/>
                <w:sz w:val="20"/>
                <w:szCs w:val="20"/>
                <w:color w:val="B4B4B4"/>
                <w:w w:val="91"/>
              </w:rPr>
              <w:t>. . . . . . .</w:t>
            </w:r>
          </w:p>
        </w:tc>
        <w:tc>
          <w:tcPr>
            <w:tcW w:w="400" w:type="dxa"/>
            <w:vAlign w:val="bottom"/>
            <w:gridSpan w:val="2"/>
          </w:tcPr>
          <w:p>
            <w:pPr>
              <w:jc w:val="right"/>
              <w:ind w:right="20"/>
              <w:spacing w:after="0"/>
              <w:rPr>
                <w:sz w:val="20"/>
                <w:szCs w:val="20"/>
                <w:color w:val="auto"/>
              </w:rPr>
            </w:pPr>
            <w:r>
              <w:rPr>
                <w:rFonts w:ascii="Arial" w:cs="Arial" w:eastAsia="Arial" w:hAnsi="Arial"/>
                <w:sz w:val="20"/>
                <w:szCs w:val="20"/>
                <w:color w:val="B4B4B4"/>
                <w:w w:val="92"/>
              </w:rPr>
              <w:t>. . . .</w:t>
            </w:r>
          </w:p>
        </w:tc>
        <w:tc>
          <w:tcPr>
            <w:tcW w:w="720" w:type="dxa"/>
            <w:vAlign w:val="bottom"/>
            <w:gridSpan w:val="3"/>
          </w:tcPr>
          <w:p>
            <w:pPr>
              <w:ind w:left="20"/>
              <w:spacing w:after="0"/>
              <w:rPr>
                <w:sz w:val="20"/>
                <w:szCs w:val="20"/>
                <w:color w:val="auto"/>
              </w:rPr>
            </w:pPr>
            <w:r>
              <w:rPr>
                <w:rFonts w:ascii="Arial" w:cs="Arial" w:eastAsia="Arial" w:hAnsi="Arial"/>
                <w:sz w:val="20"/>
                <w:szCs w:val="20"/>
                <w:color w:val="B4B4B4"/>
              </w:rPr>
              <w:t xml:space="preserve">. . . . . </w:t>
            </w:r>
            <w:r>
              <w:rPr>
                <w:rFonts w:ascii="Arial" w:cs="Arial" w:eastAsia="Arial" w:hAnsi="Arial"/>
                <w:sz w:val="20"/>
                <w:szCs w:val="20"/>
                <w:color w:val="000000"/>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543"/>
              <w:spacing w:after="0"/>
              <w:rPr>
                <w:sz w:val="20"/>
                <w:szCs w:val="20"/>
                <w:color w:val="auto"/>
              </w:rPr>
            </w:pPr>
            <w:r>
              <w:rPr>
                <w:rFonts w:ascii="Arial" w:cs="Arial" w:eastAsia="Arial" w:hAnsi="Arial"/>
                <w:sz w:val="20"/>
                <w:szCs w:val="20"/>
                <w:color w:val="auto"/>
              </w:rPr>
              <w:t>$</w:t>
            </w:r>
          </w:p>
        </w:tc>
        <w:tc>
          <w:tcPr>
            <w:tcW w:w="600" w:type="dxa"/>
            <w:vAlign w:val="bottom"/>
            <w:gridSpan w:val="2"/>
          </w:tcPr>
          <w:p>
            <w:pPr>
              <w:jc w:val="right"/>
              <w:ind w:right="166"/>
              <w:spacing w:after="0"/>
              <w:rPr>
                <w:sz w:val="20"/>
                <w:szCs w:val="20"/>
                <w:color w:val="auto"/>
              </w:rPr>
            </w:pPr>
            <w:r>
              <w:rPr>
                <w:rFonts w:ascii="Arial" w:cs="Arial" w:eastAsia="Arial" w:hAnsi="Arial"/>
                <w:sz w:val="20"/>
                <w:szCs w:val="20"/>
                <w:color w:val="auto"/>
              </w:rPr>
              <w:t>26</w:t>
            </w:r>
          </w:p>
        </w:tc>
        <w:tc>
          <w:tcPr>
            <w:tcW w:w="440" w:type="dxa"/>
            <w:vAlign w:val="bottom"/>
            <w:gridSpan w:val="2"/>
          </w:tcPr>
          <w:p>
            <w:pPr>
              <w:jc w:val="right"/>
              <w:ind w:right="12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163"/>
              <w:spacing w:after="0"/>
              <w:rPr>
                <w:sz w:val="20"/>
                <w:szCs w:val="20"/>
                <w:color w:val="auto"/>
              </w:rPr>
            </w:pPr>
            <w:r>
              <w:rPr>
                <w:rFonts w:ascii="Arial" w:cs="Arial" w:eastAsia="Arial" w:hAnsi="Arial"/>
                <w:sz w:val="20"/>
                <w:szCs w:val="20"/>
                <w:color w:val="auto"/>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00" w:type="dxa"/>
            <w:vAlign w:val="bottom"/>
          </w:tcPr>
          <w:p>
            <w:pPr>
              <w:jc w:val="center"/>
              <w:ind w:left="63"/>
              <w:spacing w:after="0"/>
              <w:rPr>
                <w:sz w:val="20"/>
                <w:szCs w:val="20"/>
                <w:color w:val="auto"/>
              </w:rPr>
            </w:pPr>
            <w:r>
              <w:rPr>
                <w:rFonts w:ascii="Arial" w:cs="Arial" w:eastAsia="Arial" w:hAnsi="Arial"/>
                <w:sz w:val="20"/>
                <w:szCs w:val="20"/>
                <w:color w:val="auto"/>
                <w:w w:val="89"/>
              </w:rPr>
              <w:t xml:space="preserve">State </w:t>
            </w:r>
            <w:r>
              <w:rPr>
                <w:rFonts w:ascii="Arial" w:cs="Arial" w:eastAsia="Arial" w:hAnsi="Arial"/>
                <w:sz w:val="20"/>
                <w:szCs w:val="20"/>
                <w:color w:val="B4B4B4"/>
                <w:w w:val="89"/>
              </w:rPr>
              <w:t>. . . . . . . . . . . . . . . . . . . . . . . . . . . . . . . . .</w:t>
            </w:r>
          </w:p>
        </w:tc>
        <w:tc>
          <w:tcPr>
            <w:tcW w:w="300" w:type="dxa"/>
            <w:vAlign w:val="bottom"/>
          </w:tcPr>
          <w:p>
            <w:pPr>
              <w:ind w:left="40"/>
              <w:spacing w:after="0"/>
              <w:rPr>
                <w:sz w:val="20"/>
                <w:szCs w:val="20"/>
                <w:color w:val="auto"/>
              </w:rPr>
            </w:pPr>
            <w:r>
              <w:rPr>
                <w:rFonts w:ascii="Arial" w:cs="Arial" w:eastAsia="Arial" w:hAnsi="Arial"/>
                <w:sz w:val="20"/>
                <w:szCs w:val="20"/>
                <w:color w:val="B4B4B4"/>
                <w:w w:val="86"/>
              </w:rPr>
              <w:t>. . .</w:t>
            </w:r>
          </w:p>
        </w:tc>
        <w:tc>
          <w:tcPr>
            <w:tcW w:w="700" w:type="dxa"/>
            <w:vAlign w:val="bottom"/>
          </w:tcPr>
          <w:p>
            <w:pPr>
              <w:jc w:val="right"/>
              <w:spacing w:after="0"/>
              <w:rPr>
                <w:sz w:val="20"/>
                <w:szCs w:val="20"/>
                <w:color w:val="auto"/>
              </w:rPr>
            </w:pPr>
            <w:r>
              <w:rPr>
                <w:rFonts w:ascii="Arial" w:cs="Arial" w:eastAsia="Arial" w:hAnsi="Arial"/>
                <w:sz w:val="20"/>
                <w:szCs w:val="20"/>
                <w:color w:val="B4B4B4"/>
                <w:w w:val="91"/>
              </w:rPr>
              <w:t>. . . . . . .</w:t>
            </w:r>
          </w:p>
        </w:tc>
        <w:tc>
          <w:tcPr>
            <w:tcW w:w="400" w:type="dxa"/>
            <w:vAlign w:val="bottom"/>
            <w:gridSpan w:val="2"/>
          </w:tcPr>
          <w:p>
            <w:pPr>
              <w:jc w:val="right"/>
              <w:ind w:right="20"/>
              <w:spacing w:after="0"/>
              <w:rPr>
                <w:sz w:val="20"/>
                <w:szCs w:val="20"/>
                <w:color w:val="auto"/>
              </w:rPr>
            </w:pPr>
            <w:r>
              <w:rPr>
                <w:rFonts w:ascii="Arial" w:cs="Arial" w:eastAsia="Arial" w:hAnsi="Arial"/>
                <w:sz w:val="20"/>
                <w:szCs w:val="20"/>
                <w:color w:val="B4B4B4"/>
                <w:w w:val="92"/>
              </w:rPr>
              <w:t>. . . .</w:t>
            </w:r>
          </w:p>
        </w:tc>
        <w:tc>
          <w:tcPr>
            <w:tcW w:w="520" w:type="dxa"/>
            <w:vAlign w:val="bottom"/>
          </w:tcPr>
          <w:p>
            <w:pPr>
              <w:ind w:left="20"/>
              <w:spacing w:after="0"/>
              <w:rPr>
                <w:sz w:val="20"/>
                <w:szCs w:val="20"/>
                <w:color w:val="auto"/>
              </w:rPr>
            </w:pPr>
            <w:r>
              <w:rPr>
                <w:rFonts w:ascii="Arial" w:cs="Arial" w:eastAsia="Arial" w:hAnsi="Arial"/>
                <w:sz w:val="20"/>
                <w:szCs w:val="20"/>
                <w:color w:val="B4B4B4"/>
                <w:w w:val="95"/>
              </w:rPr>
              <w:t>. . . . .</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gridSpan w:val="2"/>
          </w:tcPr>
          <w:p>
            <w:pPr>
              <w:jc w:val="right"/>
              <w:ind w:right="166"/>
              <w:spacing w:after="0"/>
              <w:rPr>
                <w:sz w:val="20"/>
                <w:szCs w:val="20"/>
                <w:color w:val="auto"/>
              </w:rPr>
            </w:pPr>
            <w:r>
              <w:rPr>
                <w:rFonts w:ascii="Arial" w:cs="Arial" w:eastAsia="Arial" w:hAnsi="Arial"/>
                <w:sz w:val="20"/>
                <w:szCs w:val="20"/>
                <w:color w:val="auto"/>
              </w:rPr>
              <w:t>84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163"/>
              <w:spacing w:after="0"/>
              <w:rPr>
                <w:sz w:val="20"/>
                <w:szCs w:val="20"/>
                <w:color w:val="auto"/>
              </w:rPr>
            </w:pPr>
            <w:r>
              <w:rPr>
                <w:rFonts w:ascii="Arial" w:cs="Arial" w:eastAsia="Arial" w:hAnsi="Arial"/>
                <w:sz w:val="20"/>
                <w:szCs w:val="20"/>
                <w:color w:val="auto"/>
              </w:rPr>
              <w:t>65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900" w:type="dxa"/>
            <w:vAlign w:val="bottom"/>
          </w:tcPr>
          <w:p>
            <w:pPr>
              <w:jc w:val="center"/>
              <w:ind w:left="63"/>
              <w:spacing w:after="0"/>
              <w:rPr>
                <w:sz w:val="20"/>
                <w:szCs w:val="20"/>
                <w:color w:val="auto"/>
              </w:rPr>
            </w:pPr>
            <w:r>
              <w:rPr>
                <w:rFonts w:ascii="Arial" w:cs="Arial" w:eastAsia="Arial" w:hAnsi="Arial"/>
                <w:sz w:val="20"/>
                <w:szCs w:val="20"/>
                <w:color w:val="auto"/>
                <w:w w:val="89"/>
              </w:rPr>
              <w:t xml:space="preserve">Foreign </w:t>
            </w:r>
            <w:r>
              <w:rPr>
                <w:rFonts w:ascii="Arial" w:cs="Arial" w:eastAsia="Arial" w:hAnsi="Arial"/>
                <w:sz w:val="20"/>
                <w:szCs w:val="20"/>
                <w:color w:val="B4B4B4"/>
                <w:w w:val="89"/>
              </w:rPr>
              <w:t>. . . . . . . . . . . . . . . . . . . . . . . . . . . . . . .</w:t>
            </w:r>
          </w:p>
        </w:tc>
        <w:tc>
          <w:tcPr>
            <w:tcW w:w="300" w:type="dxa"/>
            <w:vAlign w:val="bottom"/>
          </w:tcPr>
          <w:p>
            <w:pPr>
              <w:ind w:left="40"/>
              <w:spacing w:after="0"/>
              <w:rPr>
                <w:sz w:val="20"/>
                <w:szCs w:val="20"/>
                <w:color w:val="auto"/>
              </w:rPr>
            </w:pPr>
            <w:r>
              <w:rPr>
                <w:rFonts w:ascii="Arial" w:cs="Arial" w:eastAsia="Arial" w:hAnsi="Arial"/>
                <w:sz w:val="20"/>
                <w:szCs w:val="20"/>
                <w:color w:val="B4B4B4"/>
                <w:w w:val="86"/>
              </w:rPr>
              <w:t>. . .</w:t>
            </w:r>
          </w:p>
        </w:tc>
        <w:tc>
          <w:tcPr>
            <w:tcW w:w="700" w:type="dxa"/>
            <w:vAlign w:val="bottom"/>
          </w:tcPr>
          <w:p>
            <w:pPr>
              <w:jc w:val="right"/>
              <w:spacing w:after="0"/>
              <w:rPr>
                <w:sz w:val="20"/>
                <w:szCs w:val="20"/>
                <w:color w:val="auto"/>
              </w:rPr>
            </w:pPr>
            <w:r>
              <w:rPr>
                <w:rFonts w:ascii="Arial" w:cs="Arial" w:eastAsia="Arial" w:hAnsi="Arial"/>
                <w:sz w:val="20"/>
                <w:szCs w:val="20"/>
                <w:color w:val="B4B4B4"/>
                <w:w w:val="91"/>
              </w:rPr>
              <w:t>. . . . . . .</w:t>
            </w:r>
          </w:p>
        </w:tc>
        <w:tc>
          <w:tcPr>
            <w:tcW w:w="400" w:type="dxa"/>
            <w:vAlign w:val="bottom"/>
            <w:gridSpan w:val="2"/>
          </w:tcPr>
          <w:p>
            <w:pPr>
              <w:jc w:val="right"/>
              <w:ind w:right="20"/>
              <w:spacing w:after="0"/>
              <w:rPr>
                <w:sz w:val="20"/>
                <w:szCs w:val="20"/>
                <w:color w:val="auto"/>
              </w:rPr>
            </w:pPr>
            <w:r>
              <w:rPr>
                <w:rFonts w:ascii="Arial" w:cs="Arial" w:eastAsia="Arial" w:hAnsi="Arial"/>
                <w:sz w:val="20"/>
                <w:szCs w:val="20"/>
                <w:color w:val="B4B4B4"/>
                <w:w w:val="92"/>
              </w:rPr>
              <w:t>. . . .</w:t>
            </w:r>
          </w:p>
        </w:tc>
        <w:tc>
          <w:tcPr>
            <w:tcW w:w="520" w:type="dxa"/>
            <w:vAlign w:val="bottom"/>
          </w:tcPr>
          <w:p>
            <w:pPr>
              <w:ind w:left="20"/>
              <w:spacing w:after="0"/>
              <w:rPr>
                <w:sz w:val="20"/>
                <w:szCs w:val="20"/>
                <w:color w:val="auto"/>
              </w:rPr>
            </w:pPr>
            <w:r>
              <w:rPr>
                <w:rFonts w:ascii="Arial" w:cs="Arial" w:eastAsia="Arial" w:hAnsi="Arial"/>
                <w:sz w:val="20"/>
                <w:szCs w:val="20"/>
                <w:color w:val="B4B4B4"/>
                <w:w w:val="95"/>
              </w:rPr>
              <w:t>. . . . .</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63"/>
              <w:spacing w:after="0"/>
              <w:rPr>
                <w:sz w:val="20"/>
                <w:szCs w:val="20"/>
                <w:color w:val="auto"/>
              </w:rPr>
            </w:pPr>
            <w:r>
              <w:rPr>
                <w:rFonts w:ascii="Arial" w:cs="Arial" w:eastAsia="Arial" w:hAnsi="Arial"/>
                <w:sz w:val="20"/>
                <w:szCs w:val="20"/>
                <w:color w:val="auto"/>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900" w:type="dxa"/>
            <w:vAlign w:val="bottom"/>
          </w:tcPr>
          <w:p>
            <w:pPr>
              <w:ind w:left="60"/>
              <w:spacing w:after="0"/>
              <w:rPr>
                <w:sz w:val="20"/>
                <w:szCs w:val="20"/>
                <w:color w:val="auto"/>
              </w:rPr>
            </w:pPr>
            <w:r>
              <w:rPr>
                <w:rFonts w:ascii="Arial" w:cs="Arial" w:eastAsia="Arial" w:hAnsi="Arial"/>
                <w:sz w:val="20"/>
                <w:szCs w:val="20"/>
                <w:color w:val="auto"/>
                <w:w w:val="90"/>
              </w:rPr>
              <w:t xml:space="preserve">Total — current  </w:t>
            </w:r>
            <w:r>
              <w:rPr>
                <w:rFonts w:ascii="Arial" w:cs="Arial" w:eastAsia="Arial" w:hAnsi="Arial"/>
                <w:sz w:val="20"/>
                <w:szCs w:val="20"/>
                <w:color w:val="B4B4B4"/>
                <w:w w:val="90"/>
              </w:rPr>
              <w:t>. . . . . . . . . . . . . . . . . . . . . . . . .</w:t>
            </w:r>
          </w:p>
        </w:tc>
        <w:tc>
          <w:tcPr>
            <w:tcW w:w="300" w:type="dxa"/>
            <w:vAlign w:val="bottom"/>
          </w:tcPr>
          <w:p>
            <w:pPr>
              <w:ind w:left="40"/>
              <w:spacing w:after="0"/>
              <w:rPr>
                <w:sz w:val="20"/>
                <w:szCs w:val="20"/>
                <w:color w:val="auto"/>
              </w:rPr>
            </w:pPr>
            <w:r>
              <w:rPr>
                <w:rFonts w:ascii="Arial" w:cs="Arial" w:eastAsia="Arial" w:hAnsi="Arial"/>
                <w:sz w:val="20"/>
                <w:szCs w:val="20"/>
                <w:color w:val="B4B4B4"/>
                <w:w w:val="86"/>
              </w:rPr>
              <w:t>. . .</w:t>
            </w:r>
          </w:p>
        </w:tc>
        <w:tc>
          <w:tcPr>
            <w:tcW w:w="700" w:type="dxa"/>
            <w:vAlign w:val="bottom"/>
          </w:tcPr>
          <w:p>
            <w:pPr>
              <w:jc w:val="right"/>
              <w:spacing w:after="0"/>
              <w:rPr>
                <w:sz w:val="20"/>
                <w:szCs w:val="20"/>
                <w:color w:val="auto"/>
              </w:rPr>
            </w:pPr>
            <w:r>
              <w:rPr>
                <w:rFonts w:ascii="Arial" w:cs="Arial" w:eastAsia="Arial" w:hAnsi="Arial"/>
                <w:sz w:val="20"/>
                <w:szCs w:val="20"/>
                <w:color w:val="B4B4B4"/>
                <w:w w:val="91"/>
              </w:rPr>
              <w:t>. . . . . . .</w:t>
            </w:r>
          </w:p>
        </w:tc>
        <w:tc>
          <w:tcPr>
            <w:tcW w:w="400" w:type="dxa"/>
            <w:vAlign w:val="bottom"/>
            <w:gridSpan w:val="2"/>
          </w:tcPr>
          <w:p>
            <w:pPr>
              <w:jc w:val="right"/>
              <w:ind w:right="40"/>
              <w:spacing w:after="0"/>
              <w:rPr>
                <w:sz w:val="20"/>
                <w:szCs w:val="20"/>
                <w:color w:val="auto"/>
              </w:rPr>
            </w:pPr>
            <w:r>
              <w:rPr>
                <w:rFonts w:ascii="Arial" w:cs="Arial" w:eastAsia="Arial" w:hAnsi="Arial"/>
                <w:sz w:val="20"/>
                <w:szCs w:val="20"/>
                <w:color w:val="B4B4B4"/>
                <w:w w:val="87"/>
              </w:rPr>
              <w:t>. . . .</w:t>
            </w:r>
          </w:p>
        </w:tc>
        <w:tc>
          <w:tcPr>
            <w:tcW w:w="520" w:type="dxa"/>
            <w:vAlign w:val="bottom"/>
          </w:tcPr>
          <w:p>
            <w:pPr>
              <w:ind w:left="20"/>
              <w:spacing w:after="0"/>
              <w:rPr>
                <w:sz w:val="20"/>
                <w:szCs w:val="20"/>
                <w:color w:val="auto"/>
              </w:rPr>
            </w:pPr>
            <w:r>
              <w:rPr>
                <w:rFonts w:ascii="Arial" w:cs="Arial" w:eastAsia="Arial" w:hAnsi="Arial"/>
                <w:sz w:val="20"/>
                <w:szCs w:val="20"/>
                <w:color w:val="B4B4B4"/>
                <w:w w:val="95"/>
              </w:rPr>
              <w:t>. . . . .</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166"/>
              <w:spacing w:after="0"/>
              <w:rPr>
                <w:sz w:val="20"/>
                <w:szCs w:val="20"/>
                <w:color w:val="auto"/>
              </w:rPr>
            </w:pPr>
            <w:r>
              <w:rPr>
                <w:rFonts w:ascii="Arial" w:cs="Arial" w:eastAsia="Arial" w:hAnsi="Arial"/>
                <w:sz w:val="20"/>
                <w:szCs w:val="20"/>
                <w:color w:val="auto"/>
              </w:rPr>
              <w:t>98</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63"/>
              <w:spacing w:after="0"/>
              <w:rPr>
                <w:sz w:val="20"/>
                <w:szCs w:val="20"/>
                <w:color w:val="auto"/>
              </w:rPr>
            </w:pPr>
            <w:r>
              <w:rPr>
                <w:rFonts w:ascii="Arial" w:cs="Arial" w:eastAsia="Arial" w:hAnsi="Arial"/>
                <w:sz w:val="20"/>
                <w:szCs w:val="20"/>
                <w:color w:val="auto"/>
              </w:rPr>
              <w:t>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900" w:type="dxa"/>
            <w:vAlign w:val="bottom"/>
          </w:tcPr>
          <w:p>
            <w:pPr>
              <w:ind w:left="60"/>
              <w:spacing w:after="0"/>
              <w:rPr>
                <w:sz w:val="20"/>
                <w:szCs w:val="20"/>
                <w:color w:val="auto"/>
              </w:rPr>
            </w:pPr>
            <w:r>
              <w:rPr>
                <w:rFonts w:ascii="Arial" w:cs="Arial" w:eastAsia="Arial" w:hAnsi="Arial"/>
                <w:sz w:val="20"/>
                <w:szCs w:val="20"/>
                <w:color w:val="auto"/>
              </w:rPr>
              <w:t>Deferred</w:t>
            </w: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900" w:type="dxa"/>
            <w:vAlign w:val="bottom"/>
          </w:tcPr>
          <w:p>
            <w:pPr>
              <w:jc w:val="center"/>
              <w:ind w:left="63"/>
              <w:spacing w:after="0"/>
              <w:rPr>
                <w:sz w:val="20"/>
                <w:szCs w:val="20"/>
                <w:color w:val="auto"/>
              </w:rPr>
            </w:pPr>
            <w:r>
              <w:rPr>
                <w:rFonts w:ascii="Arial" w:cs="Arial" w:eastAsia="Arial" w:hAnsi="Arial"/>
                <w:sz w:val="20"/>
                <w:szCs w:val="20"/>
                <w:color w:val="auto"/>
                <w:w w:val="89"/>
              </w:rPr>
              <w:t xml:space="preserve">U.S. Federal </w:t>
            </w:r>
            <w:r>
              <w:rPr>
                <w:rFonts w:ascii="Arial" w:cs="Arial" w:eastAsia="Arial" w:hAnsi="Arial"/>
                <w:sz w:val="20"/>
                <w:szCs w:val="20"/>
                <w:color w:val="B4B4B4"/>
                <w:w w:val="89"/>
              </w:rPr>
              <w:t>. . . . . . . . . . . . . . . . . . . . . . . . . . .</w:t>
            </w:r>
          </w:p>
        </w:tc>
        <w:tc>
          <w:tcPr>
            <w:tcW w:w="300" w:type="dxa"/>
            <w:vAlign w:val="bottom"/>
          </w:tcPr>
          <w:p>
            <w:pPr>
              <w:ind w:left="40"/>
              <w:spacing w:after="0"/>
              <w:rPr>
                <w:sz w:val="20"/>
                <w:szCs w:val="20"/>
                <w:color w:val="auto"/>
              </w:rPr>
            </w:pPr>
            <w:r>
              <w:rPr>
                <w:rFonts w:ascii="Arial" w:cs="Arial" w:eastAsia="Arial" w:hAnsi="Arial"/>
                <w:sz w:val="20"/>
                <w:szCs w:val="20"/>
                <w:color w:val="B4B4B4"/>
                <w:w w:val="86"/>
              </w:rPr>
              <w:t>. . .</w:t>
            </w:r>
          </w:p>
        </w:tc>
        <w:tc>
          <w:tcPr>
            <w:tcW w:w="700" w:type="dxa"/>
            <w:vAlign w:val="bottom"/>
          </w:tcPr>
          <w:p>
            <w:pPr>
              <w:jc w:val="right"/>
              <w:spacing w:after="0"/>
              <w:rPr>
                <w:sz w:val="20"/>
                <w:szCs w:val="20"/>
                <w:color w:val="auto"/>
              </w:rPr>
            </w:pPr>
            <w:r>
              <w:rPr>
                <w:rFonts w:ascii="Arial" w:cs="Arial" w:eastAsia="Arial" w:hAnsi="Arial"/>
                <w:sz w:val="20"/>
                <w:szCs w:val="20"/>
                <w:color w:val="B4B4B4"/>
                <w:w w:val="91"/>
              </w:rPr>
              <w:t>. . . . . . .</w:t>
            </w:r>
          </w:p>
        </w:tc>
        <w:tc>
          <w:tcPr>
            <w:tcW w:w="400" w:type="dxa"/>
            <w:vAlign w:val="bottom"/>
            <w:gridSpan w:val="2"/>
          </w:tcPr>
          <w:p>
            <w:pPr>
              <w:jc w:val="right"/>
              <w:ind w:right="20"/>
              <w:spacing w:after="0"/>
              <w:rPr>
                <w:sz w:val="20"/>
                <w:szCs w:val="20"/>
                <w:color w:val="auto"/>
              </w:rPr>
            </w:pPr>
            <w:r>
              <w:rPr>
                <w:rFonts w:ascii="Arial" w:cs="Arial" w:eastAsia="Arial" w:hAnsi="Arial"/>
                <w:sz w:val="20"/>
                <w:szCs w:val="20"/>
                <w:color w:val="B4B4B4"/>
                <w:w w:val="92"/>
              </w:rPr>
              <w:t>. . . .</w:t>
            </w:r>
          </w:p>
        </w:tc>
        <w:tc>
          <w:tcPr>
            <w:tcW w:w="520" w:type="dxa"/>
            <w:vAlign w:val="bottom"/>
          </w:tcPr>
          <w:p>
            <w:pPr>
              <w:ind w:left="20"/>
              <w:spacing w:after="0"/>
              <w:rPr>
                <w:sz w:val="20"/>
                <w:szCs w:val="20"/>
                <w:color w:val="auto"/>
              </w:rPr>
            </w:pPr>
            <w:r>
              <w:rPr>
                <w:rFonts w:ascii="Arial" w:cs="Arial" w:eastAsia="Arial" w:hAnsi="Arial"/>
                <w:sz w:val="20"/>
                <w:szCs w:val="20"/>
                <w:color w:val="B4B4B4"/>
                <w:w w:val="95"/>
              </w:rPr>
              <w:t>. . . . .</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333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gridSpan w:val="2"/>
          </w:tcPr>
          <w:p>
            <w:pPr>
              <w:jc w:val="right"/>
              <w:ind w:right="166"/>
              <w:spacing w:after="0"/>
              <w:rPr>
                <w:sz w:val="20"/>
                <w:szCs w:val="20"/>
                <w:color w:val="auto"/>
              </w:rPr>
            </w:pPr>
            <w:r>
              <w:rPr>
                <w:rFonts w:ascii="Arial" w:cs="Arial" w:eastAsia="Arial" w:hAnsi="Arial"/>
                <w:sz w:val="20"/>
                <w:szCs w:val="20"/>
                <w:color w:val="auto"/>
              </w:rPr>
              <w:t>50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163"/>
              <w:spacing w:after="0"/>
              <w:rPr>
                <w:sz w:val="20"/>
                <w:szCs w:val="20"/>
                <w:color w:val="auto"/>
              </w:rPr>
            </w:pPr>
            <w:r>
              <w:rPr>
                <w:rFonts w:ascii="Arial" w:cs="Arial" w:eastAsia="Arial" w:hAnsi="Arial"/>
                <w:sz w:val="20"/>
                <w:szCs w:val="20"/>
                <w:color w:val="auto"/>
              </w:rPr>
              <w:t>258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00" w:type="dxa"/>
            <w:vAlign w:val="bottom"/>
          </w:tcPr>
          <w:p>
            <w:pPr>
              <w:jc w:val="center"/>
              <w:ind w:left="63"/>
              <w:spacing w:after="0"/>
              <w:rPr>
                <w:sz w:val="20"/>
                <w:szCs w:val="20"/>
                <w:color w:val="auto"/>
              </w:rPr>
            </w:pPr>
            <w:r>
              <w:rPr>
                <w:rFonts w:ascii="Arial" w:cs="Arial" w:eastAsia="Arial" w:hAnsi="Arial"/>
                <w:sz w:val="20"/>
                <w:szCs w:val="20"/>
                <w:color w:val="auto"/>
                <w:w w:val="89"/>
              </w:rPr>
              <w:t xml:space="preserve">State </w:t>
            </w:r>
            <w:r>
              <w:rPr>
                <w:rFonts w:ascii="Arial" w:cs="Arial" w:eastAsia="Arial" w:hAnsi="Arial"/>
                <w:sz w:val="20"/>
                <w:szCs w:val="20"/>
                <w:color w:val="B4B4B4"/>
                <w:w w:val="89"/>
              </w:rPr>
              <w:t>. . . . . . . . . . . . . . . . . . . . . . . . . . . . . . . . .</w:t>
            </w:r>
          </w:p>
        </w:tc>
        <w:tc>
          <w:tcPr>
            <w:tcW w:w="300" w:type="dxa"/>
            <w:vAlign w:val="bottom"/>
          </w:tcPr>
          <w:p>
            <w:pPr>
              <w:ind w:left="40"/>
              <w:spacing w:after="0"/>
              <w:rPr>
                <w:sz w:val="20"/>
                <w:szCs w:val="20"/>
                <w:color w:val="auto"/>
              </w:rPr>
            </w:pPr>
            <w:r>
              <w:rPr>
                <w:rFonts w:ascii="Arial" w:cs="Arial" w:eastAsia="Arial" w:hAnsi="Arial"/>
                <w:sz w:val="20"/>
                <w:szCs w:val="20"/>
                <w:color w:val="B4B4B4"/>
                <w:w w:val="86"/>
              </w:rPr>
              <w:t>. . .</w:t>
            </w:r>
          </w:p>
        </w:tc>
        <w:tc>
          <w:tcPr>
            <w:tcW w:w="700" w:type="dxa"/>
            <w:vAlign w:val="bottom"/>
          </w:tcPr>
          <w:p>
            <w:pPr>
              <w:jc w:val="right"/>
              <w:spacing w:after="0"/>
              <w:rPr>
                <w:sz w:val="20"/>
                <w:szCs w:val="20"/>
                <w:color w:val="auto"/>
              </w:rPr>
            </w:pPr>
            <w:r>
              <w:rPr>
                <w:rFonts w:ascii="Arial" w:cs="Arial" w:eastAsia="Arial" w:hAnsi="Arial"/>
                <w:sz w:val="20"/>
                <w:szCs w:val="20"/>
                <w:color w:val="B4B4B4"/>
                <w:w w:val="91"/>
              </w:rPr>
              <w:t>. . . . . . .</w:t>
            </w:r>
          </w:p>
        </w:tc>
        <w:tc>
          <w:tcPr>
            <w:tcW w:w="400" w:type="dxa"/>
            <w:vAlign w:val="bottom"/>
            <w:gridSpan w:val="2"/>
          </w:tcPr>
          <w:p>
            <w:pPr>
              <w:jc w:val="right"/>
              <w:ind w:right="20"/>
              <w:spacing w:after="0"/>
              <w:rPr>
                <w:sz w:val="20"/>
                <w:szCs w:val="20"/>
                <w:color w:val="auto"/>
              </w:rPr>
            </w:pPr>
            <w:r>
              <w:rPr>
                <w:rFonts w:ascii="Arial" w:cs="Arial" w:eastAsia="Arial" w:hAnsi="Arial"/>
                <w:sz w:val="20"/>
                <w:szCs w:val="20"/>
                <w:color w:val="B4B4B4"/>
                <w:w w:val="92"/>
              </w:rPr>
              <w:t>. . . .</w:t>
            </w:r>
          </w:p>
        </w:tc>
        <w:tc>
          <w:tcPr>
            <w:tcW w:w="520" w:type="dxa"/>
            <w:vAlign w:val="bottom"/>
          </w:tcPr>
          <w:p>
            <w:pPr>
              <w:ind w:left="20"/>
              <w:spacing w:after="0"/>
              <w:rPr>
                <w:sz w:val="20"/>
                <w:szCs w:val="20"/>
                <w:color w:val="auto"/>
              </w:rPr>
            </w:pPr>
            <w:r>
              <w:rPr>
                <w:rFonts w:ascii="Arial" w:cs="Arial" w:eastAsia="Arial" w:hAnsi="Arial"/>
                <w:sz w:val="20"/>
                <w:szCs w:val="20"/>
                <w:color w:val="B4B4B4"/>
                <w:w w:val="95"/>
              </w:rPr>
              <w:t>. . . . .</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20"/>
                <w:szCs w:val="20"/>
                <w:color w:val="auto"/>
              </w:rPr>
              <w:t>(134)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gridSpan w:val="2"/>
          </w:tcPr>
          <w:p>
            <w:pPr>
              <w:jc w:val="right"/>
              <w:ind w:right="106"/>
              <w:spacing w:after="0"/>
              <w:rPr>
                <w:sz w:val="20"/>
                <w:szCs w:val="20"/>
                <w:color w:val="auto"/>
              </w:rPr>
            </w:pPr>
            <w:r>
              <w:rPr>
                <w:rFonts w:ascii="Arial" w:cs="Arial" w:eastAsia="Arial" w:hAnsi="Arial"/>
                <w:sz w:val="20"/>
                <w:szCs w:val="20"/>
                <w:color w:val="auto"/>
              </w:rPr>
              <w:t>(61)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163"/>
              <w:spacing w:after="0"/>
              <w:rPr>
                <w:sz w:val="20"/>
                <w:szCs w:val="20"/>
                <w:color w:val="auto"/>
              </w:rPr>
            </w:pPr>
            <w:r>
              <w:rPr>
                <w:rFonts w:ascii="Arial" w:cs="Arial" w:eastAsia="Arial" w:hAnsi="Arial"/>
                <w:sz w:val="20"/>
                <w:szCs w:val="20"/>
                <w:color w:val="auto"/>
              </w:rPr>
              <w:t>59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900" w:type="dxa"/>
            <w:vAlign w:val="bottom"/>
          </w:tcPr>
          <w:p>
            <w:pPr>
              <w:jc w:val="center"/>
              <w:ind w:left="63"/>
              <w:spacing w:after="0"/>
              <w:rPr>
                <w:sz w:val="20"/>
                <w:szCs w:val="20"/>
                <w:color w:val="auto"/>
              </w:rPr>
            </w:pPr>
            <w:r>
              <w:rPr>
                <w:rFonts w:ascii="Arial" w:cs="Arial" w:eastAsia="Arial" w:hAnsi="Arial"/>
                <w:sz w:val="20"/>
                <w:szCs w:val="20"/>
                <w:color w:val="auto"/>
                <w:w w:val="89"/>
              </w:rPr>
              <w:t xml:space="preserve">Foreign </w:t>
            </w:r>
            <w:r>
              <w:rPr>
                <w:rFonts w:ascii="Arial" w:cs="Arial" w:eastAsia="Arial" w:hAnsi="Arial"/>
                <w:sz w:val="20"/>
                <w:szCs w:val="20"/>
                <w:color w:val="B4B4B4"/>
                <w:w w:val="89"/>
              </w:rPr>
              <w:t>. . . . . . . . . . . . . . . . . . . . . . . . . . . . . . .</w:t>
            </w:r>
          </w:p>
        </w:tc>
        <w:tc>
          <w:tcPr>
            <w:tcW w:w="300" w:type="dxa"/>
            <w:vAlign w:val="bottom"/>
          </w:tcPr>
          <w:p>
            <w:pPr>
              <w:ind w:left="40"/>
              <w:spacing w:after="0"/>
              <w:rPr>
                <w:sz w:val="20"/>
                <w:szCs w:val="20"/>
                <w:color w:val="auto"/>
              </w:rPr>
            </w:pPr>
            <w:r>
              <w:rPr>
                <w:rFonts w:ascii="Arial" w:cs="Arial" w:eastAsia="Arial" w:hAnsi="Arial"/>
                <w:sz w:val="20"/>
                <w:szCs w:val="20"/>
                <w:color w:val="B4B4B4"/>
                <w:w w:val="86"/>
              </w:rPr>
              <w:t>. . .</w:t>
            </w:r>
          </w:p>
        </w:tc>
        <w:tc>
          <w:tcPr>
            <w:tcW w:w="700" w:type="dxa"/>
            <w:vAlign w:val="bottom"/>
          </w:tcPr>
          <w:p>
            <w:pPr>
              <w:jc w:val="right"/>
              <w:spacing w:after="0"/>
              <w:rPr>
                <w:sz w:val="20"/>
                <w:szCs w:val="20"/>
                <w:color w:val="auto"/>
              </w:rPr>
            </w:pPr>
            <w:r>
              <w:rPr>
                <w:rFonts w:ascii="Arial" w:cs="Arial" w:eastAsia="Arial" w:hAnsi="Arial"/>
                <w:sz w:val="20"/>
                <w:szCs w:val="20"/>
                <w:color w:val="B4B4B4"/>
                <w:w w:val="91"/>
              </w:rPr>
              <w:t>. . . . . . .</w:t>
            </w:r>
          </w:p>
        </w:tc>
        <w:tc>
          <w:tcPr>
            <w:tcW w:w="400" w:type="dxa"/>
            <w:vAlign w:val="bottom"/>
            <w:gridSpan w:val="2"/>
          </w:tcPr>
          <w:p>
            <w:pPr>
              <w:jc w:val="right"/>
              <w:ind w:right="20"/>
              <w:spacing w:after="0"/>
              <w:rPr>
                <w:sz w:val="20"/>
                <w:szCs w:val="20"/>
                <w:color w:val="auto"/>
              </w:rPr>
            </w:pPr>
            <w:r>
              <w:rPr>
                <w:rFonts w:ascii="Arial" w:cs="Arial" w:eastAsia="Arial" w:hAnsi="Arial"/>
                <w:sz w:val="20"/>
                <w:szCs w:val="20"/>
                <w:color w:val="B4B4B4"/>
                <w:w w:val="92"/>
              </w:rPr>
              <w:t>. . . .</w:t>
            </w:r>
          </w:p>
        </w:tc>
        <w:tc>
          <w:tcPr>
            <w:tcW w:w="520" w:type="dxa"/>
            <w:vAlign w:val="bottom"/>
          </w:tcPr>
          <w:p>
            <w:pPr>
              <w:ind w:left="20"/>
              <w:spacing w:after="0"/>
              <w:rPr>
                <w:sz w:val="20"/>
                <w:szCs w:val="20"/>
                <w:color w:val="auto"/>
              </w:rPr>
            </w:pPr>
            <w:r>
              <w:rPr>
                <w:rFonts w:ascii="Arial" w:cs="Arial" w:eastAsia="Arial" w:hAnsi="Arial"/>
                <w:sz w:val="20"/>
                <w:szCs w:val="20"/>
                <w:color w:val="B4B4B4"/>
                <w:w w:val="95"/>
              </w:rPr>
              <w:t>. . . . .</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(18)</w:t>
            </w: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20"/>
                <w:szCs w:val="20"/>
                <w:color w:val="auto"/>
              </w:rPr>
              <w:t>(98)</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63"/>
              <w:spacing w:after="0"/>
              <w:rPr>
                <w:sz w:val="20"/>
                <w:szCs w:val="20"/>
                <w:color w:val="auto"/>
              </w:rPr>
            </w:pPr>
            <w:r>
              <w:rPr>
                <w:rFonts w:ascii="Arial" w:cs="Arial" w:eastAsia="Arial" w:hAnsi="Arial"/>
                <w:sz w:val="20"/>
                <w:szCs w:val="20"/>
                <w:color w:val="auto"/>
              </w:rPr>
              <w:t>54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900" w:type="dxa"/>
            <w:vAlign w:val="bottom"/>
          </w:tcPr>
          <w:p>
            <w:pPr>
              <w:ind w:left="60"/>
              <w:spacing w:after="0"/>
              <w:rPr>
                <w:sz w:val="20"/>
                <w:szCs w:val="20"/>
                <w:color w:val="auto"/>
              </w:rPr>
            </w:pPr>
            <w:r>
              <w:rPr>
                <w:rFonts w:ascii="Arial" w:cs="Arial" w:eastAsia="Arial" w:hAnsi="Arial"/>
                <w:sz w:val="20"/>
                <w:szCs w:val="20"/>
                <w:color w:val="auto"/>
                <w:w w:val="90"/>
              </w:rPr>
              <w:t xml:space="preserve">Total — deferred  </w:t>
            </w:r>
            <w:r>
              <w:rPr>
                <w:rFonts w:ascii="Arial" w:cs="Arial" w:eastAsia="Arial" w:hAnsi="Arial"/>
                <w:sz w:val="20"/>
                <w:szCs w:val="20"/>
                <w:color w:val="B4B4B4"/>
                <w:w w:val="90"/>
              </w:rPr>
              <w:t>. . . . . . . . . . . . . . . . . . . . . . . .</w:t>
            </w:r>
          </w:p>
        </w:tc>
        <w:tc>
          <w:tcPr>
            <w:tcW w:w="300" w:type="dxa"/>
            <w:vAlign w:val="bottom"/>
          </w:tcPr>
          <w:p>
            <w:pPr>
              <w:ind w:left="40"/>
              <w:spacing w:after="0"/>
              <w:rPr>
                <w:sz w:val="20"/>
                <w:szCs w:val="20"/>
                <w:color w:val="auto"/>
              </w:rPr>
            </w:pPr>
            <w:r>
              <w:rPr>
                <w:rFonts w:ascii="Arial" w:cs="Arial" w:eastAsia="Arial" w:hAnsi="Arial"/>
                <w:sz w:val="20"/>
                <w:szCs w:val="20"/>
                <w:color w:val="B4B4B4"/>
                <w:w w:val="86"/>
              </w:rPr>
              <w:t>. . .</w:t>
            </w:r>
          </w:p>
        </w:tc>
        <w:tc>
          <w:tcPr>
            <w:tcW w:w="700" w:type="dxa"/>
            <w:vAlign w:val="bottom"/>
          </w:tcPr>
          <w:p>
            <w:pPr>
              <w:jc w:val="right"/>
              <w:spacing w:after="0"/>
              <w:rPr>
                <w:sz w:val="20"/>
                <w:szCs w:val="20"/>
                <w:color w:val="auto"/>
              </w:rPr>
            </w:pPr>
            <w:r>
              <w:rPr>
                <w:rFonts w:ascii="Arial" w:cs="Arial" w:eastAsia="Arial" w:hAnsi="Arial"/>
                <w:sz w:val="20"/>
                <w:szCs w:val="20"/>
                <w:color w:val="B4B4B4"/>
                <w:w w:val="91"/>
              </w:rPr>
              <w:t>. . . . . . .</w:t>
            </w:r>
          </w:p>
        </w:tc>
        <w:tc>
          <w:tcPr>
            <w:tcW w:w="400" w:type="dxa"/>
            <w:vAlign w:val="bottom"/>
            <w:gridSpan w:val="2"/>
          </w:tcPr>
          <w:p>
            <w:pPr>
              <w:jc w:val="right"/>
              <w:ind w:right="40"/>
              <w:spacing w:after="0"/>
              <w:rPr>
                <w:sz w:val="20"/>
                <w:szCs w:val="20"/>
                <w:color w:val="auto"/>
              </w:rPr>
            </w:pPr>
            <w:r>
              <w:rPr>
                <w:rFonts w:ascii="Arial" w:cs="Arial" w:eastAsia="Arial" w:hAnsi="Arial"/>
                <w:sz w:val="20"/>
                <w:szCs w:val="20"/>
                <w:color w:val="B4B4B4"/>
                <w:w w:val="87"/>
              </w:rPr>
              <w:t>. . . .</w:t>
            </w:r>
          </w:p>
        </w:tc>
        <w:tc>
          <w:tcPr>
            <w:tcW w:w="520" w:type="dxa"/>
            <w:vAlign w:val="bottom"/>
          </w:tcPr>
          <w:p>
            <w:pPr>
              <w:ind w:left="20"/>
              <w:spacing w:after="0"/>
              <w:rPr>
                <w:sz w:val="20"/>
                <w:szCs w:val="20"/>
                <w:color w:val="auto"/>
              </w:rPr>
            </w:pPr>
            <w:r>
              <w:rPr>
                <w:rFonts w:ascii="Arial" w:cs="Arial" w:eastAsia="Arial" w:hAnsi="Arial"/>
                <w:sz w:val="20"/>
                <w:szCs w:val="20"/>
                <w:color w:val="B4B4B4"/>
                <w:w w:val="95"/>
              </w:rPr>
              <w:t>. . . . .</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20"/>
                <w:szCs w:val="20"/>
                <w:color w:val="auto"/>
                <w:w w:val="85"/>
              </w:rPr>
              <w:t>(109)</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63"/>
              <w:spacing w:after="0"/>
              <w:rPr>
                <w:sz w:val="20"/>
                <w:szCs w:val="20"/>
                <w:color w:val="auto"/>
              </w:rPr>
            </w:pPr>
            <w:r>
              <w:rPr>
                <w:rFonts w:ascii="Arial" w:cs="Arial" w:eastAsia="Arial" w:hAnsi="Arial"/>
                <w:sz w:val="20"/>
                <w:szCs w:val="20"/>
                <w:color w:val="auto"/>
              </w:rPr>
              <w:t>371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900" w:type="dxa"/>
            <w:vAlign w:val="bottom"/>
          </w:tcPr>
          <w:p>
            <w:pPr>
              <w:jc w:val="center"/>
              <w:ind w:left="63"/>
              <w:spacing w:after="0"/>
              <w:rPr>
                <w:sz w:val="20"/>
                <w:szCs w:val="20"/>
                <w:color w:val="auto"/>
              </w:rPr>
            </w:pPr>
            <w:r>
              <w:rPr>
                <w:rFonts w:ascii="Arial" w:cs="Arial" w:eastAsia="Arial" w:hAnsi="Arial"/>
                <w:sz w:val="20"/>
                <w:szCs w:val="20"/>
                <w:color w:val="auto"/>
                <w:w w:val="90"/>
              </w:rPr>
              <w:t xml:space="preserve">Total income tax expense/(benefit) </w:t>
            </w:r>
            <w:r>
              <w:rPr>
                <w:rFonts w:ascii="Arial" w:cs="Arial" w:eastAsia="Arial" w:hAnsi="Arial"/>
                <w:sz w:val="20"/>
                <w:szCs w:val="20"/>
                <w:color w:val="B4B4B4"/>
                <w:w w:val="90"/>
              </w:rPr>
              <w:t>. . . . . . . . .</w:t>
            </w:r>
          </w:p>
        </w:tc>
        <w:tc>
          <w:tcPr>
            <w:tcW w:w="300" w:type="dxa"/>
            <w:vAlign w:val="bottom"/>
          </w:tcPr>
          <w:p>
            <w:pPr>
              <w:ind w:left="40"/>
              <w:spacing w:after="0"/>
              <w:rPr>
                <w:sz w:val="20"/>
                <w:szCs w:val="20"/>
                <w:color w:val="auto"/>
              </w:rPr>
            </w:pPr>
            <w:r>
              <w:rPr>
                <w:rFonts w:ascii="Arial" w:cs="Arial" w:eastAsia="Arial" w:hAnsi="Arial"/>
                <w:sz w:val="20"/>
                <w:szCs w:val="20"/>
                <w:color w:val="B4B4B4"/>
                <w:w w:val="86"/>
              </w:rPr>
              <w:t>. . .</w:t>
            </w:r>
          </w:p>
        </w:tc>
        <w:tc>
          <w:tcPr>
            <w:tcW w:w="700" w:type="dxa"/>
            <w:vAlign w:val="bottom"/>
          </w:tcPr>
          <w:p>
            <w:pPr>
              <w:jc w:val="right"/>
              <w:spacing w:after="0"/>
              <w:rPr>
                <w:sz w:val="20"/>
                <w:szCs w:val="20"/>
                <w:color w:val="auto"/>
              </w:rPr>
            </w:pPr>
            <w:r>
              <w:rPr>
                <w:rFonts w:ascii="Arial" w:cs="Arial" w:eastAsia="Arial" w:hAnsi="Arial"/>
                <w:sz w:val="20"/>
                <w:szCs w:val="20"/>
                <w:color w:val="B4B4B4"/>
                <w:w w:val="91"/>
              </w:rPr>
              <w:t>. . . . . . .</w:t>
            </w:r>
          </w:p>
        </w:tc>
        <w:tc>
          <w:tcPr>
            <w:tcW w:w="400" w:type="dxa"/>
            <w:vAlign w:val="bottom"/>
            <w:gridSpan w:val="2"/>
          </w:tcPr>
          <w:p>
            <w:pPr>
              <w:jc w:val="right"/>
              <w:ind w:right="20"/>
              <w:spacing w:after="0"/>
              <w:rPr>
                <w:sz w:val="20"/>
                <w:szCs w:val="20"/>
                <w:color w:val="auto"/>
              </w:rPr>
            </w:pPr>
            <w:r>
              <w:rPr>
                <w:rFonts w:ascii="Arial" w:cs="Arial" w:eastAsia="Arial" w:hAnsi="Arial"/>
                <w:sz w:val="20"/>
                <w:szCs w:val="20"/>
                <w:color w:val="B4B4B4"/>
                <w:w w:val="92"/>
              </w:rPr>
              <w:t>. . . .</w:t>
            </w:r>
          </w:p>
        </w:tc>
        <w:tc>
          <w:tcPr>
            <w:tcW w:w="720" w:type="dxa"/>
            <w:vAlign w:val="bottom"/>
            <w:gridSpan w:val="3"/>
          </w:tcPr>
          <w:p>
            <w:pPr>
              <w:ind w:left="20"/>
              <w:spacing w:after="0"/>
              <w:rPr>
                <w:sz w:val="20"/>
                <w:szCs w:val="20"/>
                <w:color w:val="auto"/>
              </w:rPr>
            </w:pPr>
            <w:r>
              <w:rPr>
                <w:rFonts w:ascii="Arial" w:cs="Arial" w:eastAsia="Arial" w:hAnsi="Arial"/>
                <w:sz w:val="20"/>
                <w:szCs w:val="20"/>
                <w:color w:val="B4B4B4"/>
              </w:rPr>
              <w:t xml:space="preserve">. . . . . </w:t>
            </w:r>
            <w:r>
              <w:rPr>
                <w:rFonts w:ascii="Arial" w:cs="Arial" w:eastAsia="Arial" w:hAnsi="Arial"/>
                <w:sz w:val="20"/>
                <w:szCs w:val="20"/>
                <w:color w:val="000000"/>
              </w:rPr>
              <w:t>$</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323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543"/>
              <w:spacing w:after="0"/>
              <w:rPr>
                <w:sz w:val="20"/>
                <w:szCs w:val="20"/>
                <w:color w:val="auto"/>
              </w:rPr>
            </w:pPr>
            <w:r>
              <w:rPr>
                <w:rFonts w:ascii="Arial" w:cs="Arial" w:eastAsia="Arial" w:hAnsi="Arial"/>
                <w:sz w:val="20"/>
                <w:szCs w:val="20"/>
                <w:color w:val="auto"/>
              </w:rPr>
              <w:t>$</w:t>
            </w:r>
          </w:p>
        </w:tc>
        <w:tc>
          <w:tcPr>
            <w:tcW w:w="600" w:type="dxa"/>
            <w:vAlign w:val="bottom"/>
            <w:gridSpan w:val="2"/>
          </w:tcPr>
          <w:p>
            <w:pPr>
              <w:jc w:val="right"/>
              <w:ind w:right="106"/>
              <w:spacing w:after="0"/>
              <w:rPr>
                <w:sz w:val="20"/>
                <w:szCs w:val="20"/>
                <w:color w:val="auto"/>
              </w:rPr>
            </w:pPr>
            <w:r>
              <w:rPr>
                <w:rFonts w:ascii="Arial" w:cs="Arial" w:eastAsia="Arial" w:hAnsi="Arial"/>
                <w:sz w:val="20"/>
                <w:szCs w:val="20"/>
                <w:color w:val="auto"/>
              </w:rPr>
              <w:t>(11)</w:t>
            </w:r>
          </w:p>
        </w:tc>
        <w:tc>
          <w:tcPr>
            <w:tcW w:w="440" w:type="dxa"/>
            <w:vAlign w:val="bottom"/>
            <w:gridSpan w:val="2"/>
          </w:tcPr>
          <w:p>
            <w:pPr>
              <w:jc w:val="right"/>
              <w:ind w:right="12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63"/>
              <w:spacing w:after="0"/>
              <w:rPr>
                <w:sz w:val="20"/>
                <w:szCs w:val="20"/>
                <w:color w:val="auto"/>
              </w:rPr>
            </w:pPr>
            <w:r>
              <w:rPr>
                <w:rFonts w:ascii="Arial" w:cs="Arial" w:eastAsia="Arial" w:hAnsi="Arial"/>
                <w:sz w:val="20"/>
                <w:szCs w:val="20"/>
                <w:color w:val="auto"/>
              </w:rPr>
              <w:t>442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ind w:left="60"/>
              <w:spacing w:after="0"/>
              <w:rPr>
                <w:sz w:val="20"/>
                <w:szCs w:val="20"/>
                <w:color w:val="auto"/>
              </w:rPr>
            </w:pPr>
            <w:r>
              <w:rPr>
                <w:rFonts w:ascii="Arial" w:cs="Arial" w:eastAsia="Arial" w:hAnsi="Arial"/>
                <w:sz w:val="20"/>
                <w:szCs w:val="20"/>
                <w:color w:val="auto"/>
              </w:rPr>
              <w:t>Effective income tax rate</w:t>
            </w: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900" w:type="dxa"/>
            <w:vAlign w:val="bottom"/>
            <w:vMerge w:val="continue"/>
          </w:tcPr>
          <w:p>
            <w:pPr>
              <w:ind w:left="2160"/>
              <w:spacing w:after="0" w:line="195" w:lineRule="exact"/>
              <w:rPr>
                <w:sz w:val="20"/>
                <w:szCs w:val="20"/>
                <w:color w:val="auto"/>
              </w:rPr>
            </w:pPr>
            <w:r>
              <w:rPr>
                <w:rFonts w:ascii="Arial" w:cs="Arial" w:eastAsia="Arial" w:hAnsi="Arial"/>
                <w:sz w:val="20"/>
                <w:szCs w:val="20"/>
                <w:color w:val="B4B4B4"/>
                <w:w w:val="88"/>
              </w:rPr>
              <w:t>. . . . . . . . . . . . . . . . . .</w:t>
            </w:r>
          </w:p>
        </w:tc>
        <w:tc>
          <w:tcPr>
            <w:tcW w:w="300" w:type="dxa"/>
            <w:vAlign w:val="bottom"/>
          </w:tcPr>
          <w:p>
            <w:pPr>
              <w:ind w:left="40"/>
              <w:spacing w:after="0"/>
              <w:rPr>
                <w:sz w:val="20"/>
                <w:szCs w:val="20"/>
                <w:color w:val="auto"/>
              </w:rPr>
            </w:pPr>
            <w:r>
              <w:rPr>
                <w:rFonts w:ascii="Arial" w:cs="Arial" w:eastAsia="Arial" w:hAnsi="Arial"/>
                <w:sz w:val="20"/>
                <w:szCs w:val="20"/>
                <w:color w:val="B4B4B4"/>
                <w:w w:val="86"/>
              </w:rPr>
              <w:t>. . .</w:t>
            </w:r>
          </w:p>
        </w:tc>
        <w:tc>
          <w:tcPr>
            <w:tcW w:w="700" w:type="dxa"/>
            <w:vAlign w:val="bottom"/>
          </w:tcPr>
          <w:p>
            <w:pPr>
              <w:jc w:val="right"/>
              <w:spacing w:after="0"/>
              <w:rPr>
                <w:sz w:val="20"/>
                <w:szCs w:val="20"/>
                <w:color w:val="auto"/>
              </w:rPr>
            </w:pPr>
            <w:r>
              <w:rPr>
                <w:rFonts w:ascii="Arial" w:cs="Arial" w:eastAsia="Arial" w:hAnsi="Arial"/>
                <w:sz w:val="20"/>
                <w:szCs w:val="20"/>
                <w:color w:val="B4B4B4"/>
                <w:w w:val="91"/>
              </w:rPr>
              <w:t>. . . . . . .</w:t>
            </w:r>
          </w:p>
        </w:tc>
        <w:tc>
          <w:tcPr>
            <w:tcW w:w="400" w:type="dxa"/>
            <w:vAlign w:val="bottom"/>
            <w:gridSpan w:val="2"/>
          </w:tcPr>
          <w:p>
            <w:pPr>
              <w:jc w:val="right"/>
              <w:ind w:right="40"/>
              <w:spacing w:after="0"/>
              <w:rPr>
                <w:sz w:val="20"/>
                <w:szCs w:val="20"/>
                <w:color w:val="auto"/>
              </w:rPr>
            </w:pPr>
            <w:r>
              <w:rPr>
                <w:rFonts w:ascii="Arial" w:cs="Arial" w:eastAsia="Arial" w:hAnsi="Arial"/>
                <w:sz w:val="20"/>
                <w:szCs w:val="20"/>
                <w:color w:val="B4B4B4"/>
                <w:w w:val="87"/>
              </w:rPr>
              <w:t>. . . .</w:t>
            </w:r>
          </w:p>
        </w:tc>
        <w:tc>
          <w:tcPr>
            <w:tcW w:w="520" w:type="dxa"/>
            <w:vAlign w:val="bottom"/>
          </w:tcPr>
          <w:p>
            <w:pPr>
              <w:ind w:left="20"/>
              <w:spacing w:after="0"/>
              <w:rPr>
                <w:sz w:val="20"/>
                <w:szCs w:val="20"/>
                <w:color w:val="auto"/>
              </w:rPr>
            </w:pPr>
            <w:r>
              <w:rPr>
                <w:rFonts w:ascii="Arial" w:cs="Arial" w:eastAsia="Arial" w:hAnsi="Arial"/>
                <w:sz w:val="20"/>
                <w:szCs w:val="20"/>
                <w:color w:val="B4B4B4"/>
                <w:w w:val="95"/>
              </w:rPr>
              <w:t>. . . . .</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Arial" w:cs="Arial" w:eastAsia="Arial" w:hAnsi="Arial"/>
                <w:sz w:val="20"/>
                <w:szCs w:val="20"/>
                <w:color w:val="auto"/>
              </w:rPr>
              <w:t>22.3 %</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20"/>
                <w:szCs w:val="20"/>
                <w:color w:val="auto"/>
              </w:rPr>
              <w:t>5.2 %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26.6 %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-6082665</wp:posOffset>
            </wp:positionV>
            <wp:extent cx="6475095" cy="26123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59">
                      <a:extLst>
                        <a:ext uri="{28A0092B-C50C-407E-A947-70E740481C1C}"/>
                      </a:extLst>
                    </a:blip>
                    <a:srcRect/>
                    <a:stretch>
                      <a:fillRect/>
                    </a:stretch>
                  </pic:blipFill>
                  <pic:spPr bwMode="auto">
                    <a:xfrm>
                      <a:off x="0" y="0"/>
                      <a:ext cx="6475095" cy="26123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-2269490</wp:posOffset>
            </wp:positionV>
            <wp:extent cx="6447155" cy="22885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60">
                      <a:extLst>
                        <a:ext uri="{28A0092B-C50C-407E-A947-70E740481C1C}"/>
                      </a:extLst>
                    </a:blip>
                    <a:srcRect/>
                    <a:stretch>
                      <a:fillRect/>
                    </a:stretch>
                  </pic:blipFill>
                  <pic:spPr bwMode="auto">
                    <a:xfrm>
                      <a:off x="0" y="0"/>
                      <a:ext cx="6447155" cy="2288540"/>
                    </a:xfrm>
                    <a:prstGeom prst="rect">
                      <a:avLst/>
                    </a:prstGeom>
                    <a:noFill/>
                  </pic:spPr>
                </pic:pic>
              </a:graphicData>
            </a:graphic>
          </wp:anchor>
        </w:drawing>
      </w:r>
    </w:p>
    <w:p>
      <w:pPr>
        <w:spacing w:after="0" w:line="145"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9"/>
          <w:szCs w:val="19"/>
          <w:color w:val="auto"/>
        </w:rPr>
        <w:t>The IRA enacted on August 16, 2022, introduced new provisions including a 15% corporate alternative minimum tax and a 1% excise tax on net share repurchases with both taxes effective beginning in fiscal year 2023 for NRG. On September 12, 2024, Treasury and the IRS released proposed regulations that provide guidance on the application of the CAMT. The proposed regulations allow the exclusion of unrealized mark-to-market gains and losses, related to qualified hedge transactions, from adjusted financial statement income. The Company will continue to evaluate the applicable corporation status and the impact of the CAMT based on the proposed guidance. As of December 31, 2024, NRG as an applicable corporation is subject to the CAMT, and has reflected the impact in its current and deferred taxes. There is no impact on the Company’s provision for income taxes from the CAMT as of December 31, 2024.</w:t>
      </w:r>
    </w:p>
    <w:p>
      <w:pPr>
        <w:sectPr>
          <w:pgSz w:w="11880" w:h="15480" w:orient="portrait"/>
          <w:cols w:equalWidth="0" w:num="1">
            <w:col w:w="10160"/>
          </w:cols>
          <w:pgMar w:left="860" w:top="8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150</w:t>
      </w:r>
    </w:p>
    <w:p>
      <w:pPr>
        <w:sectPr>
          <w:pgSz w:w="11880" w:h="15480" w:orient="portrait"/>
          <w:cols w:equalWidth="0" w:num="1">
            <w:col w:w="10160"/>
          </w:cols>
          <w:pgMar w:left="860" w:top="839" w:right="860" w:bottom="0" w:gutter="0" w:footer="0" w:header="0"/>
          <w:type w:val="continuous"/>
        </w:sectPr>
      </w:pPr>
    </w:p>
    <w:bookmarkStart w:id="152" w:name="page153"/>
    <w:bookmarkEnd w:id="152"/>
    <w:p>
      <w:pPr>
        <w:ind w:left="440"/>
        <w:spacing w:after="0"/>
        <w:rPr>
          <w:sz w:val="20"/>
          <w:szCs w:val="20"/>
          <w:color w:val="auto"/>
        </w:rPr>
      </w:pPr>
      <w:r>
        <w:rPr>
          <w:rFonts w:ascii="Arial" w:cs="Arial" w:eastAsia="Arial" w:hAnsi="Arial"/>
          <w:sz w:val="20"/>
          <w:szCs w:val="20"/>
          <w:color w:val="auto"/>
        </w:rPr>
        <w:t>The following represented the domestic and foreign components of income/(loss) before income taxes:</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32"/>
        </w:trPr>
        <w:tc>
          <w:tcPr>
            <w:tcW w:w="5760" w:type="dxa"/>
            <w:vAlign w:val="bottom"/>
          </w:tcPr>
          <w:p>
            <w:pPr>
              <w:jc w:val="right"/>
              <w:ind w:right="4846"/>
              <w:spacing w:after="0"/>
              <w:rPr>
                <w:sz w:val="20"/>
                <w:szCs w:val="20"/>
                <w:color w:val="auto"/>
              </w:rPr>
            </w:pPr>
            <w:r>
              <w:rPr>
                <w:rFonts w:ascii="Arial" w:cs="Arial" w:eastAsia="Arial" w:hAnsi="Arial"/>
                <w:sz w:val="16"/>
                <w:szCs w:val="16"/>
                <w:b w:val="1"/>
                <w:bCs w:val="1"/>
                <w:color w:val="auto"/>
                <w:w w:val="89"/>
              </w:rPr>
              <w:t>(In millions)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46"/>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46"/>
              <w:spacing w:after="0"/>
              <w:rPr>
                <w:sz w:val="20"/>
                <w:szCs w:val="20"/>
                <w:color w:val="auto"/>
              </w:rPr>
            </w:pPr>
            <w:r>
              <w:rPr>
                <w:rFonts w:ascii="Arial" w:cs="Arial" w:eastAsia="Arial" w:hAnsi="Arial"/>
                <w:sz w:val="16"/>
                <w:szCs w:val="16"/>
                <w:b w:val="1"/>
                <w:bCs w:val="1"/>
                <w:color w:val="auto"/>
              </w:rPr>
              <w:t>2022</w:t>
            </w:r>
          </w:p>
        </w:tc>
      </w:tr>
      <w:tr>
        <w:trPr>
          <w:trHeight w:val="275"/>
        </w:trPr>
        <w:tc>
          <w:tcPr>
            <w:tcW w:w="5760" w:type="dxa"/>
            <w:vAlign w:val="bottom"/>
          </w:tcPr>
          <w:p>
            <w:pPr>
              <w:jc w:val="right"/>
              <w:spacing w:after="0"/>
              <w:rPr>
                <w:sz w:val="20"/>
                <w:szCs w:val="20"/>
                <w:color w:val="auto"/>
              </w:rPr>
            </w:pPr>
            <w:r>
              <w:rPr>
                <w:rFonts w:ascii="Arial" w:cs="Arial" w:eastAsia="Arial" w:hAnsi="Arial"/>
                <w:sz w:val="20"/>
                <w:szCs w:val="20"/>
                <w:color w:val="auto"/>
                <w:w w:val="89"/>
              </w:rPr>
              <w:t xml:space="preserve">U.S.  </w:t>
            </w:r>
            <w:r>
              <w:rPr>
                <w:rFonts w:ascii="Arial" w:cs="Arial" w:eastAsia="Arial" w:hAnsi="Arial"/>
                <w:sz w:val="20"/>
                <w:szCs w:val="20"/>
                <w:color w:val="B4B4B4"/>
                <w:w w:val="89"/>
              </w:rPr>
              <w:t>. . . . . . . . . . . . . . . . . . . . . . . . . . . . . . . . . . . . . . . . . . . . . . . . . . . . .</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1,485</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261</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1,436</w:t>
            </w:r>
          </w:p>
        </w:tc>
      </w:tr>
      <w:tr>
        <w:trPr>
          <w:trHeight w:val="299"/>
        </w:trPr>
        <w:tc>
          <w:tcPr>
            <w:tcW w:w="5760" w:type="dxa"/>
            <w:vAlign w:val="bottom"/>
          </w:tcPr>
          <w:p>
            <w:pPr>
              <w:jc w:val="right"/>
              <w:spacing w:after="0"/>
              <w:rPr>
                <w:sz w:val="20"/>
                <w:szCs w:val="20"/>
                <w:color w:val="auto"/>
              </w:rPr>
            </w:pPr>
            <w:r>
              <w:rPr>
                <w:rFonts w:ascii="Arial" w:cs="Arial" w:eastAsia="Arial" w:hAnsi="Arial"/>
                <w:sz w:val="20"/>
                <w:szCs w:val="20"/>
                <w:color w:val="auto"/>
                <w:w w:val="89"/>
              </w:rPr>
              <w:t xml:space="preserve">Foreign </w:t>
            </w:r>
            <w:r>
              <w:rPr>
                <w:rFonts w:ascii="Arial" w:cs="Arial" w:eastAsia="Arial" w:hAnsi="Arial"/>
                <w:sz w:val="20"/>
                <w:szCs w:val="20"/>
                <w:color w:val="B4B4B4"/>
                <w:w w:val="89"/>
              </w:rPr>
              <w:t>. . . . . . . . . . . . . . . . . . . . . . . . . . . . . . . . . . . . . . . . . . . . . . . . . . .</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(474)</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227</w:t>
            </w:r>
          </w:p>
        </w:tc>
      </w:tr>
      <w:tr>
        <w:trPr>
          <w:trHeight w:val="257"/>
        </w:trPr>
        <w:tc>
          <w:tcPr>
            <w:tcW w:w="5760" w:type="dxa"/>
            <w:vAlign w:val="bottom"/>
          </w:tcPr>
          <w:p>
            <w:pPr>
              <w:jc w:val="right"/>
              <w:spacing w:after="0"/>
              <w:rPr>
                <w:sz w:val="20"/>
                <w:szCs w:val="20"/>
                <w:color w:val="auto"/>
              </w:rPr>
            </w:pPr>
            <w:r>
              <w:rPr>
                <w:rFonts w:ascii="Arial" w:cs="Arial" w:eastAsia="Arial" w:hAnsi="Arial"/>
                <w:sz w:val="20"/>
                <w:szCs w:val="20"/>
                <w:color w:val="auto"/>
                <w:w w:val="91"/>
              </w:rPr>
              <w:t xml:space="preserve">Total </w:t>
            </w:r>
            <w:r>
              <w:rPr>
                <w:rFonts w:ascii="Arial" w:cs="Arial" w:eastAsia="Arial" w:hAnsi="Arial"/>
                <w:sz w:val="20"/>
                <w:szCs w:val="20"/>
                <w:color w:val="B4B4B4"/>
                <w:w w:val="91"/>
              </w:rPr>
              <w:t>. . . . . . . . . . . . . . . . . . . . . . . . . . . . . . . . . . . . . . . . . . . . . . . . . . . .</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1,448</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(213)</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1,663</w:t>
            </w:r>
          </w:p>
        </w:tc>
      </w:tr>
      <w:tr>
        <w:trPr>
          <w:trHeight w:val="20"/>
        </w:trPr>
        <w:tc>
          <w:tcPr>
            <w:tcW w:w="5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-596900</wp:posOffset>
            </wp:positionV>
            <wp:extent cx="6447155" cy="6038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61">
                      <a:extLst>
                        <a:ext uri="{28A0092B-C50C-407E-A947-70E740481C1C}"/>
                      </a:extLst>
                    </a:blip>
                    <a:srcRect/>
                    <a:stretch>
                      <a:fillRect/>
                    </a:stretch>
                  </pic:blipFill>
                  <pic:spPr bwMode="auto">
                    <a:xfrm>
                      <a:off x="0" y="0"/>
                      <a:ext cx="6447155" cy="603885"/>
                    </a:xfrm>
                    <a:prstGeom prst="rect">
                      <a:avLst/>
                    </a:prstGeom>
                    <a:noFill/>
                  </pic:spPr>
                </pic:pic>
              </a:graphicData>
            </a:graphic>
          </wp:anchor>
        </w:drawing>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Reconciliations of the U.S. federal statutory tax rate to NRG's effective tax rate were as follows:</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6"/>
                <w:szCs w:val="16"/>
                <w:b w:val="1"/>
                <w:bCs w:val="1"/>
                <w:color w:val="auto"/>
                <w:w w:val="90"/>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760" w:type="dxa"/>
            <w:vAlign w:val="bottom"/>
          </w:tcPr>
          <w:p>
            <w:pPr>
              <w:spacing w:after="0"/>
              <w:rPr>
                <w:sz w:val="20"/>
                <w:szCs w:val="20"/>
                <w:color w:val="auto"/>
              </w:rPr>
            </w:pPr>
            <w:r>
              <w:rPr>
                <w:rFonts w:ascii="Arial" w:cs="Arial" w:eastAsia="Arial" w:hAnsi="Arial"/>
                <w:sz w:val="16"/>
                <w:szCs w:val="16"/>
                <w:b w:val="1"/>
                <w:bCs w:val="1"/>
                <w:color w:val="auto"/>
              </w:rPr>
              <w:t>(In millions, except effective income tax rate)</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w w:val="90"/>
              </w:rPr>
              <w:t xml:space="preserve">Income/(Loss) before income taxes </w:t>
            </w:r>
            <w:r>
              <w:rPr>
                <w:rFonts w:ascii="Arial" w:cs="Arial" w:eastAsia="Arial" w:hAnsi="Arial"/>
                <w:sz w:val="20"/>
                <w:szCs w:val="20"/>
                <w:color w:val="B4B4B4"/>
                <w:w w:val="90"/>
              </w:rPr>
              <w:t>. . . . . . . . . . . . . . . . . . . . . . . . . . . . .</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
              <w:spacing w:after="0"/>
              <w:rPr>
                <w:sz w:val="20"/>
                <w:szCs w:val="20"/>
                <w:color w:val="auto"/>
              </w:rPr>
            </w:pPr>
            <w:r>
              <w:rPr>
                <w:rFonts w:ascii="Arial" w:cs="Arial" w:eastAsia="Arial" w:hAnsi="Arial"/>
                <w:sz w:val="20"/>
                <w:szCs w:val="20"/>
                <w:color w:val="auto"/>
              </w:rPr>
              <w:t>1,448</w:t>
            </w:r>
          </w:p>
        </w:tc>
        <w:tc>
          <w:tcPr>
            <w:tcW w:w="560" w:type="dxa"/>
            <w:vAlign w:val="bottom"/>
            <w:gridSpan w:val="3"/>
          </w:tcPr>
          <w:p>
            <w:pPr>
              <w:jc w:val="right"/>
              <w:ind w:right="20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82"/>
              <w:spacing w:after="0"/>
              <w:rPr>
                <w:sz w:val="20"/>
                <w:szCs w:val="20"/>
                <w:color w:val="auto"/>
              </w:rPr>
            </w:pPr>
            <w:r>
              <w:rPr>
                <w:rFonts w:ascii="Arial" w:cs="Arial" w:eastAsia="Arial" w:hAnsi="Arial"/>
                <w:sz w:val="20"/>
                <w:szCs w:val="20"/>
                <w:color w:val="auto"/>
              </w:rPr>
              <w:t>(213)</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62"/>
              <w:spacing w:after="0"/>
              <w:rPr>
                <w:sz w:val="20"/>
                <w:szCs w:val="20"/>
                <w:color w:val="auto"/>
              </w:rPr>
            </w:pPr>
            <w:r>
              <w:rPr>
                <w:rFonts w:ascii="Arial" w:cs="Arial" w:eastAsia="Arial" w:hAnsi="Arial"/>
                <w:sz w:val="20"/>
                <w:szCs w:val="20"/>
                <w:color w:val="auto"/>
              </w:rPr>
              <w:t>1,663</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20"/>
                <w:szCs w:val="20"/>
                <w:color w:val="auto"/>
              </w:rPr>
              <w:t>Tax at federal statutory tax rate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760" w:type="dxa"/>
            <w:vAlign w:val="bottom"/>
            <w:vMerge w:val="continue"/>
          </w:tcPr>
          <w:p>
            <w:pPr>
              <w:jc w:val="right"/>
              <w:spacing w:after="0" w:line="195" w:lineRule="exact"/>
              <w:rPr>
                <w:sz w:val="20"/>
                <w:szCs w:val="20"/>
                <w:color w:val="auto"/>
              </w:rPr>
            </w:pPr>
            <w:r>
              <w:rPr>
                <w:rFonts w:ascii="Arial" w:cs="Arial" w:eastAsia="Arial" w:hAnsi="Arial"/>
                <w:sz w:val="20"/>
                <w:szCs w:val="20"/>
                <w:color w:val="B4B4B4"/>
              </w:rPr>
              <w:t>. . . . . . . . . . . . . . . . . . . . . . . . . . . . . . . .</w:t>
            </w:r>
          </w:p>
        </w:tc>
        <w:tc>
          <w:tcPr>
            <w:tcW w:w="340" w:type="dxa"/>
            <w:vAlign w:val="bottom"/>
          </w:tcPr>
          <w:p>
            <w:pPr>
              <w:spacing w:after="0"/>
              <w:rPr>
                <w:sz w:val="22"/>
                <w:szCs w:val="22"/>
                <w:color w:val="auto"/>
              </w:rPr>
            </w:pPr>
          </w:p>
        </w:tc>
        <w:tc>
          <w:tcPr>
            <w:tcW w:w="900" w:type="dxa"/>
            <w:vAlign w:val="bottom"/>
          </w:tcPr>
          <w:p>
            <w:pPr>
              <w:jc w:val="right"/>
              <w:ind w:right="2"/>
              <w:spacing w:after="0"/>
              <w:rPr>
                <w:sz w:val="20"/>
                <w:szCs w:val="20"/>
                <w:color w:val="auto"/>
              </w:rPr>
            </w:pPr>
            <w:r>
              <w:rPr>
                <w:rFonts w:ascii="Arial" w:cs="Arial" w:eastAsia="Arial" w:hAnsi="Arial"/>
                <w:sz w:val="20"/>
                <w:szCs w:val="20"/>
                <w:color w:val="auto"/>
              </w:rPr>
              <w:t>304</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82"/>
              <w:spacing w:after="0"/>
              <w:rPr>
                <w:sz w:val="20"/>
                <w:szCs w:val="20"/>
                <w:color w:val="auto"/>
              </w:rPr>
            </w:pPr>
            <w:r>
              <w:rPr>
                <w:rFonts w:ascii="Arial" w:cs="Arial" w:eastAsia="Arial" w:hAnsi="Arial"/>
                <w:sz w:val="20"/>
                <w:szCs w:val="20"/>
                <w:color w:val="auto"/>
              </w:rPr>
              <w:t>(45)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62"/>
              <w:spacing w:after="0"/>
              <w:rPr>
                <w:sz w:val="20"/>
                <w:szCs w:val="20"/>
                <w:color w:val="auto"/>
              </w:rPr>
            </w:pPr>
            <w:r>
              <w:rPr>
                <w:rFonts w:ascii="Arial" w:cs="Arial" w:eastAsia="Arial" w:hAnsi="Arial"/>
                <w:sz w:val="20"/>
                <w:szCs w:val="20"/>
                <w:color w:val="auto"/>
              </w:rPr>
              <w:t>349</w:t>
            </w:r>
          </w:p>
        </w:tc>
        <w:tc>
          <w:tcPr>
            <w:tcW w:w="0" w:type="dxa"/>
            <w:vAlign w:val="bottom"/>
          </w:tcPr>
          <w:p>
            <w:pPr>
              <w:spacing w:after="0"/>
              <w:rPr>
                <w:sz w:val="1"/>
                <w:szCs w:val="1"/>
                <w:color w:val="auto"/>
              </w:rPr>
            </w:pPr>
          </w:p>
        </w:tc>
      </w:tr>
      <w:tr>
        <w:trPr>
          <w:trHeight w:val="294"/>
        </w:trPr>
        <w:tc>
          <w:tcPr>
            <w:tcW w:w="5760" w:type="dxa"/>
            <w:vAlign w:val="bottom"/>
          </w:tcPr>
          <w:p>
            <w:pPr>
              <w:jc w:val="right"/>
              <w:spacing w:after="0"/>
              <w:rPr>
                <w:sz w:val="20"/>
                <w:szCs w:val="20"/>
                <w:color w:val="auto"/>
              </w:rPr>
            </w:pPr>
            <w:r>
              <w:rPr>
                <w:rFonts w:ascii="Arial" w:cs="Arial" w:eastAsia="Arial" w:hAnsi="Arial"/>
                <w:sz w:val="20"/>
                <w:szCs w:val="20"/>
                <w:color w:val="auto"/>
                <w:w w:val="91"/>
              </w:rPr>
              <w:t xml:space="preserve">State taxes </w:t>
            </w:r>
            <w:r>
              <w:rPr>
                <w:rFonts w:ascii="Arial" w:cs="Arial" w:eastAsia="Arial" w:hAnsi="Arial"/>
                <w:sz w:val="20"/>
                <w:szCs w:val="20"/>
                <w:color w:val="B4B4B4"/>
                <w:w w:val="91"/>
              </w:rPr>
              <w:t>. . . . . . . . . . . . . . . . . . . . . . . . . . . . . . . . . . . . . . . . . . . . . . .</w:t>
            </w:r>
          </w:p>
        </w:tc>
        <w:tc>
          <w:tcPr>
            <w:tcW w:w="34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Arial" w:cs="Arial" w:eastAsia="Arial" w:hAnsi="Arial"/>
                <w:sz w:val="20"/>
                <w:szCs w:val="20"/>
                <w:color w:val="auto"/>
              </w:rPr>
              <w:t>92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82"/>
              <w:spacing w:after="0"/>
              <w:rPr>
                <w:sz w:val="20"/>
                <w:szCs w:val="20"/>
                <w:color w:val="auto"/>
              </w:rPr>
            </w:pPr>
            <w:r>
              <w:rPr>
                <w:rFonts w:ascii="Arial" w:cs="Arial" w:eastAsia="Arial" w:hAnsi="Arial"/>
                <w:sz w:val="20"/>
                <w:szCs w:val="20"/>
                <w:color w:val="auto"/>
              </w:rPr>
              <w:t>(22)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162"/>
              <w:spacing w:after="0"/>
              <w:rPr>
                <w:sz w:val="20"/>
                <w:szCs w:val="20"/>
                <w:color w:val="auto"/>
              </w:rPr>
            </w:pPr>
            <w:r>
              <w:rPr>
                <w:rFonts w:ascii="Arial" w:cs="Arial" w:eastAsia="Arial" w:hAnsi="Arial"/>
                <w:sz w:val="20"/>
                <w:szCs w:val="20"/>
                <w:color w:val="auto"/>
              </w:rPr>
              <w:t>69</w:t>
            </w:r>
          </w:p>
        </w:tc>
        <w:tc>
          <w:tcPr>
            <w:tcW w:w="0" w:type="dxa"/>
            <w:vAlign w:val="bottom"/>
          </w:tcPr>
          <w:p>
            <w:pPr>
              <w:spacing w:after="0"/>
              <w:rPr>
                <w:sz w:val="1"/>
                <w:szCs w:val="1"/>
                <w:color w:val="auto"/>
              </w:rPr>
            </w:pPr>
          </w:p>
        </w:tc>
      </w:tr>
      <w:tr>
        <w:trPr>
          <w:trHeight w:val="297"/>
        </w:trPr>
        <w:tc>
          <w:tcPr>
            <w:tcW w:w="5760" w:type="dxa"/>
            <w:vAlign w:val="bottom"/>
          </w:tcPr>
          <w:p>
            <w:pPr>
              <w:jc w:val="right"/>
              <w:spacing w:after="0"/>
              <w:rPr>
                <w:sz w:val="20"/>
                <w:szCs w:val="20"/>
                <w:color w:val="auto"/>
              </w:rPr>
            </w:pPr>
            <w:r>
              <w:rPr>
                <w:rFonts w:ascii="Arial" w:cs="Arial" w:eastAsia="Arial" w:hAnsi="Arial"/>
                <w:sz w:val="20"/>
                <w:szCs w:val="20"/>
                <w:color w:val="auto"/>
                <w:w w:val="92"/>
              </w:rPr>
              <w:t xml:space="preserve">Foreign rate differential  </w:t>
            </w:r>
            <w:r>
              <w:rPr>
                <w:rFonts w:ascii="Arial" w:cs="Arial" w:eastAsia="Arial" w:hAnsi="Arial"/>
                <w:sz w:val="20"/>
                <w:szCs w:val="20"/>
                <w:color w:val="B4B4B4"/>
                <w:w w:val="92"/>
              </w:rPr>
              <w:t>. . . . . . . . . . . . . . . . . . . . . . . . . . . . . . . . . . . .</w:t>
            </w:r>
          </w:p>
        </w:tc>
        <w:tc>
          <w:tcPr>
            <w:tcW w:w="34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Arial" w:cs="Arial" w:eastAsia="Arial" w:hAnsi="Arial"/>
                <w:sz w:val="20"/>
                <w:szCs w:val="20"/>
                <w:color w:val="auto"/>
              </w:rPr>
              <w:t>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82"/>
              <w:spacing w:after="0"/>
              <w:rPr>
                <w:sz w:val="20"/>
                <w:szCs w:val="20"/>
                <w:color w:val="auto"/>
              </w:rPr>
            </w:pPr>
            <w:r>
              <w:rPr>
                <w:rFonts w:ascii="Arial" w:cs="Arial" w:eastAsia="Arial" w:hAnsi="Arial"/>
                <w:sz w:val="20"/>
                <w:szCs w:val="20"/>
                <w:color w:val="auto"/>
              </w:rPr>
              <w:t>(10)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162"/>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97"/>
        </w:trPr>
        <w:tc>
          <w:tcPr>
            <w:tcW w:w="5760" w:type="dxa"/>
            <w:vAlign w:val="bottom"/>
          </w:tcPr>
          <w:p>
            <w:pPr>
              <w:jc w:val="right"/>
              <w:spacing w:after="0"/>
              <w:rPr>
                <w:sz w:val="20"/>
                <w:szCs w:val="20"/>
                <w:color w:val="auto"/>
              </w:rPr>
            </w:pPr>
            <w:r>
              <w:rPr>
                <w:rFonts w:ascii="Arial" w:cs="Arial" w:eastAsia="Arial" w:hAnsi="Arial"/>
                <w:sz w:val="20"/>
                <w:szCs w:val="20"/>
                <w:color w:val="auto"/>
                <w:w w:val="91"/>
              </w:rPr>
              <w:t xml:space="preserve">Changes in state valuation allowances  </w:t>
            </w:r>
            <w:r>
              <w:rPr>
                <w:rFonts w:ascii="Arial" w:cs="Arial" w:eastAsia="Arial" w:hAnsi="Arial"/>
                <w:sz w:val="20"/>
                <w:szCs w:val="20"/>
                <w:color w:val="B4B4B4"/>
                <w:w w:val="91"/>
              </w:rPr>
              <w:t>. . . . . . . . . . . . . . . . . . . . . . . . .</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142"/>
              <w:spacing w:after="0"/>
              <w:rPr>
                <w:sz w:val="20"/>
                <w:szCs w:val="20"/>
                <w:color w:val="auto"/>
              </w:rPr>
            </w:pPr>
            <w:r>
              <w:rPr>
                <w:rFonts w:ascii="Arial" w:cs="Arial" w:eastAsia="Arial" w:hAnsi="Arial"/>
                <w:sz w:val="20"/>
                <w:szCs w:val="20"/>
                <w:color w:val="auto"/>
              </w:rPr>
              <w:t>42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82"/>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97"/>
        </w:trPr>
        <w:tc>
          <w:tcPr>
            <w:tcW w:w="5760" w:type="dxa"/>
            <w:vAlign w:val="bottom"/>
          </w:tcPr>
          <w:p>
            <w:pPr>
              <w:jc w:val="right"/>
              <w:spacing w:after="0"/>
              <w:rPr>
                <w:sz w:val="20"/>
                <w:szCs w:val="20"/>
                <w:color w:val="auto"/>
              </w:rPr>
            </w:pPr>
            <w:r>
              <w:rPr>
                <w:rFonts w:ascii="Arial" w:cs="Arial" w:eastAsia="Arial" w:hAnsi="Arial"/>
                <w:sz w:val="20"/>
                <w:szCs w:val="20"/>
                <w:color w:val="auto"/>
                <w:w w:val="91"/>
              </w:rPr>
              <w:t xml:space="preserve">Nondeductible loss on Convertible Senior Notes repurchases </w:t>
            </w:r>
            <w:r>
              <w:rPr>
                <w:rFonts w:ascii="Arial" w:cs="Arial" w:eastAsia="Arial" w:hAnsi="Arial"/>
                <w:sz w:val="20"/>
                <w:szCs w:val="20"/>
                <w:color w:val="B4B4B4"/>
                <w:w w:val="91"/>
              </w:rPr>
              <w:t>. . . . . . .</w:t>
            </w:r>
          </w:p>
        </w:tc>
        <w:tc>
          <w:tcPr>
            <w:tcW w:w="34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Arial" w:cs="Arial" w:eastAsia="Arial" w:hAnsi="Arial"/>
                <w:sz w:val="20"/>
                <w:szCs w:val="20"/>
                <w:color w:val="auto"/>
              </w:rPr>
              <w:t>56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5760" w:type="dxa"/>
            <w:vAlign w:val="bottom"/>
          </w:tcPr>
          <w:p>
            <w:pPr>
              <w:jc w:val="right"/>
              <w:spacing w:after="0"/>
              <w:rPr>
                <w:sz w:val="20"/>
                <w:szCs w:val="20"/>
                <w:color w:val="auto"/>
              </w:rPr>
            </w:pPr>
            <w:r>
              <w:rPr>
                <w:rFonts w:ascii="Arial" w:cs="Arial" w:eastAsia="Arial" w:hAnsi="Arial"/>
                <w:sz w:val="20"/>
                <w:szCs w:val="20"/>
                <w:color w:val="auto"/>
                <w:w w:val="91"/>
              </w:rPr>
              <w:t xml:space="preserve">Permanent differences </w:t>
            </w:r>
            <w:r>
              <w:rPr>
                <w:rFonts w:ascii="Arial" w:cs="Arial" w:eastAsia="Arial" w:hAnsi="Arial"/>
                <w:sz w:val="20"/>
                <w:szCs w:val="20"/>
                <w:color w:val="B4B4B4"/>
                <w:w w:val="91"/>
              </w:rPr>
              <w:t>. . . . . . . . . . . . . . . . . . . . . . . . . . . . . . . . . . . . . .</w:t>
            </w:r>
          </w:p>
        </w:tc>
        <w:tc>
          <w:tcPr>
            <w:tcW w:w="34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Arial" w:cs="Arial" w:eastAsia="Arial" w:hAnsi="Arial"/>
                <w:sz w:val="20"/>
                <w:szCs w:val="20"/>
                <w:color w:val="auto"/>
              </w:rPr>
              <w:t>23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142"/>
              <w:spacing w:after="0"/>
              <w:rPr>
                <w:sz w:val="20"/>
                <w:szCs w:val="20"/>
                <w:color w:val="auto"/>
              </w:rPr>
            </w:pPr>
            <w:r>
              <w:rPr>
                <w:rFonts w:ascii="Arial" w:cs="Arial" w:eastAsia="Arial" w:hAnsi="Arial"/>
                <w:sz w:val="20"/>
                <w:szCs w:val="20"/>
                <w:color w:val="auto"/>
              </w:rPr>
              <w:t>31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162"/>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97"/>
        </w:trPr>
        <w:tc>
          <w:tcPr>
            <w:tcW w:w="5760" w:type="dxa"/>
            <w:vAlign w:val="bottom"/>
          </w:tcPr>
          <w:p>
            <w:pPr>
              <w:jc w:val="right"/>
              <w:spacing w:after="0"/>
              <w:rPr>
                <w:sz w:val="20"/>
                <w:szCs w:val="20"/>
                <w:color w:val="auto"/>
              </w:rPr>
            </w:pPr>
            <w:r>
              <w:rPr>
                <w:rFonts w:ascii="Arial" w:cs="Arial" w:eastAsia="Arial" w:hAnsi="Arial"/>
                <w:sz w:val="20"/>
                <w:szCs w:val="20"/>
                <w:color w:val="auto"/>
                <w:w w:val="90"/>
              </w:rPr>
              <w:t xml:space="preserve">Stock compensation </w:t>
            </w:r>
            <w:r>
              <w:rPr>
                <w:rFonts w:ascii="Arial" w:cs="Arial" w:eastAsia="Arial" w:hAnsi="Arial"/>
                <w:sz w:val="20"/>
                <w:szCs w:val="20"/>
                <w:color w:val="B4B4B4"/>
                <w:w w:val="90"/>
              </w:rPr>
              <w:t>. . . . . . . . . . . . . . . . . . . . . . . . . . . . . . . . . . . . . . . .</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5760" w:type="dxa"/>
            <w:vAlign w:val="bottom"/>
          </w:tcPr>
          <w:p>
            <w:pPr>
              <w:jc w:val="right"/>
              <w:spacing w:after="0"/>
              <w:rPr>
                <w:sz w:val="20"/>
                <w:szCs w:val="20"/>
                <w:color w:val="auto"/>
              </w:rPr>
            </w:pPr>
            <w:r>
              <w:rPr>
                <w:rFonts w:ascii="Arial" w:cs="Arial" w:eastAsia="Arial" w:hAnsi="Arial"/>
                <w:sz w:val="20"/>
                <w:szCs w:val="20"/>
                <w:color w:val="auto"/>
                <w:w w:val="92"/>
              </w:rPr>
              <w:t xml:space="preserve">Recognition of uncertain tax benefits </w:t>
            </w:r>
            <w:r>
              <w:rPr>
                <w:rFonts w:ascii="Arial" w:cs="Arial" w:eastAsia="Arial" w:hAnsi="Arial"/>
                <w:sz w:val="20"/>
                <w:szCs w:val="20"/>
                <w:color w:val="B4B4B4"/>
                <w:w w:val="92"/>
              </w:rPr>
              <w:t>. . . . . . . . . . . . . . . . . . . . . . . . . .</w:t>
            </w:r>
          </w:p>
        </w:tc>
        <w:tc>
          <w:tcPr>
            <w:tcW w:w="34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Arial" w:cs="Arial" w:eastAsia="Arial" w:hAnsi="Arial"/>
                <w:sz w:val="20"/>
                <w:szCs w:val="20"/>
                <w:color w:val="auto"/>
              </w:rPr>
              <w:t>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142"/>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162"/>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97"/>
        </w:trPr>
        <w:tc>
          <w:tcPr>
            <w:tcW w:w="5760" w:type="dxa"/>
            <w:vAlign w:val="bottom"/>
          </w:tcPr>
          <w:p>
            <w:pPr>
              <w:jc w:val="right"/>
              <w:spacing w:after="0"/>
              <w:rPr>
                <w:sz w:val="20"/>
                <w:szCs w:val="20"/>
                <w:color w:val="auto"/>
              </w:rPr>
            </w:pPr>
            <w:r>
              <w:rPr>
                <w:rFonts w:ascii="Arial" w:cs="Arial" w:eastAsia="Arial" w:hAnsi="Arial"/>
                <w:sz w:val="20"/>
                <w:szCs w:val="20"/>
                <w:color w:val="auto"/>
                <w:w w:val="91"/>
              </w:rPr>
              <w:t xml:space="preserve">Deferred impact of state tax rate changes </w:t>
            </w:r>
            <w:r>
              <w:rPr>
                <w:rFonts w:ascii="Arial" w:cs="Arial" w:eastAsia="Arial" w:hAnsi="Arial"/>
                <w:sz w:val="20"/>
                <w:szCs w:val="20"/>
                <w:color w:val="B4B4B4"/>
                <w:w w:val="91"/>
              </w:rPr>
              <w:t>. . . . . . . . . . . . . . . . . . . . . . .</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142"/>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162"/>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97"/>
        </w:trPr>
        <w:tc>
          <w:tcPr>
            <w:tcW w:w="5760" w:type="dxa"/>
            <w:vAlign w:val="bottom"/>
          </w:tcPr>
          <w:p>
            <w:pPr>
              <w:jc w:val="right"/>
              <w:spacing w:after="0"/>
              <w:rPr>
                <w:sz w:val="20"/>
                <w:szCs w:val="20"/>
                <w:color w:val="auto"/>
              </w:rPr>
            </w:pPr>
            <w:r>
              <w:rPr>
                <w:rFonts w:ascii="Arial" w:cs="Arial" w:eastAsia="Arial" w:hAnsi="Arial"/>
                <w:sz w:val="20"/>
                <w:szCs w:val="20"/>
                <w:color w:val="auto"/>
                <w:w w:val="92"/>
              </w:rPr>
              <w:t xml:space="preserve">Foreign tax refunds </w:t>
            </w:r>
            <w:r>
              <w:rPr>
                <w:rFonts w:ascii="Arial" w:cs="Arial" w:eastAsia="Arial" w:hAnsi="Arial"/>
                <w:sz w:val="20"/>
                <w:szCs w:val="20"/>
                <w:color w:val="B4B4B4"/>
                <w:w w:val="92"/>
              </w:rPr>
              <w:t>. . . . . . . . . . . . . . . . . . . . . . . . . . . . . . . . . . . . . . . .</w:t>
            </w:r>
          </w:p>
        </w:tc>
        <w:tc>
          <w:tcPr>
            <w:tcW w:w="34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82"/>
              <w:spacing w:after="0"/>
              <w:rPr>
                <w:sz w:val="20"/>
                <w:szCs w:val="20"/>
                <w:color w:val="auto"/>
              </w:rPr>
            </w:pPr>
            <w:r>
              <w:rPr>
                <w:rFonts w:ascii="Arial" w:cs="Arial" w:eastAsia="Arial" w:hAnsi="Arial"/>
                <w:sz w:val="20"/>
                <w:szCs w:val="20"/>
                <w:color w:val="auto"/>
              </w:rPr>
              <w:t>(17)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5760" w:type="dxa"/>
            <w:vAlign w:val="bottom"/>
          </w:tcPr>
          <w:p>
            <w:pPr>
              <w:jc w:val="right"/>
              <w:spacing w:after="0"/>
              <w:rPr>
                <w:sz w:val="20"/>
                <w:szCs w:val="20"/>
                <w:color w:val="auto"/>
              </w:rPr>
            </w:pPr>
            <w:r>
              <w:rPr>
                <w:rFonts w:ascii="Arial" w:cs="Arial" w:eastAsia="Arial" w:hAnsi="Arial"/>
                <w:sz w:val="20"/>
                <w:szCs w:val="20"/>
                <w:color w:val="auto"/>
                <w:w w:val="92"/>
              </w:rPr>
              <w:t xml:space="preserve">Return to provision adjustments </w:t>
            </w:r>
            <w:r>
              <w:rPr>
                <w:rFonts w:ascii="Arial" w:cs="Arial" w:eastAsia="Arial" w:hAnsi="Arial"/>
                <w:sz w:val="20"/>
                <w:szCs w:val="20"/>
                <w:color w:val="B4B4B4"/>
                <w:w w:val="92"/>
              </w:rPr>
              <w:t>. . . . . . . . . . . . . . . . . . . . . . . . . . . . . .</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82"/>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9"/>
        </w:trPr>
        <w:tc>
          <w:tcPr>
            <w:tcW w:w="5760" w:type="dxa"/>
            <w:vAlign w:val="bottom"/>
          </w:tcPr>
          <w:p>
            <w:pPr>
              <w:jc w:val="right"/>
              <w:spacing w:after="0"/>
              <w:rPr>
                <w:sz w:val="20"/>
                <w:szCs w:val="20"/>
                <w:color w:val="auto"/>
              </w:rPr>
            </w:pPr>
            <w:r>
              <w:rPr>
                <w:rFonts w:ascii="Arial" w:cs="Arial" w:eastAsia="Arial" w:hAnsi="Arial"/>
                <w:sz w:val="20"/>
                <w:szCs w:val="20"/>
                <w:color w:val="auto"/>
                <w:w w:val="91"/>
              </w:rPr>
              <w:t xml:space="preserve">Carbon capture tax credits </w:t>
            </w:r>
            <w:r>
              <w:rPr>
                <w:rFonts w:ascii="Arial" w:cs="Arial" w:eastAsia="Arial" w:hAnsi="Arial"/>
                <w:sz w:val="20"/>
                <w:szCs w:val="20"/>
                <w:color w:val="B4B4B4"/>
                <w:w w:val="91"/>
              </w:rPr>
              <w:t>. . . . . . . . . . . . . . . . . . . . . . . . . . . . . . . . . . .</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57"/>
        </w:trPr>
        <w:tc>
          <w:tcPr>
            <w:tcW w:w="5760" w:type="dxa"/>
            <w:vAlign w:val="bottom"/>
          </w:tcPr>
          <w:p>
            <w:pPr>
              <w:jc w:val="right"/>
              <w:spacing w:after="0"/>
              <w:rPr>
                <w:sz w:val="20"/>
                <w:szCs w:val="20"/>
                <w:color w:val="auto"/>
              </w:rPr>
            </w:pPr>
            <w:r>
              <w:rPr>
                <w:rFonts w:ascii="Arial" w:cs="Arial" w:eastAsia="Arial" w:hAnsi="Arial"/>
                <w:sz w:val="20"/>
                <w:szCs w:val="20"/>
                <w:color w:val="auto"/>
                <w:w w:val="89"/>
              </w:rPr>
              <w:t xml:space="preserve">Income tax expense/(benefit) </w:t>
            </w:r>
            <w:r>
              <w:rPr>
                <w:rFonts w:ascii="Arial" w:cs="Arial" w:eastAsia="Arial" w:hAnsi="Arial"/>
                <w:sz w:val="20"/>
                <w:szCs w:val="20"/>
                <w:color w:val="B4B4B4"/>
                <w:w w:val="89"/>
              </w:rPr>
              <w:t>. . . . . . . . . . . . . . . . . . . . . . . . . . . . . . . . . .</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
              <w:spacing w:after="0"/>
              <w:rPr>
                <w:sz w:val="20"/>
                <w:szCs w:val="20"/>
                <w:color w:val="auto"/>
              </w:rPr>
            </w:pPr>
            <w:r>
              <w:rPr>
                <w:rFonts w:ascii="Arial" w:cs="Arial" w:eastAsia="Arial" w:hAnsi="Arial"/>
                <w:sz w:val="20"/>
                <w:szCs w:val="20"/>
                <w:color w:val="auto"/>
              </w:rPr>
              <w:t>323</w:t>
            </w:r>
          </w:p>
        </w:tc>
        <w:tc>
          <w:tcPr>
            <w:tcW w:w="560" w:type="dxa"/>
            <w:vAlign w:val="bottom"/>
            <w:gridSpan w:val="3"/>
          </w:tcPr>
          <w:p>
            <w:pPr>
              <w:jc w:val="right"/>
              <w:ind w:right="20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82"/>
              <w:spacing w:after="0"/>
              <w:rPr>
                <w:sz w:val="20"/>
                <w:szCs w:val="20"/>
                <w:color w:val="auto"/>
              </w:rPr>
            </w:pPr>
            <w:r>
              <w:rPr>
                <w:rFonts w:ascii="Arial" w:cs="Arial" w:eastAsia="Arial" w:hAnsi="Arial"/>
                <w:sz w:val="20"/>
                <w:szCs w:val="20"/>
                <w:color w:val="auto"/>
              </w:rPr>
              <w:t>(11)</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62"/>
              <w:spacing w:after="0"/>
              <w:rPr>
                <w:sz w:val="20"/>
                <w:szCs w:val="20"/>
                <w:color w:val="auto"/>
              </w:rPr>
            </w:pPr>
            <w:r>
              <w:rPr>
                <w:rFonts w:ascii="Arial" w:cs="Arial" w:eastAsia="Arial" w:hAnsi="Arial"/>
                <w:sz w:val="20"/>
                <w:szCs w:val="20"/>
                <w:color w:val="auto"/>
              </w:rPr>
              <w:t>442</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20"/>
                <w:szCs w:val="20"/>
                <w:color w:val="auto"/>
              </w:rPr>
              <w:t>Effective income tax rate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760" w:type="dxa"/>
            <w:vAlign w:val="bottom"/>
            <w:vMerge w:val="continue"/>
          </w:tcPr>
          <w:p>
            <w:pPr>
              <w:jc w:val="right"/>
              <w:spacing w:after="0" w:line="195" w:lineRule="exact"/>
              <w:rPr>
                <w:sz w:val="20"/>
                <w:szCs w:val="20"/>
                <w:color w:val="auto"/>
              </w:rPr>
            </w:pPr>
            <w:r>
              <w:rPr>
                <w:rFonts w:ascii="Arial" w:cs="Arial" w:eastAsia="Arial" w:hAnsi="Arial"/>
                <w:sz w:val="20"/>
                <w:szCs w:val="20"/>
                <w:color w:val="B4B4B4"/>
              </w:rPr>
              <w:t>. . . . . . . . . . . . . . . . . . . . . . . . . . . . . . . . . . . . .</w:t>
            </w:r>
          </w:p>
        </w:tc>
        <w:tc>
          <w:tcPr>
            <w:tcW w:w="34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22.3 %</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5.2 %</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26.6 %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-2835275</wp:posOffset>
            </wp:positionV>
            <wp:extent cx="6447155" cy="28543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62">
                      <a:extLst>
                        <a:ext uri="{28A0092B-C50C-407E-A947-70E740481C1C}"/>
                      </a:extLst>
                    </a:blip>
                    <a:srcRect/>
                    <a:stretch>
                      <a:fillRect/>
                    </a:stretch>
                  </pic:blipFill>
                  <pic:spPr bwMode="auto">
                    <a:xfrm>
                      <a:off x="0" y="0"/>
                      <a:ext cx="6447155" cy="2854325"/>
                    </a:xfrm>
                    <a:prstGeom prst="rect">
                      <a:avLst/>
                    </a:prstGeom>
                    <a:noFill/>
                  </pic:spPr>
                </pic:pic>
              </a:graphicData>
            </a:graphic>
          </wp:anchor>
        </w:drawing>
      </w:r>
    </w:p>
    <w:p>
      <w:pPr>
        <w:spacing w:after="0" w:line="14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For the year ended December 31, 2024, NRG's effective income tax rate was higher than the federal statutory tax rate of 21% primarily due to permanent differences and state tax expense partially offset by tax benefits from the revaluation of state deferred tax assets, and decrease of certain state valuation allowances.</w:t>
      </w:r>
    </w:p>
    <w:p>
      <w:pPr>
        <w:spacing w:after="0" w:line="78" w:lineRule="exact"/>
        <w:rPr>
          <w:sz w:val="20"/>
          <w:szCs w:val="20"/>
          <w:color w:val="auto"/>
        </w:rPr>
      </w:pPr>
    </w:p>
    <w:p>
      <w:pPr>
        <w:ind w:firstLine="445"/>
        <w:spacing w:after="0" w:line="277" w:lineRule="auto"/>
        <w:rPr>
          <w:sz w:val="20"/>
          <w:szCs w:val="20"/>
          <w:color w:val="auto"/>
        </w:rPr>
      </w:pPr>
      <w:r>
        <w:rPr>
          <w:rFonts w:ascii="Arial" w:cs="Arial" w:eastAsia="Arial" w:hAnsi="Arial"/>
          <w:sz w:val="20"/>
          <w:szCs w:val="20"/>
          <w:color w:val="auto"/>
        </w:rPr>
        <w:t>For the year ended December 31, 2023, NRG's effective income tax rate was lower than the federal statutory tax rate of 21% primarily due to permanent differences and changes in state valuation allowances.</w:t>
      </w:r>
    </w:p>
    <w:p>
      <w:pPr>
        <w:spacing w:after="0" w:line="63" w:lineRule="exact"/>
        <w:rPr>
          <w:sz w:val="20"/>
          <w:szCs w:val="20"/>
          <w:color w:val="auto"/>
        </w:rPr>
      </w:pPr>
    </w:p>
    <w:p>
      <w:pPr>
        <w:ind w:right="200" w:firstLine="445"/>
        <w:spacing w:after="0" w:line="304" w:lineRule="auto"/>
        <w:rPr>
          <w:sz w:val="20"/>
          <w:szCs w:val="20"/>
          <w:color w:val="auto"/>
        </w:rPr>
      </w:pPr>
      <w:r>
        <w:rPr>
          <w:rFonts w:ascii="Arial" w:cs="Arial" w:eastAsia="Arial" w:hAnsi="Arial"/>
          <w:sz w:val="19"/>
          <w:szCs w:val="19"/>
          <w:color w:val="auto"/>
        </w:rPr>
        <w:t>For the year ended December 31, 2022, NRG's effective income tax rate was higher than the federal statutory tax rate of 21% primarily due to state tax expense partially offset by the recognition of carbon capture tax credits.</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151</w:t>
      </w:r>
    </w:p>
    <w:p>
      <w:pPr>
        <w:sectPr>
          <w:pgSz w:w="11880" w:h="15480" w:orient="portrait"/>
          <w:cols w:equalWidth="0" w:num="1">
            <w:col w:w="10160"/>
          </w:cols>
          <w:pgMar w:left="860" w:top="512" w:right="860" w:bottom="0" w:gutter="0" w:footer="0" w:header="0"/>
          <w:type w:val="continuous"/>
        </w:sectPr>
      </w:pPr>
    </w:p>
    <w:bookmarkStart w:id="153" w:name="page154"/>
    <w:bookmarkEnd w:id="153"/>
    <w:p>
      <w:pPr>
        <w:ind w:left="440"/>
        <w:spacing w:after="0"/>
        <w:rPr>
          <w:sz w:val="20"/>
          <w:szCs w:val="20"/>
          <w:color w:val="auto"/>
        </w:rPr>
      </w:pPr>
      <w:r>
        <w:rPr>
          <w:rFonts w:ascii="Arial" w:cs="Arial" w:eastAsia="Arial" w:hAnsi="Arial"/>
          <w:sz w:val="18"/>
          <w:szCs w:val="18"/>
          <w:color w:val="auto"/>
        </w:rPr>
        <w:t>The temporary differences, which gave rise to the Company's deferred tax assets and liabilities consisted of the following:</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6"/>
                <w:szCs w:val="16"/>
                <w:b w:val="1"/>
                <w:bCs w:val="1"/>
                <w:color w:val="auto"/>
              </w:rPr>
              <w:t>As of December 31,</w:t>
            </w:r>
          </w:p>
        </w:tc>
      </w:tr>
      <w:tr>
        <w:trPr>
          <w:trHeight w:val="232"/>
        </w:trPr>
        <w:tc>
          <w:tcPr>
            <w:tcW w:w="724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2023</w:t>
            </w:r>
          </w:p>
        </w:tc>
      </w:tr>
      <w:tr>
        <w:trPr>
          <w:trHeight w:val="275"/>
        </w:trPr>
        <w:tc>
          <w:tcPr>
            <w:tcW w:w="7240" w:type="dxa"/>
            <w:vAlign w:val="bottom"/>
          </w:tcPr>
          <w:p>
            <w:pPr>
              <w:spacing w:after="0"/>
              <w:rPr>
                <w:sz w:val="20"/>
                <w:szCs w:val="20"/>
                <w:color w:val="auto"/>
              </w:rPr>
            </w:pPr>
            <w:r>
              <w:rPr>
                <w:rFonts w:ascii="Arial" w:cs="Arial" w:eastAsia="Arial" w:hAnsi="Arial"/>
                <w:sz w:val="20"/>
                <w:szCs w:val="20"/>
                <w:color w:val="auto"/>
              </w:rPr>
              <w:t>Deferred tax assets:</w:t>
            </w: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97"/>
        </w:trPr>
        <w:tc>
          <w:tcPr>
            <w:tcW w:w="7240" w:type="dxa"/>
            <w:vAlign w:val="bottom"/>
          </w:tcPr>
          <w:p>
            <w:pPr>
              <w:ind w:left="120"/>
              <w:spacing w:after="0"/>
              <w:rPr>
                <w:sz w:val="20"/>
                <w:szCs w:val="20"/>
                <w:color w:val="auto"/>
              </w:rPr>
            </w:pPr>
            <w:r>
              <w:rPr>
                <w:rFonts w:ascii="Arial" w:cs="Arial" w:eastAsia="Arial" w:hAnsi="Arial"/>
                <w:sz w:val="20"/>
                <w:szCs w:val="20"/>
                <w:color w:val="auto"/>
                <w:w w:val="90"/>
              </w:rPr>
              <w:t xml:space="preserve">U.S. Federal net operating loss carryforwards  </w:t>
            </w:r>
            <w:r>
              <w:rPr>
                <w:rFonts w:ascii="Arial" w:cs="Arial" w:eastAsia="Arial" w:hAnsi="Arial"/>
                <w:sz w:val="20"/>
                <w:szCs w:val="20"/>
                <w:color w:val="B4B4B4"/>
                <w:w w:val="90"/>
              </w:rPr>
              <w:t>. . . . . . . . . . . . . . . . . . . . . . . . . . . . . . . . . .</w:t>
            </w:r>
          </w:p>
        </w:tc>
        <w:tc>
          <w:tcPr>
            <w:tcW w:w="3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1,477</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1,762</w:t>
            </w:r>
          </w:p>
        </w:tc>
      </w:tr>
      <w:tr>
        <w:trPr>
          <w:trHeight w:val="297"/>
        </w:trPr>
        <w:tc>
          <w:tcPr>
            <w:tcW w:w="7240" w:type="dxa"/>
            <w:vAlign w:val="bottom"/>
          </w:tcPr>
          <w:p>
            <w:pPr>
              <w:ind w:left="120"/>
              <w:spacing w:after="0"/>
              <w:rPr>
                <w:sz w:val="20"/>
                <w:szCs w:val="20"/>
                <w:color w:val="auto"/>
              </w:rPr>
            </w:pPr>
            <w:r>
              <w:rPr>
                <w:rFonts w:ascii="Arial" w:cs="Arial" w:eastAsia="Arial" w:hAnsi="Arial"/>
                <w:sz w:val="20"/>
                <w:szCs w:val="20"/>
                <w:color w:val="auto"/>
                <w:w w:val="90"/>
              </w:rPr>
              <w:t xml:space="preserve">State net operating loss carryforwards  </w:t>
            </w:r>
            <w:r>
              <w:rPr>
                <w:rFonts w:ascii="Arial" w:cs="Arial" w:eastAsia="Arial" w:hAnsi="Arial"/>
                <w:sz w:val="20"/>
                <w:szCs w:val="20"/>
                <w:color w:val="B4B4B4"/>
                <w:w w:val="90"/>
              </w:rPr>
              <w:t>.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341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367</w:t>
            </w:r>
          </w:p>
        </w:tc>
      </w:tr>
      <w:tr>
        <w:trPr>
          <w:trHeight w:val="297"/>
        </w:trPr>
        <w:tc>
          <w:tcPr>
            <w:tcW w:w="7240" w:type="dxa"/>
            <w:vAlign w:val="bottom"/>
          </w:tcPr>
          <w:p>
            <w:pPr>
              <w:ind w:left="120"/>
              <w:spacing w:after="0"/>
              <w:rPr>
                <w:sz w:val="20"/>
                <w:szCs w:val="20"/>
                <w:color w:val="auto"/>
              </w:rPr>
            </w:pPr>
            <w:r>
              <w:rPr>
                <w:rFonts w:ascii="Arial" w:cs="Arial" w:eastAsia="Arial" w:hAnsi="Arial"/>
                <w:sz w:val="20"/>
                <w:szCs w:val="20"/>
                <w:color w:val="auto"/>
                <w:w w:val="90"/>
              </w:rPr>
              <w:t xml:space="preserve">Foreign net operating loss carryforwards </w:t>
            </w:r>
            <w:r>
              <w:rPr>
                <w:rFonts w:ascii="Arial" w:cs="Arial" w:eastAsia="Arial" w:hAnsi="Arial"/>
                <w:sz w:val="20"/>
                <w:szCs w:val="20"/>
                <w:color w:val="B4B4B4"/>
                <w:w w:val="90"/>
              </w:rPr>
              <w:t>.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97"/>
        </w:trPr>
        <w:tc>
          <w:tcPr>
            <w:tcW w:w="7240" w:type="dxa"/>
            <w:vAlign w:val="bottom"/>
          </w:tcPr>
          <w:p>
            <w:pPr>
              <w:ind w:left="120"/>
              <w:spacing w:after="0"/>
              <w:rPr>
                <w:sz w:val="20"/>
                <w:szCs w:val="20"/>
                <w:color w:val="auto"/>
              </w:rPr>
            </w:pPr>
            <w:r>
              <w:rPr>
                <w:rFonts w:ascii="Arial" w:cs="Arial" w:eastAsia="Arial" w:hAnsi="Arial"/>
                <w:sz w:val="20"/>
                <w:szCs w:val="20"/>
                <w:color w:val="auto"/>
                <w:w w:val="90"/>
              </w:rPr>
              <w:t xml:space="preserve">Deferred revenues </w:t>
            </w:r>
            <w:r>
              <w:rPr>
                <w:rFonts w:ascii="Arial" w:cs="Arial" w:eastAsia="Arial" w:hAnsi="Arial"/>
                <w:sz w:val="20"/>
                <w:szCs w:val="20"/>
                <w:color w:val="B4B4B4"/>
                <w:w w:val="90"/>
              </w:rPr>
              <w:t>. . . . . . . .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335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347</w:t>
            </w:r>
          </w:p>
        </w:tc>
      </w:tr>
      <w:tr>
        <w:trPr>
          <w:trHeight w:val="297"/>
        </w:trPr>
        <w:tc>
          <w:tcPr>
            <w:tcW w:w="7240" w:type="dxa"/>
            <w:vAlign w:val="bottom"/>
          </w:tcPr>
          <w:p>
            <w:pPr>
              <w:ind w:left="120"/>
              <w:spacing w:after="0"/>
              <w:rPr>
                <w:sz w:val="20"/>
                <w:szCs w:val="20"/>
                <w:color w:val="auto"/>
              </w:rPr>
            </w:pPr>
            <w:r>
              <w:rPr>
                <w:rFonts w:ascii="Arial" w:cs="Arial" w:eastAsia="Arial" w:hAnsi="Arial"/>
                <w:sz w:val="20"/>
                <w:szCs w:val="20"/>
                <w:color w:val="auto"/>
                <w:w w:val="91"/>
              </w:rPr>
              <w:t xml:space="preserve">Difference between book and tax basis of property </w:t>
            </w:r>
            <w:r>
              <w:rPr>
                <w:rFonts w:ascii="Arial" w:cs="Arial" w:eastAsia="Arial" w:hAnsi="Arial"/>
                <w:sz w:val="20"/>
                <w:szCs w:val="20"/>
                <w:color w:val="B4B4B4"/>
                <w:w w:val="91"/>
              </w:rPr>
              <w:t>.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322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353</w:t>
            </w:r>
          </w:p>
        </w:tc>
      </w:tr>
      <w:tr>
        <w:trPr>
          <w:trHeight w:val="297"/>
        </w:trPr>
        <w:tc>
          <w:tcPr>
            <w:tcW w:w="7240" w:type="dxa"/>
            <w:vAlign w:val="bottom"/>
          </w:tcPr>
          <w:p>
            <w:pPr>
              <w:ind w:left="120"/>
              <w:spacing w:after="0"/>
              <w:rPr>
                <w:sz w:val="20"/>
                <w:szCs w:val="20"/>
                <w:color w:val="auto"/>
              </w:rPr>
            </w:pPr>
            <w:r>
              <w:rPr>
                <w:rFonts w:ascii="Arial" w:cs="Arial" w:eastAsia="Arial" w:hAnsi="Arial"/>
                <w:sz w:val="20"/>
                <w:szCs w:val="20"/>
                <w:color w:val="auto"/>
                <w:w w:val="89"/>
              </w:rPr>
              <w:t xml:space="preserve">Federal and state tax credit carryforwards </w:t>
            </w:r>
            <w:r>
              <w:rPr>
                <w:rFonts w:ascii="Arial" w:cs="Arial" w:eastAsia="Arial" w:hAnsi="Arial"/>
                <w:sz w:val="20"/>
                <w:szCs w:val="20"/>
                <w:color w:val="B4B4B4"/>
                <w:w w:val="89"/>
              </w:rPr>
              <w:t>.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269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317</w:t>
            </w:r>
          </w:p>
        </w:tc>
      </w:tr>
      <w:tr>
        <w:trPr>
          <w:trHeight w:val="297"/>
        </w:trPr>
        <w:tc>
          <w:tcPr>
            <w:tcW w:w="7240" w:type="dxa"/>
            <w:vAlign w:val="bottom"/>
          </w:tcPr>
          <w:p>
            <w:pPr>
              <w:ind w:left="120"/>
              <w:spacing w:after="0"/>
              <w:rPr>
                <w:sz w:val="20"/>
                <w:szCs w:val="20"/>
                <w:color w:val="auto"/>
              </w:rPr>
            </w:pPr>
            <w:r>
              <w:rPr>
                <w:rFonts w:ascii="Arial" w:cs="Arial" w:eastAsia="Arial" w:hAnsi="Arial"/>
                <w:sz w:val="20"/>
                <w:szCs w:val="20"/>
                <w:color w:val="auto"/>
                <w:w w:val="88"/>
              </w:rPr>
              <w:t xml:space="preserve">Deferred compensation, accrued vacation and other reserves </w:t>
            </w:r>
            <w:r>
              <w:rPr>
                <w:rFonts w:ascii="Arial" w:cs="Arial" w:eastAsia="Arial" w:hAnsi="Arial"/>
                <w:sz w:val="20"/>
                <w:szCs w:val="20"/>
                <w:color w:val="B4B4B4"/>
                <w:w w:val="88"/>
              </w:rPr>
              <w:t>.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174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141</w:t>
            </w:r>
          </w:p>
        </w:tc>
      </w:tr>
      <w:tr>
        <w:trPr>
          <w:trHeight w:val="297"/>
        </w:trPr>
        <w:tc>
          <w:tcPr>
            <w:tcW w:w="7240" w:type="dxa"/>
            <w:vAlign w:val="bottom"/>
          </w:tcPr>
          <w:p>
            <w:pPr>
              <w:ind w:left="120"/>
              <w:spacing w:after="0"/>
              <w:rPr>
                <w:sz w:val="20"/>
                <w:szCs w:val="20"/>
                <w:color w:val="auto"/>
              </w:rPr>
            </w:pPr>
            <w:r>
              <w:rPr>
                <w:rFonts w:ascii="Arial" w:cs="Arial" w:eastAsia="Arial" w:hAnsi="Arial"/>
                <w:sz w:val="20"/>
                <w:szCs w:val="20"/>
                <w:color w:val="auto"/>
                <w:w w:val="92"/>
              </w:rPr>
              <w:t xml:space="preserve">Interest disallowance carryforward per §163(j) of the Tax Act </w:t>
            </w:r>
            <w:r>
              <w:rPr>
                <w:rFonts w:ascii="Arial" w:cs="Arial" w:eastAsia="Arial" w:hAnsi="Arial"/>
                <w:sz w:val="20"/>
                <w:szCs w:val="20"/>
                <w:color w:val="B4B4B4"/>
                <w:w w:val="92"/>
              </w:rPr>
              <w:t>.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132</w:t>
            </w:r>
          </w:p>
        </w:tc>
      </w:tr>
      <w:tr>
        <w:trPr>
          <w:trHeight w:val="297"/>
        </w:trPr>
        <w:tc>
          <w:tcPr>
            <w:tcW w:w="7240" w:type="dxa"/>
            <w:vAlign w:val="bottom"/>
          </w:tcPr>
          <w:p>
            <w:pPr>
              <w:ind w:left="120"/>
              <w:spacing w:after="0"/>
              <w:rPr>
                <w:sz w:val="20"/>
                <w:szCs w:val="20"/>
                <w:color w:val="auto"/>
              </w:rPr>
            </w:pPr>
            <w:r>
              <w:rPr>
                <w:rFonts w:ascii="Arial" w:cs="Arial" w:eastAsia="Arial" w:hAnsi="Arial"/>
                <w:sz w:val="20"/>
                <w:szCs w:val="20"/>
                <w:color w:val="auto"/>
                <w:w w:val="89"/>
              </w:rPr>
              <w:t xml:space="preserve">Pension and other postretirement benefits </w:t>
            </w:r>
            <w:r>
              <w:rPr>
                <w:rFonts w:ascii="Arial" w:cs="Arial" w:eastAsia="Arial" w:hAnsi="Arial"/>
                <w:sz w:val="20"/>
                <w:szCs w:val="20"/>
                <w:color w:val="B4B4B4"/>
                <w:w w:val="89"/>
              </w:rPr>
              <w:t>.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97"/>
        </w:trPr>
        <w:tc>
          <w:tcPr>
            <w:tcW w:w="7240" w:type="dxa"/>
            <w:vAlign w:val="bottom"/>
          </w:tcPr>
          <w:p>
            <w:pPr>
              <w:ind w:left="120"/>
              <w:spacing w:after="0"/>
              <w:rPr>
                <w:sz w:val="20"/>
                <w:szCs w:val="20"/>
                <w:color w:val="auto"/>
              </w:rPr>
            </w:pPr>
            <w:r>
              <w:rPr>
                <w:rFonts w:ascii="Arial" w:cs="Arial" w:eastAsia="Arial" w:hAnsi="Arial"/>
                <w:sz w:val="20"/>
                <w:szCs w:val="20"/>
                <w:color w:val="auto"/>
                <w:w w:val="90"/>
              </w:rPr>
              <w:t xml:space="preserve">Allowance for credit losses </w:t>
            </w:r>
            <w:r>
              <w:rPr>
                <w:rFonts w:ascii="Arial" w:cs="Arial" w:eastAsia="Arial" w:hAnsi="Arial"/>
                <w:sz w:val="20"/>
                <w:szCs w:val="20"/>
                <w:color w:val="B4B4B4"/>
                <w:w w:val="90"/>
              </w:rPr>
              <w:t>.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97"/>
        </w:trPr>
        <w:tc>
          <w:tcPr>
            <w:tcW w:w="7240" w:type="dxa"/>
            <w:vAlign w:val="bottom"/>
          </w:tcPr>
          <w:p>
            <w:pPr>
              <w:ind w:left="120"/>
              <w:spacing w:after="0"/>
              <w:rPr>
                <w:sz w:val="20"/>
                <w:szCs w:val="20"/>
                <w:color w:val="auto"/>
              </w:rPr>
            </w:pPr>
            <w:r>
              <w:rPr>
                <w:rFonts w:ascii="Arial" w:cs="Arial" w:eastAsia="Arial" w:hAnsi="Arial"/>
                <w:sz w:val="20"/>
                <w:szCs w:val="20"/>
                <w:color w:val="auto"/>
                <w:w w:val="90"/>
              </w:rPr>
              <w:t xml:space="preserve">Equity compensation </w:t>
            </w:r>
            <w:r>
              <w:rPr>
                <w:rFonts w:ascii="Arial" w:cs="Arial" w:eastAsia="Arial" w:hAnsi="Arial"/>
                <w:sz w:val="20"/>
                <w:szCs w:val="20"/>
                <w:color w:val="B4B4B4"/>
                <w:w w:val="90"/>
              </w:rPr>
              <w:t>. . . . . .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97"/>
        </w:trPr>
        <w:tc>
          <w:tcPr>
            <w:tcW w:w="7240" w:type="dxa"/>
            <w:vAlign w:val="bottom"/>
          </w:tcPr>
          <w:p>
            <w:pPr>
              <w:ind w:left="120"/>
              <w:spacing w:after="0"/>
              <w:rPr>
                <w:sz w:val="20"/>
                <w:szCs w:val="20"/>
                <w:color w:val="auto"/>
              </w:rPr>
            </w:pPr>
            <w:r>
              <w:rPr>
                <w:rFonts w:ascii="Arial" w:cs="Arial" w:eastAsia="Arial" w:hAnsi="Arial"/>
                <w:sz w:val="20"/>
                <w:szCs w:val="20"/>
                <w:color w:val="auto"/>
                <w:w w:val="90"/>
              </w:rPr>
              <w:t xml:space="preserve">Federal benefit on state uncertain tax positions  </w:t>
            </w:r>
            <w:r>
              <w:rPr>
                <w:rFonts w:ascii="Arial" w:cs="Arial" w:eastAsia="Arial" w:hAnsi="Arial"/>
                <w:sz w:val="20"/>
                <w:szCs w:val="20"/>
                <w:color w:val="B4B4B4"/>
                <w:w w:val="90"/>
              </w:rPr>
              <w:t>.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97"/>
        </w:trPr>
        <w:tc>
          <w:tcPr>
            <w:tcW w:w="7240" w:type="dxa"/>
            <w:vAlign w:val="bottom"/>
          </w:tcPr>
          <w:p>
            <w:pPr>
              <w:ind w:left="120"/>
              <w:spacing w:after="0"/>
              <w:rPr>
                <w:sz w:val="20"/>
                <w:szCs w:val="20"/>
                <w:color w:val="auto"/>
              </w:rPr>
            </w:pPr>
            <w:r>
              <w:rPr>
                <w:rFonts w:ascii="Arial" w:cs="Arial" w:eastAsia="Arial" w:hAnsi="Arial"/>
                <w:sz w:val="20"/>
                <w:szCs w:val="20"/>
                <w:color w:val="auto"/>
                <w:w w:val="90"/>
              </w:rPr>
              <w:t xml:space="preserve">Inventory obsolescence </w:t>
            </w:r>
            <w:r>
              <w:rPr>
                <w:rFonts w:ascii="Arial" w:cs="Arial" w:eastAsia="Arial" w:hAnsi="Arial"/>
                <w:sz w:val="20"/>
                <w:szCs w:val="20"/>
                <w:color w:val="B4B4B4"/>
                <w:w w:val="90"/>
              </w:rPr>
              <w:t>. . . .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97"/>
        </w:trPr>
        <w:tc>
          <w:tcPr>
            <w:tcW w:w="7240" w:type="dxa"/>
            <w:vAlign w:val="bottom"/>
          </w:tcPr>
          <w:p>
            <w:pPr>
              <w:ind w:left="120"/>
              <w:spacing w:after="0"/>
              <w:rPr>
                <w:sz w:val="20"/>
                <w:szCs w:val="20"/>
                <w:color w:val="auto"/>
              </w:rPr>
            </w:pPr>
            <w:r>
              <w:rPr>
                <w:rFonts w:ascii="Arial" w:cs="Arial" w:eastAsia="Arial" w:hAnsi="Arial"/>
                <w:sz w:val="20"/>
                <w:szCs w:val="20"/>
                <w:color w:val="auto"/>
                <w:w w:val="90"/>
              </w:rPr>
              <w:t xml:space="preserve">U.S. capital loss </w:t>
            </w:r>
            <w:r>
              <w:rPr>
                <w:rFonts w:ascii="Arial" w:cs="Arial" w:eastAsia="Arial" w:hAnsi="Arial"/>
                <w:sz w:val="20"/>
                <w:szCs w:val="20"/>
                <w:color w:val="B4B4B4"/>
                <w:w w:val="90"/>
              </w:rPr>
              <w:t>. . . . . . . . . .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99"/>
        </w:trPr>
        <w:tc>
          <w:tcPr>
            <w:tcW w:w="7240" w:type="dxa"/>
            <w:vAlign w:val="bottom"/>
          </w:tcPr>
          <w:p>
            <w:pPr>
              <w:ind w:left="120"/>
              <w:spacing w:after="0"/>
              <w:rPr>
                <w:sz w:val="20"/>
                <w:szCs w:val="20"/>
                <w:color w:val="auto"/>
              </w:rPr>
            </w:pPr>
            <w:r>
              <w:rPr>
                <w:rFonts w:ascii="Arial" w:cs="Arial" w:eastAsia="Arial" w:hAnsi="Arial"/>
                <w:sz w:val="20"/>
                <w:szCs w:val="20"/>
                <w:color w:val="auto"/>
                <w:w w:val="90"/>
              </w:rPr>
              <w:t xml:space="preserve">Other </w:t>
            </w:r>
            <w:r>
              <w:rPr>
                <w:rFonts w:ascii="Arial" w:cs="Arial" w:eastAsia="Arial" w:hAnsi="Arial"/>
                <w:sz w:val="20"/>
                <w:szCs w:val="20"/>
                <w:color w:val="B4B4B4"/>
                <w:w w:val="90"/>
              </w:rPr>
              <w:t>. . . . . . . . . . . . . . . . . . . . . . . . . . . . . . . . . . . . . . . . . . . . . . . . . . . . . . . . . . . . . . . . . .</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w:t>
            </w:r>
          </w:p>
        </w:tc>
      </w:tr>
      <w:tr>
        <w:trPr>
          <w:trHeight w:val="275"/>
        </w:trPr>
        <w:tc>
          <w:tcPr>
            <w:tcW w:w="7240" w:type="dxa"/>
            <w:vAlign w:val="bottom"/>
          </w:tcPr>
          <w:p>
            <w:pPr>
              <w:ind w:left="120"/>
              <w:spacing w:after="0"/>
              <w:rPr>
                <w:sz w:val="20"/>
                <w:szCs w:val="20"/>
                <w:color w:val="auto"/>
              </w:rPr>
            </w:pPr>
            <w:r>
              <w:rPr>
                <w:rFonts w:ascii="Arial" w:cs="Arial" w:eastAsia="Arial" w:hAnsi="Arial"/>
                <w:sz w:val="20"/>
                <w:szCs w:val="20"/>
                <w:b w:val="1"/>
                <w:bCs w:val="1"/>
                <w:color w:val="auto"/>
                <w:w w:val="89"/>
              </w:rPr>
              <w:t xml:space="preserve">Total deferred tax assets </w:t>
            </w:r>
            <w:r>
              <w:rPr>
                <w:rFonts w:ascii="Arial" w:cs="Arial" w:eastAsia="Arial" w:hAnsi="Arial"/>
                <w:sz w:val="20"/>
                <w:szCs w:val="20"/>
                <w:b w:val="1"/>
                <w:bCs w:val="1"/>
                <w:color w:val="B4B4B4"/>
                <w:w w:val="89"/>
              </w:rPr>
              <w:t>. . . . . . . . . . . . . . . . . . . . . . . . . . . . . . . . . . . . . . . . . . . . . . . . . .</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3,287</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3,694</w:t>
            </w:r>
          </w:p>
        </w:tc>
      </w:tr>
      <w:tr>
        <w:trPr>
          <w:trHeight w:val="297"/>
        </w:trPr>
        <w:tc>
          <w:tcPr>
            <w:tcW w:w="724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7"/>
        </w:trPr>
        <w:tc>
          <w:tcPr>
            <w:tcW w:w="7240" w:type="dxa"/>
            <w:vAlign w:val="bottom"/>
          </w:tcPr>
          <w:p>
            <w:pPr>
              <w:ind w:left="120"/>
              <w:spacing w:after="0"/>
              <w:rPr>
                <w:sz w:val="20"/>
                <w:szCs w:val="20"/>
                <w:color w:val="auto"/>
              </w:rPr>
            </w:pPr>
            <w:r>
              <w:rPr>
                <w:rFonts w:ascii="Arial" w:cs="Arial" w:eastAsia="Arial" w:hAnsi="Arial"/>
                <w:sz w:val="20"/>
                <w:szCs w:val="20"/>
                <w:color w:val="auto"/>
                <w:w w:val="92"/>
              </w:rPr>
              <w:t xml:space="preserve">Intangibles amortization (excluding goodwill) </w:t>
            </w:r>
            <w:r>
              <w:rPr>
                <w:rFonts w:ascii="Arial" w:cs="Arial" w:eastAsia="Arial" w:hAnsi="Arial"/>
                <w:sz w:val="20"/>
                <w:szCs w:val="20"/>
                <w:color w:val="B4B4B4"/>
                <w:w w:val="92"/>
              </w:rPr>
              <w:t>.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486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726</w:t>
            </w:r>
          </w:p>
        </w:tc>
      </w:tr>
      <w:tr>
        <w:trPr>
          <w:trHeight w:val="297"/>
        </w:trPr>
        <w:tc>
          <w:tcPr>
            <w:tcW w:w="7240" w:type="dxa"/>
            <w:vAlign w:val="bottom"/>
          </w:tcPr>
          <w:p>
            <w:pPr>
              <w:ind w:left="120"/>
              <w:spacing w:after="0"/>
              <w:rPr>
                <w:sz w:val="20"/>
                <w:szCs w:val="20"/>
                <w:color w:val="auto"/>
              </w:rPr>
            </w:pPr>
            <w:r>
              <w:rPr>
                <w:rFonts w:ascii="Arial" w:cs="Arial" w:eastAsia="Arial" w:hAnsi="Arial"/>
                <w:sz w:val="20"/>
                <w:szCs w:val="20"/>
                <w:color w:val="auto"/>
                <w:w w:val="90"/>
              </w:rPr>
              <w:t xml:space="preserve">Derivatives </w:t>
            </w:r>
            <w:r>
              <w:rPr>
                <w:rFonts w:ascii="Arial" w:cs="Arial" w:eastAsia="Arial" w:hAnsi="Arial"/>
                <w:sz w:val="20"/>
                <w:szCs w:val="20"/>
                <w:color w:val="B4B4B4"/>
                <w:w w:val="90"/>
              </w:rPr>
              <w:t>. . . . . . . . . . . . . .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193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156</w:t>
            </w:r>
          </w:p>
        </w:tc>
      </w:tr>
      <w:tr>
        <w:trPr>
          <w:trHeight w:val="312"/>
        </w:trPr>
        <w:tc>
          <w:tcPr>
            <w:tcW w:w="7240" w:type="dxa"/>
            <w:vAlign w:val="bottom"/>
          </w:tcPr>
          <w:p>
            <w:pPr>
              <w:ind w:left="120"/>
              <w:spacing w:after="0"/>
              <w:rPr>
                <w:sz w:val="20"/>
                <w:szCs w:val="20"/>
                <w:color w:val="auto"/>
              </w:rPr>
            </w:pPr>
            <w:r>
              <w:rPr>
                <w:rFonts w:ascii="Arial" w:cs="Arial" w:eastAsia="Arial" w:hAnsi="Arial"/>
                <w:sz w:val="20"/>
                <w:szCs w:val="20"/>
                <w:color w:val="auto"/>
                <w:w w:val="90"/>
              </w:rPr>
              <w:t xml:space="preserve">Capitalized contract costs </w:t>
            </w:r>
            <w:r>
              <w:rPr>
                <w:rFonts w:ascii="Arial" w:cs="Arial" w:eastAsia="Arial" w:hAnsi="Arial"/>
                <w:sz w:val="20"/>
                <w:szCs w:val="20"/>
                <w:color w:val="B4B4B4"/>
                <w:w w:val="90"/>
              </w:rPr>
              <w:t>. .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249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297"/>
        </w:trPr>
        <w:tc>
          <w:tcPr>
            <w:tcW w:w="7240" w:type="dxa"/>
            <w:vAlign w:val="bottom"/>
          </w:tcPr>
          <w:p>
            <w:pPr>
              <w:ind w:left="120"/>
              <w:spacing w:after="0"/>
              <w:rPr>
                <w:sz w:val="20"/>
                <w:szCs w:val="20"/>
                <w:color w:val="auto"/>
              </w:rPr>
            </w:pPr>
            <w:r>
              <w:rPr>
                <w:rFonts w:ascii="Arial" w:cs="Arial" w:eastAsia="Arial" w:hAnsi="Arial"/>
                <w:sz w:val="20"/>
                <w:szCs w:val="20"/>
                <w:color w:val="auto"/>
                <w:w w:val="90"/>
              </w:rPr>
              <w:t xml:space="preserve">Equity method investments </w:t>
            </w:r>
            <w:r>
              <w:rPr>
                <w:rFonts w:ascii="Arial" w:cs="Arial" w:eastAsia="Arial" w:hAnsi="Arial"/>
                <w:sz w:val="20"/>
                <w:szCs w:val="20"/>
                <w:color w:val="B4B4B4"/>
                <w:w w:val="90"/>
              </w:rPr>
              <w:t>.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93</w:t>
            </w:r>
          </w:p>
        </w:tc>
      </w:tr>
      <w:tr>
        <w:trPr>
          <w:trHeight w:val="297"/>
        </w:trPr>
        <w:tc>
          <w:tcPr>
            <w:tcW w:w="7240" w:type="dxa"/>
            <w:vAlign w:val="bottom"/>
          </w:tcPr>
          <w:p>
            <w:pPr>
              <w:ind w:left="120"/>
              <w:spacing w:after="0"/>
              <w:rPr>
                <w:sz w:val="20"/>
                <w:szCs w:val="20"/>
                <w:color w:val="auto"/>
              </w:rPr>
            </w:pPr>
            <w:r>
              <w:rPr>
                <w:rFonts w:ascii="Arial" w:cs="Arial" w:eastAsia="Arial" w:hAnsi="Arial"/>
                <w:sz w:val="20"/>
                <w:szCs w:val="20"/>
                <w:color w:val="auto"/>
                <w:w w:val="91"/>
              </w:rPr>
              <w:t xml:space="preserve">Goodwill </w:t>
            </w:r>
            <w:r>
              <w:rPr>
                <w:rFonts w:ascii="Arial" w:cs="Arial" w:eastAsia="Arial" w:hAnsi="Arial"/>
                <w:sz w:val="20"/>
                <w:szCs w:val="20"/>
                <w:color w:val="B4B4B4"/>
                <w:w w:val="91"/>
              </w:rPr>
              <w:t>. . . . . . . . . . . . . . .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97"/>
        </w:trPr>
        <w:tc>
          <w:tcPr>
            <w:tcW w:w="7240" w:type="dxa"/>
            <w:vAlign w:val="bottom"/>
          </w:tcPr>
          <w:p>
            <w:pPr>
              <w:ind w:left="120"/>
              <w:spacing w:after="0"/>
              <w:rPr>
                <w:sz w:val="20"/>
                <w:szCs w:val="20"/>
                <w:color w:val="auto"/>
              </w:rPr>
            </w:pPr>
            <w:r>
              <w:rPr>
                <w:rFonts w:ascii="Arial" w:cs="Arial" w:eastAsia="Arial" w:hAnsi="Arial"/>
                <w:sz w:val="20"/>
                <w:szCs w:val="20"/>
                <w:color w:val="auto"/>
                <w:w w:val="90"/>
              </w:rPr>
              <w:t xml:space="preserve">Debt discount amortization </w:t>
            </w:r>
            <w:r>
              <w:rPr>
                <w:rFonts w:ascii="Arial" w:cs="Arial" w:eastAsia="Arial" w:hAnsi="Arial"/>
                <w:sz w:val="20"/>
                <w:szCs w:val="20"/>
                <w:color w:val="B4B4B4"/>
                <w:w w:val="90"/>
              </w:rPr>
              <w:t>. .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99"/>
        </w:trPr>
        <w:tc>
          <w:tcPr>
            <w:tcW w:w="7240" w:type="dxa"/>
            <w:vAlign w:val="bottom"/>
          </w:tcPr>
          <w:p>
            <w:pPr>
              <w:ind w:left="120"/>
              <w:spacing w:after="0"/>
              <w:rPr>
                <w:sz w:val="20"/>
                <w:szCs w:val="20"/>
                <w:color w:val="auto"/>
              </w:rPr>
            </w:pPr>
            <w:r>
              <w:rPr>
                <w:rFonts w:ascii="Arial" w:cs="Arial" w:eastAsia="Arial" w:hAnsi="Arial"/>
                <w:sz w:val="20"/>
                <w:szCs w:val="20"/>
                <w:color w:val="auto"/>
                <w:w w:val="90"/>
              </w:rPr>
              <w:t xml:space="preserve">Emissions allowances </w:t>
            </w:r>
            <w:r>
              <w:rPr>
                <w:rFonts w:ascii="Arial" w:cs="Arial" w:eastAsia="Arial" w:hAnsi="Arial"/>
                <w:sz w:val="20"/>
                <w:szCs w:val="20"/>
                <w:color w:val="B4B4B4"/>
                <w:w w:val="90"/>
              </w:rPr>
              <w:t>. . . . . . . . . . . . . . . . . . . . . . . . . . . . . . . . . . . . . . . . . . . . . . . . . . . . .</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w:t>
            </w:r>
          </w:p>
        </w:tc>
      </w:tr>
      <w:tr>
        <w:trPr>
          <w:trHeight w:val="277"/>
        </w:trPr>
        <w:tc>
          <w:tcPr>
            <w:tcW w:w="7240" w:type="dxa"/>
            <w:vAlign w:val="bottom"/>
          </w:tcPr>
          <w:p>
            <w:pPr>
              <w:ind w:left="120"/>
              <w:spacing w:after="0"/>
              <w:rPr>
                <w:sz w:val="20"/>
                <w:szCs w:val="20"/>
                <w:color w:val="auto"/>
              </w:rPr>
            </w:pPr>
            <w:r>
              <w:rPr>
                <w:rFonts w:ascii="Arial" w:cs="Arial" w:eastAsia="Arial" w:hAnsi="Arial"/>
                <w:sz w:val="20"/>
                <w:szCs w:val="20"/>
                <w:b w:val="1"/>
                <w:bCs w:val="1"/>
                <w:color w:val="auto"/>
                <w:w w:val="90"/>
              </w:rPr>
              <w:t xml:space="preserve">Total deferred tax liabilities </w:t>
            </w:r>
            <w:r>
              <w:rPr>
                <w:rFonts w:ascii="Arial" w:cs="Arial" w:eastAsia="Arial" w:hAnsi="Arial"/>
                <w:sz w:val="20"/>
                <w:szCs w:val="20"/>
                <w:b w:val="1"/>
                <w:bCs w:val="1"/>
                <w:color w:val="B4B4B4"/>
                <w:w w:val="90"/>
              </w:rPr>
              <w:t>. . . . . . . . . . . . . . . . . . . . . . . . . . . . . . . . . . . . . . . . . . . . . . .</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1,190</w:t>
            </w:r>
          </w:p>
        </w:tc>
      </w:tr>
      <w:tr>
        <w:trPr>
          <w:trHeight w:val="277"/>
        </w:trPr>
        <w:tc>
          <w:tcPr>
            <w:tcW w:w="7240" w:type="dxa"/>
            <w:vAlign w:val="bottom"/>
          </w:tcPr>
          <w:p>
            <w:pPr>
              <w:ind w:left="120"/>
              <w:spacing w:after="0"/>
              <w:rPr>
                <w:sz w:val="20"/>
                <w:szCs w:val="20"/>
                <w:color w:val="auto"/>
              </w:rPr>
            </w:pPr>
            <w:r>
              <w:rPr>
                <w:rFonts w:ascii="Arial" w:cs="Arial" w:eastAsia="Arial" w:hAnsi="Arial"/>
                <w:sz w:val="20"/>
                <w:szCs w:val="20"/>
                <w:b w:val="1"/>
                <w:bCs w:val="1"/>
                <w:color w:val="auto"/>
                <w:w w:val="89"/>
              </w:rPr>
              <w:t xml:space="preserve">Total deferred tax assets less deferred tax liabilities </w:t>
            </w:r>
            <w:r>
              <w:rPr>
                <w:rFonts w:ascii="Arial" w:cs="Arial" w:eastAsia="Arial" w:hAnsi="Arial"/>
                <w:sz w:val="20"/>
                <w:szCs w:val="20"/>
                <w:b w:val="1"/>
                <w:bCs w:val="1"/>
                <w:color w:val="B4B4B4"/>
                <w:w w:val="89"/>
              </w:rPr>
              <w:t>. . . . . . . . . . . . . . . . . . . . . . . . . . .</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2,199</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2,504</w:t>
            </w:r>
          </w:p>
        </w:tc>
      </w:tr>
      <w:tr>
        <w:trPr>
          <w:trHeight w:val="277"/>
        </w:trPr>
        <w:tc>
          <w:tcPr>
            <w:tcW w:w="7240" w:type="dxa"/>
            <w:vAlign w:val="bottom"/>
          </w:tcPr>
          <w:p>
            <w:pPr>
              <w:ind w:left="120"/>
              <w:spacing w:after="0"/>
              <w:rPr>
                <w:sz w:val="20"/>
                <w:szCs w:val="20"/>
                <w:color w:val="auto"/>
              </w:rPr>
            </w:pPr>
            <w:r>
              <w:rPr>
                <w:rFonts w:ascii="Arial" w:cs="Arial" w:eastAsia="Arial" w:hAnsi="Arial"/>
                <w:sz w:val="20"/>
                <w:szCs w:val="20"/>
                <w:color w:val="auto"/>
                <w:w w:val="91"/>
              </w:rPr>
              <w:t xml:space="preserve">Valuation allowance </w:t>
            </w:r>
            <w:r>
              <w:rPr>
                <w:rFonts w:ascii="Arial" w:cs="Arial" w:eastAsia="Arial" w:hAnsi="Arial"/>
                <w:sz w:val="20"/>
                <w:szCs w:val="20"/>
                <w:color w:val="B4B4B4"/>
                <w:w w:val="91"/>
              </w:rPr>
              <w:t>. . . . . . . . . . . . . . . . . . . . . . . . . . . . . . . . . . . . . . . . . . . . . . . . . . . . . .</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(144)</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(275)</w:t>
            </w:r>
          </w:p>
        </w:tc>
      </w:tr>
      <w:tr>
        <w:trPr>
          <w:trHeight w:val="257"/>
        </w:trPr>
        <w:tc>
          <w:tcPr>
            <w:tcW w:w="7240" w:type="dxa"/>
            <w:vAlign w:val="bottom"/>
          </w:tcPr>
          <w:p>
            <w:pPr>
              <w:ind w:left="120"/>
              <w:spacing w:after="0"/>
              <w:rPr>
                <w:sz w:val="20"/>
                <w:szCs w:val="20"/>
                <w:color w:val="auto"/>
              </w:rPr>
            </w:pPr>
            <w:r>
              <w:rPr>
                <w:rFonts w:ascii="Arial" w:cs="Arial" w:eastAsia="Arial" w:hAnsi="Arial"/>
                <w:sz w:val="20"/>
                <w:szCs w:val="20"/>
                <w:b w:val="1"/>
                <w:bCs w:val="1"/>
                <w:color w:val="auto"/>
                <w:w w:val="90"/>
              </w:rPr>
              <w:t xml:space="preserve">Total net deferred tax assets, net of valuation allowance </w:t>
            </w:r>
            <w:r>
              <w:rPr>
                <w:rFonts w:ascii="Arial" w:cs="Arial" w:eastAsia="Arial" w:hAnsi="Arial"/>
                <w:sz w:val="20"/>
                <w:szCs w:val="20"/>
                <w:b w:val="1"/>
                <w:bCs w:val="1"/>
                <w:color w:val="B4B4B4"/>
                <w:w w:val="90"/>
              </w:rPr>
              <w:t>. . . . . . . . . . . . . . . . . . . . . . .</w:t>
            </w:r>
          </w:p>
        </w:tc>
        <w:tc>
          <w:tcPr>
            <w:tcW w:w="3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2,055</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2,229</w:t>
            </w:r>
          </w:p>
        </w:tc>
      </w:tr>
      <w:tr>
        <w:trPr>
          <w:trHeight w:val="20"/>
        </w:trPr>
        <w:tc>
          <w:tcPr>
            <w:tcW w:w="7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-5509895</wp:posOffset>
            </wp:positionV>
            <wp:extent cx="6456680" cy="5516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63">
                      <a:extLst>
                        <a:ext uri="{28A0092B-C50C-407E-A947-70E740481C1C}"/>
                      </a:extLst>
                    </a:blip>
                    <a:srcRect/>
                    <a:stretch>
                      <a:fillRect/>
                    </a:stretch>
                  </pic:blipFill>
                  <pic:spPr bwMode="auto">
                    <a:xfrm>
                      <a:off x="0" y="0"/>
                      <a:ext cx="6456680" cy="5516880"/>
                    </a:xfrm>
                    <a:prstGeom prst="rect">
                      <a:avLst/>
                    </a:prstGeom>
                    <a:noFill/>
                  </pic:spPr>
                </pic:pic>
              </a:graphicData>
            </a:graphic>
          </wp:anchor>
        </w:drawing>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The following table summarizes NRG's net deferred tax position as presented in the consolidated balance sheets: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666"/>
              <w:spacing w:after="0"/>
              <w:rPr>
                <w:sz w:val="20"/>
                <w:szCs w:val="20"/>
                <w:color w:val="auto"/>
              </w:rPr>
            </w:pPr>
            <w:r>
              <w:rPr>
                <w:rFonts w:ascii="Arial" w:cs="Arial" w:eastAsia="Arial" w:hAnsi="Arial"/>
                <w:sz w:val="16"/>
                <w:szCs w:val="16"/>
                <w:b w:val="1"/>
                <w:bCs w:val="1"/>
                <w:color w:val="auto"/>
              </w:rPr>
              <w:t>As of December 31,</w:t>
            </w:r>
          </w:p>
        </w:tc>
      </w:tr>
      <w:tr>
        <w:trPr>
          <w:trHeight w:val="232"/>
        </w:trPr>
        <w:tc>
          <w:tcPr>
            <w:tcW w:w="7240" w:type="dxa"/>
            <w:vAlign w:val="bottom"/>
          </w:tcPr>
          <w:p>
            <w:pPr>
              <w:jc w:val="right"/>
              <w:ind w:right="6326"/>
              <w:spacing w:after="0"/>
              <w:rPr>
                <w:sz w:val="20"/>
                <w:szCs w:val="20"/>
                <w:color w:val="auto"/>
              </w:rPr>
            </w:pPr>
            <w:r>
              <w:rPr>
                <w:rFonts w:ascii="Arial" w:cs="Arial" w:eastAsia="Arial" w:hAnsi="Arial"/>
                <w:sz w:val="16"/>
                <w:szCs w:val="16"/>
                <w:b w:val="1"/>
                <w:bCs w:val="1"/>
                <w:color w:val="auto"/>
                <w:w w:val="89"/>
              </w:rPr>
              <w:t>(In millions)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49"/>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6"/>
              <w:spacing w:after="0"/>
              <w:rPr>
                <w:sz w:val="20"/>
                <w:szCs w:val="20"/>
                <w:color w:val="auto"/>
              </w:rPr>
            </w:pPr>
            <w:r>
              <w:rPr>
                <w:rFonts w:ascii="Arial" w:cs="Arial" w:eastAsia="Arial" w:hAnsi="Arial"/>
                <w:sz w:val="16"/>
                <w:szCs w:val="16"/>
                <w:b w:val="1"/>
                <w:bCs w:val="1"/>
                <w:color w:val="auto"/>
              </w:rPr>
              <w:t>2023</w:t>
            </w:r>
          </w:p>
        </w:tc>
      </w:tr>
      <w:tr>
        <w:trPr>
          <w:trHeight w:val="275"/>
        </w:trPr>
        <w:tc>
          <w:tcPr>
            <w:tcW w:w="7240" w:type="dxa"/>
            <w:vAlign w:val="bottom"/>
          </w:tcPr>
          <w:p>
            <w:pPr>
              <w:jc w:val="right"/>
              <w:spacing w:after="0"/>
              <w:rPr>
                <w:sz w:val="20"/>
                <w:szCs w:val="20"/>
                <w:color w:val="auto"/>
              </w:rPr>
            </w:pPr>
            <w:r>
              <w:rPr>
                <w:rFonts w:ascii="Arial" w:cs="Arial" w:eastAsia="Arial" w:hAnsi="Arial"/>
                <w:sz w:val="20"/>
                <w:szCs w:val="20"/>
                <w:color w:val="auto"/>
                <w:w w:val="89"/>
              </w:rPr>
              <w:t xml:space="preserve">Deferred tax asset  </w:t>
            </w:r>
            <w:r>
              <w:rPr>
                <w:rFonts w:ascii="Arial" w:cs="Arial" w:eastAsia="Arial" w:hAnsi="Arial"/>
                <w:sz w:val="20"/>
                <w:szCs w:val="20"/>
                <w:color w:val="B4B4B4"/>
                <w:w w:val="89"/>
              </w:rPr>
              <w:t>. . . . . . . . . . . . . . . . . . . . . . . . . . . . . . . . . . . . . . . . . . . . . . . . . . . . . . . . .</w:t>
            </w:r>
          </w:p>
        </w:tc>
        <w:tc>
          <w:tcPr>
            <w:tcW w:w="3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2,067</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2,251</w:t>
            </w:r>
          </w:p>
        </w:tc>
      </w:tr>
      <w:tr>
        <w:trPr>
          <w:trHeight w:val="299"/>
        </w:trPr>
        <w:tc>
          <w:tcPr>
            <w:tcW w:w="7240" w:type="dxa"/>
            <w:vAlign w:val="bottom"/>
          </w:tcPr>
          <w:p>
            <w:pPr>
              <w:jc w:val="right"/>
              <w:spacing w:after="0"/>
              <w:rPr>
                <w:sz w:val="20"/>
                <w:szCs w:val="20"/>
                <w:color w:val="auto"/>
              </w:rPr>
            </w:pPr>
            <w:r>
              <w:rPr>
                <w:rFonts w:ascii="Arial" w:cs="Arial" w:eastAsia="Arial" w:hAnsi="Arial"/>
                <w:sz w:val="20"/>
                <w:szCs w:val="20"/>
                <w:color w:val="auto"/>
                <w:w w:val="90"/>
              </w:rPr>
              <w:t xml:space="preserve">Deferred tax liability </w:t>
            </w:r>
            <w:r>
              <w:rPr>
                <w:rFonts w:ascii="Arial" w:cs="Arial" w:eastAsia="Arial" w:hAnsi="Arial"/>
                <w:sz w:val="20"/>
                <w:szCs w:val="20"/>
                <w:color w:val="B4B4B4"/>
                <w:w w:val="90"/>
              </w:rPr>
              <w:t>. . . . . . . . . . . . . . . . . . . . . . . . . . . . . . . . . . . . . . . . . . . . . . . . . . . . . . .</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w:t>
            </w:r>
          </w:p>
        </w:tc>
      </w:tr>
      <w:tr>
        <w:trPr>
          <w:trHeight w:val="257"/>
        </w:trPr>
        <w:tc>
          <w:tcPr>
            <w:tcW w:w="7240" w:type="dxa"/>
            <w:vAlign w:val="bottom"/>
          </w:tcPr>
          <w:p>
            <w:pPr>
              <w:jc w:val="right"/>
              <w:spacing w:after="0"/>
              <w:rPr>
                <w:sz w:val="20"/>
                <w:szCs w:val="20"/>
                <w:color w:val="auto"/>
              </w:rPr>
            </w:pPr>
            <w:r>
              <w:rPr>
                <w:rFonts w:ascii="Arial" w:cs="Arial" w:eastAsia="Arial" w:hAnsi="Arial"/>
                <w:sz w:val="20"/>
                <w:szCs w:val="20"/>
                <w:b w:val="1"/>
                <w:bCs w:val="1"/>
                <w:color w:val="auto"/>
                <w:w w:val="92"/>
              </w:rPr>
              <w:t xml:space="preserve">Net deferred tax asset </w:t>
            </w:r>
            <w:r>
              <w:rPr>
                <w:rFonts w:ascii="Arial" w:cs="Arial" w:eastAsia="Arial" w:hAnsi="Arial"/>
                <w:sz w:val="20"/>
                <w:szCs w:val="20"/>
                <w:b w:val="1"/>
                <w:bCs w:val="1"/>
                <w:color w:val="B4B4B4"/>
                <w:w w:val="92"/>
              </w:rPr>
              <w:t>. . . . . . . . . . . . . . . . . . . . . . . . . . . . . . . . . . . . . . . . . . . . . . . . . . .</w:t>
            </w:r>
          </w:p>
        </w:tc>
        <w:tc>
          <w:tcPr>
            <w:tcW w:w="3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2,055</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2,229</w:t>
            </w:r>
          </w:p>
        </w:tc>
      </w:tr>
      <w:tr>
        <w:trPr>
          <w:trHeight w:val="20"/>
        </w:trPr>
        <w:tc>
          <w:tcPr>
            <w:tcW w:w="7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-596900</wp:posOffset>
            </wp:positionV>
            <wp:extent cx="6456680" cy="6038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64">
                      <a:extLst>
                        <a:ext uri="{28A0092B-C50C-407E-A947-70E740481C1C}"/>
                      </a:extLst>
                    </a:blip>
                    <a:srcRect/>
                    <a:stretch>
                      <a:fillRect/>
                    </a:stretch>
                  </pic:blipFill>
                  <pic:spPr bwMode="auto">
                    <a:xfrm>
                      <a:off x="0" y="0"/>
                      <a:ext cx="6456680" cy="603885"/>
                    </a:xfrm>
                    <a:prstGeom prst="rect">
                      <a:avLst/>
                    </a:prstGeom>
                    <a:noFill/>
                  </pic:spPr>
                </pic:pic>
              </a:graphicData>
            </a:graphic>
          </wp:anchor>
        </w:drawing>
      </w:r>
    </w:p>
    <w:p>
      <w:pPr>
        <w:spacing w:after="0" w:line="107"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primary drivers for the decrease in the net deferred tax asset from $2.2 billion as of December 31, 2023 to $2.1 billion as of December 31, 2024 is due to utilization of net operating losses, partially offset by the decrease of certain state valuation allowances.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Deferred tax assets and valuation allowance</w:t>
      </w:r>
    </w:p>
    <w:p>
      <w:pPr>
        <w:spacing w:after="0" w:line="13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20"/>
          <w:szCs w:val="20"/>
          <w:b w:val="1"/>
          <w:bCs w:val="1"/>
          <w:i w:val="1"/>
          <w:iCs w:val="1"/>
          <w:color w:val="auto"/>
        </w:rPr>
        <w:t xml:space="preserve">Net deferred tax balance </w:t>
      </w:r>
      <w:r>
        <w:rPr>
          <w:rFonts w:ascii="Arial" w:cs="Arial" w:eastAsia="Arial" w:hAnsi="Arial"/>
          <w:sz w:val="20"/>
          <w:szCs w:val="20"/>
          <w:color w:val="auto"/>
        </w:rPr>
        <w:t>— As of December 31, 2024 and 2023, NRG recorded a net deferred tax asset, excluding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valuation allowance, of $2.2 billion and $2.5 billion, respectively. The Company believes certain state net operating losses may not be realizable under the more-likely-than-not measurement and as such, a valuation allowance was recorded as of December 31, 2024 as discussed below.</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152</w:t>
      </w:r>
    </w:p>
    <w:p>
      <w:pPr>
        <w:sectPr>
          <w:pgSz w:w="11880" w:h="15480" w:orient="portrait"/>
          <w:cols w:equalWidth="0" w:num="1">
            <w:col w:w="10160"/>
          </w:cols>
          <w:pgMar w:left="860" w:top="512" w:right="860" w:bottom="0" w:gutter="0" w:footer="0" w:header="0"/>
          <w:type w:val="continuous"/>
        </w:sectPr>
      </w:pPr>
    </w:p>
    <w:bookmarkStart w:id="154" w:name="page155"/>
    <w:bookmarkEnd w:id="154"/>
    <w:p>
      <w:pPr>
        <w:jc w:val="both"/>
        <w:ind w:firstLine="445"/>
        <w:spacing w:after="0" w:line="259" w:lineRule="auto"/>
        <w:rPr>
          <w:sz w:val="20"/>
          <w:szCs w:val="20"/>
          <w:color w:val="auto"/>
        </w:rPr>
      </w:pPr>
      <w:r>
        <w:rPr>
          <w:rFonts w:ascii="Arial" w:cs="Arial" w:eastAsia="Arial" w:hAnsi="Arial"/>
          <w:sz w:val="20"/>
          <w:szCs w:val="20"/>
          <w:b w:val="1"/>
          <w:bCs w:val="1"/>
          <w:i w:val="1"/>
          <w:iCs w:val="1"/>
          <w:color w:val="auto"/>
        </w:rPr>
        <w:t xml:space="preserve">NOL carryforwards </w:t>
      </w:r>
      <w:r>
        <w:rPr>
          <w:rFonts w:ascii="Arial" w:cs="Arial" w:eastAsia="Arial" w:hAnsi="Arial"/>
          <w:sz w:val="20"/>
          <w:szCs w:val="20"/>
          <w:color w:val="auto"/>
        </w:rPr>
        <w:t>— As of December 31, 2024, the Company had tax-effected cumulative U.S. NOLs consisting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carryforwards for federal and state income tax purposes of $1.5 billion and $341 million, respectively. In addition, NRG has tax-effected cumulative foreign NOL carryforwards of $106 million. The majority of NRG's NOL carryforwards have no expiration date.</w:t>
      </w:r>
    </w:p>
    <w:p>
      <w:pPr>
        <w:spacing w:after="0" w:line="7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20"/>
          <w:szCs w:val="20"/>
          <w:b w:val="1"/>
          <w:bCs w:val="1"/>
          <w:i w:val="1"/>
          <w:iCs w:val="1"/>
          <w:color w:val="auto"/>
        </w:rPr>
        <w:t xml:space="preserve">Valuation allowance </w:t>
      </w:r>
      <w:r>
        <w:rPr>
          <w:rFonts w:ascii="Arial" w:cs="Arial" w:eastAsia="Arial" w:hAnsi="Arial"/>
          <w:sz w:val="20"/>
          <w:szCs w:val="20"/>
          <w:color w:val="auto"/>
        </w:rPr>
        <w:t>— As of December 31, 2024, the Company's tax-effected valuation allowance was $144 million,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consisting of state NOL carryforwards and foreign NOL carryforwards. The valuation allowance was recorded based on the assessment of cumulative and forecasted pre-tax book earnings and the future reversal of existing taxable temporary differences.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Taxes Receivable and Payable</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As of December 31, 2024, NRG recorded a current federal payable of $1 million, a current net state receivable of $1 million and a current net foreign receivable of $8 million.</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Uncertain tax benefits</w:t>
      </w:r>
    </w:p>
    <w:p>
      <w:pPr>
        <w:spacing w:after="0" w:line="13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0"/>
          <w:szCs w:val="20"/>
          <w:color w:val="auto"/>
        </w:rPr>
        <w:t>NRG has identified uncertain tax benefits with after-tax value of $57 million and $73 million as of December 31, 2024 and 2023, for which NRG has recorded a non-current tax liability of $62 million and $76 million, respectively. The Company recognizes interest and penalties related to uncertain tax benefits in income tax expense. The Company recognized $2 million of interest expense for the year ended December 31, 2024, and $1 million for the years ended December 31, 2023 and 2022. As of December 31, 2024 and 2023, NRG had cumulative interest and penalties related to these uncertain tax benefits of $5 million and $3 million, respectively.</w:t>
      </w:r>
    </w:p>
    <w:p>
      <w:pPr>
        <w:spacing w:after="0" w:line="86" w:lineRule="exact"/>
        <w:rPr>
          <w:sz w:val="20"/>
          <w:szCs w:val="20"/>
          <w:color w:val="auto"/>
        </w:rPr>
      </w:pPr>
    </w:p>
    <w:p>
      <w:pPr>
        <w:jc w:val="both"/>
        <w:ind w:firstLine="445"/>
        <w:spacing w:after="0" w:line="309" w:lineRule="auto"/>
        <w:rPr>
          <w:sz w:val="20"/>
          <w:szCs w:val="20"/>
          <w:color w:val="auto"/>
        </w:rPr>
      </w:pPr>
      <w:r>
        <w:rPr>
          <w:rFonts w:ascii="Arial" w:cs="Arial" w:eastAsia="Arial" w:hAnsi="Arial"/>
          <w:sz w:val="19"/>
          <w:szCs w:val="19"/>
          <w:b w:val="1"/>
          <w:bCs w:val="1"/>
          <w:i w:val="1"/>
          <w:iCs w:val="1"/>
          <w:color w:val="auto"/>
        </w:rPr>
        <w:t xml:space="preserve">Tax jurisdictions </w:t>
      </w:r>
      <w:r>
        <w:rPr>
          <w:rFonts w:ascii="Arial" w:cs="Arial" w:eastAsia="Arial" w:hAnsi="Arial"/>
          <w:sz w:val="19"/>
          <w:szCs w:val="19"/>
          <w:color w:val="auto"/>
        </w:rPr>
        <w:t>— NRG is subject to examination by taxing authorities for income tax returns filed in the U.S. federal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jurisdiction and various state and foreign jurisdictions including operations located in Australia and Canada.</w:t>
      </w:r>
    </w:p>
    <w:p>
      <w:pPr>
        <w:spacing w:after="0" w:line="3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The Company is no longer subject to U.S. federal income tax examinations for years prior to 2021. With few exceptions, state and Canadian income tax examinations are no longer open for years before 2015.</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summarizes uncertain tax benefits activity:</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6"/>
                <w:szCs w:val="16"/>
                <w:b w:val="1"/>
                <w:bCs w:val="1"/>
                <w:color w:val="auto"/>
              </w:rPr>
              <w:t>As of December 31,</w:t>
            </w:r>
          </w:p>
        </w:tc>
      </w:tr>
      <w:tr>
        <w:trPr>
          <w:trHeight w:val="218"/>
        </w:trPr>
        <w:tc>
          <w:tcPr>
            <w:tcW w:w="7240" w:type="dxa"/>
            <w:vAlign w:val="bottom"/>
          </w:tcPr>
          <w:p>
            <w:pPr>
              <w:jc w:val="right"/>
              <w:ind w:right="6324"/>
              <w:spacing w:after="0"/>
              <w:rPr>
                <w:sz w:val="20"/>
                <w:szCs w:val="20"/>
                <w:color w:val="auto"/>
              </w:rPr>
            </w:pPr>
            <w:r>
              <w:rPr>
                <w:rFonts w:ascii="Arial" w:cs="Arial" w:eastAsia="Arial" w:hAnsi="Arial"/>
                <w:sz w:val="16"/>
                <w:szCs w:val="16"/>
                <w:b w:val="1"/>
                <w:bCs w:val="1"/>
                <w:color w:val="auto"/>
                <w:w w:val="89"/>
              </w:rPr>
              <w:t>(In millions)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7"/>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4"/>
              <w:spacing w:after="0"/>
              <w:rPr>
                <w:sz w:val="20"/>
                <w:szCs w:val="20"/>
                <w:color w:val="auto"/>
              </w:rPr>
            </w:pPr>
            <w:r>
              <w:rPr>
                <w:rFonts w:ascii="Arial" w:cs="Arial" w:eastAsia="Arial" w:hAnsi="Arial"/>
                <w:sz w:val="16"/>
                <w:szCs w:val="16"/>
                <w:b w:val="1"/>
                <w:bCs w:val="1"/>
                <w:color w:val="auto"/>
              </w:rPr>
              <w:t>2023</w:t>
            </w:r>
          </w:p>
        </w:tc>
      </w:tr>
      <w:tr>
        <w:trPr>
          <w:trHeight w:val="275"/>
        </w:trPr>
        <w:tc>
          <w:tcPr>
            <w:tcW w:w="7240" w:type="dxa"/>
            <w:vAlign w:val="bottom"/>
          </w:tcPr>
          <w:p>
            <w:pPr>
              <w:jc w:val="right"/>
              <w:spacing w:after="0"/>
              <w:rPr>
                <w:sz w:val="20"/>
                <w:szCs w:val="20"/>
                <w:color w:val="auto"/>
              </w:rPr>
            </w:pPr>
            <w:r>
              <w:rPr>
                <w:rFonts w:ascii="Arial" w:cs="Arial" w:eastAsia="Arial" w:hAnsi="Arial"/>
                <w:sz w:val="20"/>
                <w:szCs w:val="20"/>
                <w:color w:val="auto"/>
                <w:w w:val="89"/>
              </w:rPr>
              <w:t xml:space="preserve">Balance as of January 1 </w:t>
            </w:r>
            <w:r>
              <w:rPr>
                <w:rFonts w:ascii="Arial" w:cs="Arial" w:eastAsia="Arial" w:hAnsi="Arial"/>
                <w:sz w:val="20"/>
                <w:szCs w:val="20"/>
                <w:color w:val="B4B4B4"/>
                <w:w w:val="89"/>
              </w:rPr>
              <w:t>. . . . . . . . . . . . . . . . . . . . . . . . . . . . . . . . . . . . . . . . . . . . . . . . . . . . .</w:t>
            </w:r>
          </w:p>
        </w:tc>
        <w:tc>
          <w:tcPr>
            <w:tcW w:w="3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73</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97"/>
        </w:trPr>
        <w:tc>
          <w:tcPr>
            <w:tcW w:w="7240" w:type="dxa"/>
            <w:vAlign w:val="bottom"/>
          </w:tcPr>
          <w:p>
            <w:pPr>
              <w:jc w:val="right"/>
              <w:spacing w:after="0"/>
              <w:rPr>
                <w:sz w:val="20"/>
                <w:szCs w:val="20"/>
                <w:color w:val="auto"/>
              </w:rPr>
            </w:pPr>
            <w:r>
              <w:rPr>
                <w:rFonts w:ascii="Arial" w:cs="Arial" w:eastAsia="Arial" w:hAnsi="Arial"/>
                <w:sz w:val="20"/>
                <w:szCs w:val="20"/>
                <w:color w:val="auto"/>
                <w:w w:val="89"/>
              </w:rPr>
              <w:t xml:space="preserve">Increase due to current year positions </w:t>
            </w:r>
            <w:r>
              <w:rPr>
                <w:rFonts w:ascii="Arial" w:cs="Arial" w:eastAsia="Arial" w:hAnsi="Arial"/>
                <w:sz w:val="20"/>
                <w:szCs w:val="20"/>
                <w:color w:val="B4B4B4"/>
                <w:w w:val="89"/>
              </w:rPr>
              <w:t>.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97"/>
        </w:trPr>
        <w:tc>
          <w:tcPr>
            <w:tcW w:w="7240" w:type="dxa"/>
            <w:vAlign w:val="bottom"/>
          </w:tcPr>
          <w:p>
            <w:pPr>
              <w:jc w:val="right"/>
              <w:spacing w:after="0"/>
              <w:rPr>
                <w:sz w:val="20"/>
                <w:szCs w:val="20"/>
                <w:color w:val="auto"/>
              </w:rPr>
            </w:pPr>
            <w:r>
              <w:rPr>
                <w:rFonts w:ascii="Arial" w:cs="Arial" w:eastAsia="Arial" w:hAnsi="Arial"/>
                <w:sz w:val="20"/>
                <w:szCs w:val="20"/>
                <w:color w:val="auto"/>
                <w:w w:val="89"/>
              </w:rPr>
              <w:t xml:space="preserve">Increase due to acquired balance from Vivint Smart Home  </w:t>
            </w:r>
            <w:r>
              <w:rPr>
                <w:rFonts w:ascii="Arial" w:cs="Arial" w:eastAsia="Arial" w:hAnsi="Arial"/>
                <w:sz w:val="20"/>
                <w:szCs w:val="20"/>
                <w:color w:val="B4B4B4"/>
                <w:w w:val="89"/>
              </w:rPr>
              <w:t>.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99"/>
        </w:trPr>
        <w:tc>
          <w:tcPr>
            <w:tcW w:w="7240" w:type="dxa"/>
            <w:vAlign w:val="bottom"/>
          </w:tcPr>
          <w:p>
            <w:pPr>
              <w:jc w:val="right"/>
              <w:spacing w:after="0"/>
              <w:rPr>
                <w:sz w:val="20"/>
                <w:szCs w:val="20"/>
                <w:color w:val="auto"/>
              </w:rPr>
            </w:pPr>
            <w:r>
              <w:rPr>
                <w:rFonts w:ascii="Arial" w:cs="Arial" w:eastAsia="Arial" w:hAnsi="Arial"/>
                <w:sz w:val="20"/>
                <w:szCs w:val="20"/>
                <w:color w:val="auto"/>
                <w:w w:val="88"/>
              </w:rPr>
              <w:t xml:space="preserve">Settlements, payments and statute closure </w:t>
            </w:r>
            <w:r>
              <w:rPr>
                <w:rFonts w:ascii="Arial" w:cs="Arial" w:eastAsia="Arial" w:hAnsi="Arial"/>
                <w:sz w:val="20"/>
                <w:szCs w:val="20"/>
                <w:color w:val="B4B4B4"/>
                <w:w w:val="88"/>
              </w:rPr>
              <w:t>. . . . . . . . . . . . . . . . . . . . . . . . . . . . . . . . . . . . . . .</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7"/>
        </w:trPr>
        <w:tc>
          <w:tcPr>
            <w:tcW w:w="7240" w:type="dxa"/>
            <w:vAlign w:val="bottom"/>
          </w:tcPr>
          <w:p>
            <w:pPr>
              <w:jc w:val="right"/>
              <w:spacing w:after="0"/>
              <w:rPr>
                <w:sz w:val="20"/>
                <w:szCs w:val="20"/>
                <w:color w:val="auto"/>
              </w:rPr>
            </w:pPr>
            <w:r>
              <w:rPr>
                <w:rFonts w:ascii="Arial" w:cs="Arial" w:eastAsia="Arial" w:hAnsi="Arial"/>
                <w:sz w:val="20"/>
                <w:szCs w:val="20"/>
                <w:color w:val="auto"/>
                <w:w w:val="91"/>
              </w:rPr>
              <w:t xml:space="preserve">Uncertain tax benefits as of December 31 </w:t>
            </w:r>
            <w:r>
              <w:rPr>
                <w:rFonts w:ascii="Arial" w:cs="Arial" w:eastAsia="Arial" w:hAnsi="Arial"/>
                <w:sz w:val="20"/>
                <w:szCs w:val="20"/>
                <w:color w:val="B4B4B4"/>
                <w:w w:val="91"/>
              </w:rPr>
              <w:t>. . . . . . . . . . . . . . . . . . . . . . . . . . . . . . . . . . . . .</w:t>
            </w:r>
          </w:p>
        </w:tc>
        <w:tc>
          <w:tcPr>
            <w:tcW w:w="3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57</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0"/>
        </w:trPr>
        <w:tc>
          <w:tcPr>
            <w:tcW w:w="7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-974090</wp:posOffset>
            </wp:positionV>
            <wp:extent cx="6456680" cy="9810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65">
                      <a:extLst>
                        <a:ext uri="{28A0092B-C50C-407E-A947-70E740481C1C}"/>
                      </a:extLst>
                    </a:blip>
                    <a:srcRect/>
                    <a:stretch>
                      <a:fillRect/>
                    </a:stretch>
                  </pic:blipFill>
                  <pic:spPr bwMode="auto">
                    <a:xfrm>
                      <a:off x="0" y="0"/>
                      <a:ext cx="6456680" cy="98107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20 — </w:t>
      </w:r>
      <w:r>
        <w:rPr>
          <w:rFonts w:ascii="Arial" w:cs="Arial" w:eastAsia="Arial" w:hAnsi="Arial"/>
          <w:sz w:val="20"/>
          <w:szCs w:val="20"/>
          <w:b w:val="1"/>
          <w:bCs w:val="1"/>
          <w:i w:val="1"/>
          <w:iCs w:val="1"/>
          <w:color w:val="auto"/>
        </w:rPr>
        <w:t>Stock-Based Compensation</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The Company's stock-based compensation consists of awards granted under the NRG LTIP and following the Acquisition in March 2023, the Vivint LTIP.</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NRG Energy, Inc. Long-Term Incentive Plan</w:t>
      </w:r>
    </w:p>
    <w:p>
      <w:pPr>
        <w:spacing w:after="0" w:line="134"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As of December 31, 2024 and 2023, a total of 25,000,000 shares of NRG common stock were authorized for issuance under the NRG LTIP. There were 7,188,824 and 7,717,139 shares of common stock remaining available for grants under the NRG LTIP as of December 31, 2024 and 2023, respectively. The NRG LTIP is subject to adjustments in the event of reorganization, recapitalization, stock split, reverse stock split, stock dividend, and a combination of shares, merger or similar change in NRG's structure or outstanding shares of common stock. As of December 31, 2024, the outstanding awards under the NRG LTIP include restricted stock units, deferred stock units and relative performance stock units.</w:t>
      </w:r>
    </w:p>
    <w:p>
      <w:pPr>
        <w:sectPr>
          <w:pgSz w:w="11880" w:h="15480" w:orient="portrait"/>
          <w:cols w:equalWidth="0" w:num="1">
            <w:col w:w="10160"/>
          </w:cols>
          <w:pgMar w:left="860" w:top="50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153</w:t>
      </w:r>
    </w:p>
    <w:p>
      <w:pPr>
        <w:sectPr>
          <w:pgSz w:w="11880" w:h="15480" w:orient="portrait"/>
          <w:cols w:equalWidth="0" w:num="1">
            <w:col w:w="10160"/>
          </w:cols>
          <w:pgMar w:left="860" w:top="508" w:right="860" w:bottom="0" w:gutter="0" w:footer="0" w:header="0"/>
          <w:type w:val="continuous"/>
        </w:sectPr>
      </w:pPr>
    </w:p>
    <w:bookmarkStart w:id="155" w:name="page156"/>
    <w:bookmarkEnd w:id="155"/>
    <w:p>
      <w:pPr>
        <w:ind w:left="440"/>
        <w:spacing w:after="0"/>
        <w:rPr>
          <w:sz w:val="20"/>
          <w:szCs w:val="20"/>
          <w:color w:val="auto"/>
        </w:rPr>
      </w:pPr>
      <w:r>
        <w:rPr>
          <w:rFonts w:ascii="Arial" w:cs="Arial" w:eastAsia="Arial" w:hAnsi="Arial"/>
          <w:sz w:val="20"/>
          <w:szCs w:val="20"/>
          <w:b w:val="1"/>
          <w:bCs w:val="1"/>
          <w:i w:val="1"/>
          <w:iCs w:val="1"/>
          <w:color w:val="auto"/>
        </w:rPr>
        <w:t>Restricted Stock Units</w:t>
      </w:r>
    </w:p>
    <w:p>
      <w:pPr>
        <w:spacing w:after="0" w:line="13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As of December 31, 2024, RSUs granted under the NRG LTIP typically have three-year graded vesting schedules beginning on the grant date. Fair value of the RSUs granted during 2024 and 2023 is derived from the closing price of NRG common stock on the grant date. The following table summarizes the Company's non-vested RSU awards and changes during the year:</w:t>
      </w:r>
    </w:p>
    <w:p>
      <w:pPr>
        <w:spacing w:after="0" w:line="2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780" w:type="dxa"/>
            <w:vAlign w:val="bottom"/>
          </w:tcPr>
          <w:p>
            <w:pPr>
              <w:spacing w:after="0"/>
              <w:rPr>
                <w:sz w:val="16"/>
                <w:szCs w:val="16"/>
                <w:color w:val="auto"/>
              </w:rPr>
            </w:pPr>
          </w:p>
        </w:tc>
        <w:tc>
          <w:tcPr>
            <w:tcW w:w="1300" w:type="dxa"/>
            <w:vAlign w:val="bottom"/>
            <w:vMerge w:val="restart"/>
          </w:tcPr>
          <w:p>
            <w:pPr>
              <w:jc w:val="right"/>
              <w:ind w:right="364"/>
              <w:spacing w:after="0"/>
              <w:rPr>
                <w:sz w:val="20"/>
                <w:szCs w:val="20"/>
                <w:color w:val="auto"/>
              </w:rPr>
            </w:pPr>
            <w:r>
              <w:rPr>
                <w:rFonts w:ascii="Arial" w:cs="Arial" w:eastAsia="Arial" w:hAnsi="Arial"/>
                <w:sz w:val="16"/>
                <w:szCs w:val="16"/>
                <w:b w:val="1"/>
                <w:bCs w:val="1"/>
                <w:color w:val="auto"/>
              </w:rPr>
              <w:t>Units</w:t>
            </w:r>
          </w:p>
        </w:tc>
        <w:tc>
          <w:tcPr>
            <w:tcW w:w="80" w:type="dxa"/>
            <w:vAlign w:val="bottom"/>
          </w:tcPr>
          <w:p>
            <w:pPr>
              <w:spacing w:after="0"/>
              <w:rPr>
                <w:sz w:val="16"/>
                <w:szCs w:val="16"/>
                <w:color w:val="auto"/>
              </w:rPr>
            </w:pPr>
          </w:p>
        </w:tc>
        <w:tc>
          <w:tcPr>
            <w:tcW w:w="194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w w:val="96"/>
              </w:rPr>
              <w:t>Weighted Average Grant</w:t>
            </w:r>
          </w:p>
        </w:tc>
        <w:tc>
          <w:tcPr>
            <w:tcW w:w="0" w:type="dxa"/>
            <w:vAlign w:val="bottom"/>
          </w:tcPr>
          <w:p>
            <w:pPr>
              <w:spacing w:after="0"/>
              <w:rPr>
                <w:sz w:val="1"/>
                <w:szCs w:val="1"/>
                <w:color w:val="auto"/>
              </w:rPr>
            </w:pPr>
          </w:p>
        </w:tc>
      </w:tr>
      <w:tr>
        <w:trPr>
          <w:trHeight w:val="212"/>
        </w:trPr>
        <w:tc>
          <w:tcPr>
            <w:tcW w:w="678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b w:val="1"/>
                <w:bCs w:val="1"/>
                <w:color w:val="auto"/>
                <w:w w:val="99"/>
              </w:rPr>
              <w:t>Date Fair Value per Unit</w:t>
            </w:r>
          </w:p>
        </w:tc>
        <w:tc>
          <w:tcPr>
            <w:tcW w:w="0" w:type="dxa"/>
            <w:vAlign w:val="bottom"/>
          </w:tcPr>
          <w:p>
            <w:pPr>
              <w:spacing w:after="0"/>
              <w:rPr>
                <w:sz w:val="1"/>
                <w:szCs w:val="1"/>
                <w:color w:val="auto"/>
              </w:rPr>
            </w:pPr>
          </w:p>
        </w:tc>
      </w:tr>
      <w:tr>
        <w:trPr>
          <w:trHeight w:val="275"/>
        </w:trPr>
        <w:tc>
          <w:tcPr>
            <w:tcW w:w="6780" w:type="dxa"/>
            <w:vAlign w:val="bottom"/>
          </w:tcPr>
          <w:p>
            <w:pPr>
              <w:jc w:val="right"/>
              <w:spacing w:after="0"/>
              <w:rPr>
                <w:sz w:val="20"/>
                <w:szCs w:val="20"/>
                <w:color w:val="auto"/>
              </w:rPr>
            </w:pPr>
            <w:r>
              <w:rPr>
                <w:rFonts w:ascii="Arial" w:cs="Arial" w:eastAsia="Arial" w:hAnsi="Arial"/>
                <w:sz w:val="20"/>
                <w:szCs w:val="20"/>
                <w:color w:val="auto"/>
                <w:w w:val="89"/>
              </w:rPr>
              <w:t xml:space="preserve">Non-vested at December 31, 2023 </w:t>
            </w:r>
            <w:r>
              <w:rPr>
                <w:rFonts w:ascii="Arial" w:cs="Arial" w:eastAsia="Arial" w:hAnsi="Arial"/>
                <w:sz w:val="20"/>
                <w:szCs w:val="20"/>
                <w:color w:val="B4B4B4"/>
                <w:w w:val="89"/>
              </w:rPr>
              <w:t>. . . . . . . . . . . . . . . . . . . . . . . . . . . . . . . . . . . . . . . .</w:t>
            </w:r>
          </w:p>
        </w:tc>
        <w:tc>
          <w:tcPr>
            <w:tcW w:w="1300" w:type="dxa"/>
            <w:vAlign w:val="bottom"/>
          </w:tcPr>
          <w:p>
            <w:pPr>
              <w:jc w:val="right"/>
              <w:spacing w:after="0"/>
              <w:rPr>
                <w:sz w:val="20"/>
                <w:szCs w:val="20"/>
                <w:color w:val="auto"/>
              </w:rPr>
            </w:pPr>
            <w:r>
              <w:rPr>
                <w:rFonts w:ascii="Arial" w:cs="Arial" w:eastAsia="Arial" w:hAnsi="Arial"/>
                <w:sz w:val="20"/>
                <w:szCs w:val="20"/>
                <w:color w:val="auto"/>
              </w:rPr>
              <w:t>1,210,840</w:t>
            </w:r>
          </w:p>
        </w:tc>
        <w:tc>
          <w:tcPr>
            <w:tcW w:w="860" w:type="dxa"/>
            <w:vAlign w:val="bottom"/>
            <w:gridSpan w:val="2"/>
          </w:tcPr>
          <w:p>
            <w:pPr>
              <w:jc w:val="right"/>
              <w:ind w:right="56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37.88</w:t>
            </w:r>
          </w:p>
        </w:tc>
        <w:tc>
          <w:tcPr>
            <w:tcW w:w="0" w:type="dxa"/>
            <w:vAlign w:val="bottom"/>
          </w:tcPr>
          <w:p>
            <w:pPr>
              <w:spacing w:after="0"/>
              <w:rPr>
                <w:sz w:val="1"/>
                <w:szCs w:val="1"/>
                <w:color w:val="auto"/>
              </w:rPr>
            </w:pPr>
          </w:p>
        </w:tc>
      </w:tr>
      <w:tr>
        <w:trPr>
          <w:trHeight w:val="297"/>
        </w:trPr>
        <w:tc>
          <w:tcPr>
            <w:tcW w:w="6780" w:type="dxa"/>
            <w:vAlign w:val="bottom"/>
          </w:tcPr>
          <w:p>
            <w:pPr>
              <w:jc w:val="right"/>
              <w:spacing w:after="0"/>
              <w:rPr>
                <w:sz w:val="20"/>
                <w:szCs w:val="20"/>
                <w:color w:val="auto"/>
              </w:rPr>
            </w:pPr>
            <w:r>
              <w:rPr>
                <w:rFonts w:ascii="Arial" w:cs="Arial" w:eastAsia="Arial" w:hAnsi="Arial"/>
                <w:sz w:val="20"/>
                <w:szCs w:val="20"/>
                <w:color w:val="auto"/>
                <w:w w:val="90"/>
              </w:rPr>
              <w:t xml:space="preserve">Granted </w:t>
            </w:r>
            <w:r>
              <w:rPr>
                <w:rFonts w:ascii="Arial" w:cs="Arial" w:eastAsia="Arial" w:hAnsi="Arial"/>
                <w:sz w:val="20"/>
                <w:szCs w:val="20"/>
                <w:color w:val="B4B4B4"/>
                <w:w w:val="90"/>
              </w:rPr>
              <w:t>. . . . . . . . . . . . . . . . . . . . . . . . . . . . . . . . . . . . . . . . . . . . . . . . . . . . . . . . . . . .</w:t>
            </w:r>
          </w:p>
        </w:tc>
        <w:tc>
          <w:tcPr>
            <w:tcW w:w="1300" w:type="dxa"/>
            <w:vAlign w:val="bottom"/>
          </w:tcPr>
          <w:p>
            <w:pPr>
              <w:jc w:val="right"/>
              <w:spacing w:after="0"/>
              <w:rPr>
                <w:sz w:val="20"/>
                <w:szCs w:val="20"/>
                <w:color w:val="auto"/>
              </w:rPr>
            </w:pPr>
            <w:r>
              <w:rPr>
                <w:rFonts w:ascii="Arial" w:cs="Arial" w:eastAsia="Arial" w:hAnsi="Arial"/>
                <w:sz w:val="20"/>
                <w:szCs w:val="20"/>
                <w:color w:val="auto"/>
              </w:rPr>
              <w:t>413,872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51.89</w:t>
            </w:r>
          </w:p>
        </w:tc>
        <w:tc>
          <w:tcPr>
            <w:tcW w:w="0" w:type="dxa"/>
            <w:vAlign w:val="bottom"/>
          </w:tcPr>
          <w:p>
            <w:pPr>
              <w:spacing w:after="0"/>
              <w:rPr>
                <w:sz w:val="1"/>
                <w:szCs w:val="1"/>
                <w:color w:val="auto"/>
              </w:rPr>
            </w:pPr>
          </w:p>
        </w:tc>
      </w:tr>
      <w:tr>
        <w:trPr>
          <w:trHeight w:val="297"/>
        </w:trPr>
        <w:tc>
          <w:tcPr>
            <w:tcW w:w="6780" w:type="dxa"/>
            <w:vAlign w:val="bottom"/>
          </w:tcPr>
          <w:p>
            <w:pPr>
              <w:jc w:val="right"/>
              <w:spacing w:after="0"/>
              <w:rPr>
                <w:sz w:val="20"/>
                <w:szCs w:val="20"/>
                <w:color w:val="auto"/>
              </w:rPr>
            </w:pPr>
            <w:r>
              <w:rPr>
                <w:rFonts w:ascii="Arial" w:cs="Arial" w:eastAsia="Arial" w:hAnsi="Arial"/>
                <w:sz w:val="20"/>
                <w:szCs w:val="20"/>
                <w:color w:val="auto"/>
                <w:w w:val="91"/>
              </w:rPr>
              <w:t xml:space="preserve">Forfeited </w:t>
            </w:r>
            <w:r>
              <w:rPr>
                <w:rFonts w:ascii="Arial" w:cs="Arial" w:eastAsia="Arial" w:hAnsi="Arial"/>
                <w:sz w:val="20"/>
                <w:szCs w:val="20"/>
                <w:color w:val="B4B4B4"/>
                <w:w w:val="91"/>
              </w:rPr>
              <w:t>. . . . . . . . . . . . . . . . . . . . . . . . . . . . . . . . . . . . . . . . . . . . . . . . . . . . . . . . . . .</w:t>
            </w:r>
          </w:p>
        </w:tc>
        <w:tc>
          <w:tcPr>
            <w:tcW w:w="1300" w:type="dxa"/>
            <w:vAlign w:val="bottom"/>
          </w:tcPr>
          <w:p>
            <w:pPr>
              <w:jc w:val="right"/>
              <w:spacing w:after="0"/>
              <w:rPr>
                <w:sz w:val="20"/>
                <w:szCs w:val="20"/>
                <w:color w:val="auto"/>
              </w:rPr>
            </w:pPr>
            <w:r>
              <w:rPr>
                <w:rFonts w:ascii="Arial" w:cs="Arial" w:eastAsia="Arial" w:hAnsi="Arial"/>
                <w:sz w:val="20"/>
                <w:szCs w:val="20"/>
                <w:color w:val="auto"/>
              </w:rPr>
              <w:t>(49,082)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39.43</w:t>
            </w:r>
          </w:p>
        </w:tc>
        <w:tc>
          <w:tcPr>
            <w:tcW w:w="0" w:type="dxa"/>
            <w:vAlign w:val="bottom"/>
          </w:tcPr>
          <w:p>
            <w:pPr>
              <w:spacing w:after="0"/>
              <w:rPr>
                <w:sz w:val="1"/>
                <w:szCs w:val="1"/>
                <w:color w:val="auto"/>
              </w:rPr>
            </w:pPr>
          </w:p>
        </w:tc>
      </w:tr>
      <w:tr>
        <w:trPr>
          <w:trHeight w:val="299"/>
        </w:trPr>
        <w:tc>
          <w:tcPr>
            <w:tcW w:w="6780" w:type="dxa"/>
            <w:vAlign w:val="bottom"/>
          </w:tcPr>
          <w:p>
            <w:pPr>
              <w:jc w:val="right"/>
              <w:spacing w:after="0"/>
              <w:rPr>
                <w:sz w:val="20"/>
                <w:szCs w:val="20"/>
                <w:color w:val="auto"/>
              </w:rPr>
            </w:pPr>
            <w:r>
              <w:rPr>
                <w:rFonts w:ascii="Arial" w:cs="Arial" w:eastAsia="Arial" w:hAnsi="Arial"/>
                <w:sz w:val="20"/>
                <w:szCs w:val="20"/>
                <w:color w:val="auto"/>
                <w:w w:val="90"/>
              </w:rPr>
              <w:t xml:space="preserve">Vested </w:t>
            </w:r>
            <w:r>
              <w:rPr>
                <w:rFonts w:ascii="Arial" w:cs="Arial" w:eastAsia="Arial" w:hAnsi="Arial"/>
                <w:sz w:val="20"/>
                <w:szCs w:val="20"/>
                <w:color w:val="B4B4B4"/>
                <w:w w:val="90"/>
              </w:rPr>
              <w:t>. . . . . . . . . . . . . . . . . . . . . . . . . . . . . . . . . . . . . . . . . . . . . . . . . . . . . . . . . . . .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(525,470)</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38.38</w:t>
            </w:r>
          </w:p>
        </w:tc>
        <w:tc>
          <w:tcPr>
            <w:tcW w:w="0" w:type="dxa"/>
            <w:vAlign w:val="bottom"/>
          </w:tcPr>
          <w:p>
            <w:pPr>
              <w:spacing w:after="0"/>
              <w:rPr>
                <w:sz w:val="1"/>
                <w:szCs w:val="1"/>
                <w:color w:val="auto"/>
              </w:rPr>
            </w:pPr>
          </w:p>
        </w:tc>
      </w:tr>
      <w:tr>
        <w:trPr>
          <w:trHeight w:val="257"/>
        </w:trPr>
        <w:tc>
          <w:tcPr>
            <w:tcW w:w="678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Non-vested at December 31, 2024 </w:t>
            </w:r>
            <w:r>
              <w:rPr>
                <w:rFonts w:ascii="Arial" w:cs="Arial" w:eastAsia="Arial" w:hAnsi="Arial"/>
                <w:sz w:val="20"/>
                <w:szCs w:val="20"/>
                <w:b w:val="1"/>
                <w:bCs w:val="1"/>
                <w:color w:val="B4B4B4"/>
                <w:w w:val="89"/>
              </w:rPr>
              <w:t>. . . . . . . . . . . . . . . . . . . . . . . . . . . . . . . . . . . . . .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1,050,160</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42.95</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-974090</wp:posOffset>
            </wp:positionV>
            <wp:extent cx="6475095" cy="9810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66">
                      <a:extLst>
                        <a:ext uri="{28A0092B-C50C-407E-A947-70E740481C1C}"/>
                      </a:extLst>
                    </a:blip>
                    <a:srcRect/>
                    <a:stretch>
                      <a:fillRect/>
                    </a:stretch>
                  </pic:blipFill>
                  <pic:spPr bwMode="auto">
                    <a:xfrm>
                      <a:off x="0" y="0"/>
                      <a:ext cx="6475095" cy="981075"/>
                    </a:xfrm>
                    <a:prstGeom prst="rect">
                      <a:avLst/>
                    </a:prstGeom>
                    <a:noFill/>
                  </pic:spPr>
                </pic:pic>
              </a:graphicData>
            </a:graphic>
          </wp:anchor>
        </w:drawing>
      </w:r>
    </w:p>
    <w:p>
      <w:pPr>
        <w:spacing w:after="0" w:line="107"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20"/>
          <w:szCs w:val="20"/>
          <w:color w:val="auto"/>
        </w:rPr>
        <w:t>The total fair value of RSUs vested during the years ended December 31, 2024, 2023 and 2022 was $47 million, $20 million and $10 million, respectively. The weighted average grant date fair value of RSUs granted during the years ended December 31, 2024, 2023 and 2022 was $51.89, $35.71 and $41.26, respectively.</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Deferred Stock Units</w:t>
      </w:r>
    </w:p>
    <w:p>
      <w:pPr>
        <w:spacing w:after="0" w:line="13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DSUs represent the right of a participant to be paid one share of NRG common stock at the end of a deferral period established under the terms of the award. DSUs granted under the NRG LTIP are fully vested at the date of issuance. Fair value of the DSUs, which is based on the closing price of NRG common stock on the date of grant, is recorded as compensation expense in the period of grant.</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summarizes the Company's outstanding DSU awards and changes during the year:</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780" w:type="dxa"/>
            <w:vAlign w:val="bottom"/>
          </w:tcPr>
          <w:p>
            <w:pPr>
              <w:spacing w:after="0"/>
              <w:rPr>
                <w:sz w:val="16"/>
                <w:szCs w:val="16"/>
                <w:color w:val="auto"/>
              </w:rPr>
            </w:pPr>
          </w:p>
        </w:tc>
        <w:tc>
          <w:tcPr>
            <w:tcW w:w="1300" w:type="dxa"/>
            <w:vAlign w:val="bottom"/>
            <w:vMerge w:val="restart"/>
          </w:tcPr>
          <w:p>
            <w:pPr>
              <w:jc w:val="right"/>
              <w:ind w:right="365"/>
              <w:spacing w:after="0"/>
              <w:rPr>
                <w:sz w:val="20"/>
                <w:szCs w:val="20"/>
                <w:color w:val="auto"/>
              </w:rPr>
            </w:pPr>
            <w:r>
              <w:rPr>
                <w:rFonts w:ascii="Arial" w:cs="Arial" w:eastAsia="Arial" w:hAnsi="Arial"/>
                <w:sz w:val="16"/>
                <w:szCs w:val="16"/>
                <w:b w:val="1"/>
                <w:bCs w:val="1"/>
                <w:color w:val="auto"/>
              </w:rPr>
              <w:t>Units</w:t>
            </w:r>
          </w:p>
        </w:tc>
        <w:tc>
          <w:tcPr>
            <w:tcW w:w="80" w:type="dxa"/>
            <w:vAlign w:val="bottom"/>
          </w:tcPr>
          <w:p>
            <w:pPr>
              <w:spacing w:after="0"/>
              <w:rPr>
                <w:sz w:val="16"/>
                <w:szCs w:val="16"/>
                <w:color w:val="auto"/>
              </w:rPr>
            </w:pPr>
          </w:p>
        </w:tc>
        <w:tc>
          <w:tcPr>
            <w:tcW w:w="194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w w:val="96"/>
              </w:rPr>
              <w:t>Weighted Average Grant</w:t>
            </w:r>
          </w:p>
        </w:tc>
        <w:tc>
          <w:tcPr>
            <w:tcW w:w="0" w:type="dxa"/>
            <w:vAlign w:val="bottom"/>
          </w:tcPr>
          <w:p>
            <w:pPr>
              <w:spacing w:after="0"/>
              <w:rPr>
                <w:sz w:val="1"/>
                <w:szCs w:val="1"/>
                <w:color w:val="auto"/>
              </w:rPr>
            </w:pPr>
          </w:p>
        </w:tc>
      </w:tr>
      <w:tr>
        <w:trPr>
          <w:trHeight w:val="212"/>
        </w:trPr>
        <w:tc>
          <w:tcPr>
            <w:tcW w:w="678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b w:val="1"/>
                <w:bCs w:val="1"/>
                <w:color w:val="auto"/>
                <w:w w:val="99"/>
              </w:rPr>
              <w:t>Date Fair Value per Unit</w:t>
            </w:r>
          </w:p>
        </w:tc>
        <w:tc>
          <w:tcPr>
            <w:tcW w:w="0" w:type="dxa"/>
            <w:vAlign w:val="bottom"/>
          </w:tcPr>
          <w:p>
            <w:pPr>
              <w:spacing w:after="0"/>
              <w:rPr>
                <w:sz w:val="1"/>
                <w:szCs w:val="1"/>
                <w:color w:val="auto"/>
              </w:rPr>
            </w:pPr>
          </w:p>
        </w:tc>
      </w:tr>
      <w:tr>
        <w:trPr>
          <w:trHeight w:val="275"/>
        </w:trPr>
        <w:tc>
          <w:tcPr>
            <w:tcW w:w="6780" w:type="dxa"/>
            <w:vAlign w:val="bottom"/>
          </w:tcPr>
          <w:p>
            <w:pPr>
              <w:jc w:val="right"/>
              <w:spacing w:after="0"/>
              <w:rPr>
                <w:sz w:val="20"/>
                <w:szCs w:val="20"/>
                <w:color w:val="auto"/>
              </w:rPr>
            </w:pPr>
            <w:r>
              <w:rPr>
                <w:rFonts w:ascii="Arial" w:cs="Arial" w:eastAsia="Arial" w:hAnsi="Arial"/>
                <w:sz w:val="20"/>
                <w:szCs w:val="20"/>
                <w:color w:val="auto"/>
                <w:w w:val="88"/>
              </w:rPr>
              <w:t xml:space="preserve">Outstanding at December 31, 2023 </w:t>
            </w:r>
            <w:r>
              <w:rPr>
                <w:rFonts w:ascii="Arial" w:cs="Arial" w:eastAsia="Arial" w:hAnsi="Arial"/>
                <w:sz w:val="20"/>
                <w:szCs w:val="20"/>
                <w:color w:val="B4B4B4"/>
                <w:w w:val="88"/>
              </w:rPr>
              <w:t>. . . . . . . . . . . . . . . . . . . . . . . . . . . . . . . . . . . . . . . .</w:t>
            </w:r>
          </w:p>
        </w:tc>
        <w:tc>
          <w:tcPr>
            <w:tcW w:w="1300" w:type="dxa"/>
            <w:vAlign w:val="bottom"/>
          </w:tcPr>
          <w:p>
            <w:pPr>
              <w:jc w:val="right"/>
              <w:spacing w:after="0"/>
              <w:rPr>
                <w:sz w:val="20"/>
                <w:szCs w:val="20"/>
                <w:color w:val="auto"/>
              </w:rPr>
            </w:pPr>
            <w:r>
              <w:rPr>
                <w:rFonts w:ascii="Arial" w:cs="Arial" w:eastAsia="Arial" w:hAnsi="Arial"/>
                <w:sz w:val="20"/>
                <w:szCs w:val="20"/>
                <w:color w:val="auto"/>
              </w:rPr>
              <w:t>443,287</w:t>
            </w:r>
          </w:p>
        </w:tc>
        <w:tc>
          <w:tcPr>
            <w:tcW w:w="860" w:type="dxa"/>
            <w:vAlign w:val="bottom"/>
            <w:gridSpan w:val="2"/>
          </w:tcPr>
          <w:p>
            <w:pPr>
              <w:jc w:val="right"/>
              <w:ind w:right="56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29.07</w:t>
            </w:r>
          </w:p>
        </w:tc>
        <w:tc>
          <w:tcPr>
            <w:tcW w:w="0" w:type="dxa"/>
            <w:vAlign w:val="bottom"/>
          </w:tcPr>
          <w:p>
            <w:pPr>
              <w:spacing w:after="0"/>
              <w:rPr>
                <w:sz w:val="1"/>
                <w:szCs w:val="1"/>
                <w:color w:val="auto"/>
              </w:rPr>
            </w:pPr>
          </w:p>
        </w:tc>
      </w:tr>
      <w:tr>
        <w:trPr>
          <w:trHeight w:val="297"/>
        </w:trPr>
        <w:tc>
          <w:tcPr>
            <w:tcW w:w="6780" w:type="dxa"/>
            <w:vAlign w:val="bottom"/>
          </w:tcPr>
          <w:p>
            <w:pPr>
              <w:jc w:val="right"/>
              <w:spacing w:after="0"/>
              <w:rPr>
                <w:sz w:val="20"/>
                <w:szCs w:val="20"/>
                <w:color w:val="auto"/>
              </w:rPr>
            </w:pPr>
            <w:r>
              <w:rPr>
                <w:rFonts w:ascii="Arial" w:cs="Arial" w:eastAsia="Arial" w:hAnsi="Arial"/>
                <w:sz w:val="20"/>
                <w:szCs w:val="20"/>
                <w:color w:val="auto"/>
                <w:w w:val="90"/>
              </w:rPr>
              <w:t xml:space="preserve">Granted </w:t>
            </w:r>
            <w:r>
              <w:rPr>
                <w:rFonts w:ascii="Arial" w:cs="Arial" w:eastAsia="Arial" w:hAnsi="Arial"/>
                <w:sz w:val="20"/>
                <w:szCs w:val="20"/>
                <w:color w:val="B4B4B4"/>
                <w:w w:val="90"/>
              </w:rPr>
              <w:t>. . . . . . . . . . . . . . . . . . . . . . . . . . . . . . . . . . . . . . . . . . . . . . . . . . . . . . . . . . . .</w:t>
            </w:r>
          </w:p>
        </w:tc>
        <w:tc>
          <w:tcPr>
            <w:tcW w:w="1300" w:type="dxa"/>
            <w:vAlign w:val="bottom"/>
          </w:tcPr>
          <w:p>
            <w:pPr>
              <w:jc w:val="right"/>
              <w:spacing w:after="0"/>
              <w:rPr>
                <w:sz w:val="20"/>
                <w:szCs w:val="20"/>
                <w:color w:val="auto"/>
              </w:rPr>
            </w:pPr>
            <w:r>
              <w:rPr>
                <w:rFonts w:ascii="Arial" w:cs="Arial" w:eastAsia="Arial" w:hAnsi="Arial"/>
                <w:sz w:val="20"/>
                <w:szCs w:val="20"/>
                <w:color w:val="auto"/>
              </w:rPr>
              <w:t>46,617</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76.31</w:t>
            </w:r>
          </w:p>
        </w:tc>
        <w:tc>
          <w:tcPr>
            <w:tcW w:w="0" w:type="dxa"/>
            <w:vAlign w:val="bottom"/>
          </w:tcPr>
          <w:p>
            <w:pPr>
              <w:spacing w:after="0"/>
              <w:rPr>
                <w:sz w:val="1"/>
                <w:szCs w:val="1"/>
                <w:color w:val="auto"/>
              </w:rPr>
            </w:pPr>
          </w:p>
        </w:tc>
      </w:tr>
      <w:tr>
        <w:trPr>
          <w:trHeight w:val="299"/>
        </w:trPr>
        <w:tc>
          <w:tcPr>
            <w:tcW w:w="6780" w:type="dxa"/>
            <w:vAlign w:val="bottom"/>
          </w:tcPr>
          <w:p>
            <w:pPr>
              <w:jc w:val="right"/>
              <w:spacing w:after="0"/>
              <w:rPr>
                <w:sz w:val="20"/>
                <w:szCs w:val="20"/>
                <w:color w:val="auto"/>
              </w:rPr>
            </w:pPr>
            <w:r>
              <w:rPr>
                <w:rFonts w:ascii="Arial" w:cs="Arial" w:eastAsia="Arial" w:hAnsi="Arial"/>
                <w:sz w:val="20"/>
                <w:szCs w:val="20"/>
                <w:color w:val="auto"/>
                <w:w w:val="91"/>
              </w:rPr>
              <w:t xml:space="preserve">Converted to Common Stock </w:t>
            </w:r>
            <w:r>
              <w:rPr>
                <w:rFonts w:ascii="Arial" w:cs="Arial" w:eastAsia="Arial" w:hAnsi="Arial"/>
                <w:sz w:val="20"/>
                <w:szCs w:val="20"/>
                <w:color w:val="B4B4B4"/>
                <w:w w:val="91"/>
              </w:rPr>
              <w:t>. . . . . . . . . . . . . . . . . . . . . . . . . . . . . . . . . . . . . . . . . .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(112,784)</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30.73</w:t>
            </w:r>
          </w:p>
        </w:tc>
        <w:tc>
          <w:tcPr>
            <w:tcW w:w="0" w:type="dxa"/>
            <w:vAlign w:val="bottom"/>
          </w:tcPr>
          <w:p>
            <w:pPr>
              <w:spacing w:after="0"/>
              <w:rPr>
                <w:sz w:val="1"/>
                <w:szCs w:val="1"/>
                <w:color w:val="auto"/>
              </w:rPr>
            </w:pPr>
          </w:p>
        </w:tc>
      </w:tr>
      <w:tr>
        <w:trPr>
          <w:trHeight w:val="257"/>
        </w:trPr>
        <w:tc>
          <w:tcPr>
            <w:tcW w:w="678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Outstanding at December 31, 2024 </w:t>
            </w:r>
            <w:r>
              <w:rPr>
                <w:rFonts w:ascii="Arial" w:cs="Arial" w:eastAsia="Arial" w:hAnsi="Arial"/>
                <w:sz w:val="20"/>
                <w:szCs w:val="20"/>
                <w:b w:val="1"/>
                <w:bCs w:val="1"/>
                <w:color w:val="B4B4B4"/>
                <w:w w:val="89"/>
              </w:rPr>
              <w:t>. . . . . . . . . . . . . . . . . . . . . . . . . . . . . . . . . . . . .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377,120</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33.91</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-785495</wp:posOffset>
            </wp:positionV>
            <wp:extent cx="6475095" cy="7924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67">
                      <a:extLst>
                        <a:ext uri="{28A0092B-C50C-407E-A947-70E740481C1C}"/>
                      </a:extLst>
                    </a:blip>
                    <a:srcRect/>
                    <a:stretch>
                      <a:fillRect/>
                    </a:stretch>
                  </pic:blipFill>
                  <pic:spPr bwMode="auto">
                    <a:xfrm>
                      <a:off x="0" y="0"/>
                      <a:ext cx="6475095" cy="792480"/>
                    </a:xfrm>
                    <a:prstGeom prst="rect">
                      <a:avLst/>
                    </a:prstGeom>
                    <a:noFill/>
                  </pic:spPr>
                </pic:pic>
              </a:graphicData>
            </a:graphic>
          </wp:anchor>
        </w:drawing>
      </w:r>
    </w:p>
    <w:p>
      <w:pPr>
        <w:spacing w:after="0" w:line="17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The aggregate intrinsic values for DSUs outstanding as of December 31, 2024, 2023 and 2022 were approximately $34 million, $23 million and $13 million, respectively. The aggregate intrinsic values for DSUs converted to common stock for the years ended December 31, 2024, 2023 and 2022 were $10 million, $3 million and $1 million, respectively. The weighted average grant date fair value of DSUs granted during the years ended December 31, 2024, 2023 and 2022 was $76.31, $34.40 and $45.49, respectively.</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Relative Performance Stock Units</w:t>
      </w:r>
    </w:p>
    <w:p>
      <w:pPr>
        <w:spacing w:after="0" w:line="134" w:lineRule="exact"/>
        <w:rPr>
          <w:sz w:val="20"/>
          <w:szCs w:val="20"/>
          <w:color w:val="auto"/>
        </w:rPr>
      </w:pPr>
    </w:p>
    <w:p>
      <w:pPr>
        <w:jc w:val="both"/>
        <w:ind w:firstLine="445"/>
        <w:spacing w:after="0" w:line="281" w:lineRule="auto"/>
        <w:rPr>
          <w:sz w:val="20"/>
          <w:szCs w:val="20"/>
          <w:color w:val="auto"/>
        </w:rPr>
      </w:pPr>
      <w:r>
        <w:rPr>
          <w:rFonts w:ascii="Arial" w:cs="Arial" w:eastAsia="Arial" w:hAnsi="Arial"/>
          <w:sz w:val="18"/>
          <w:szCs w:val="18"/>
          <w:color w:val="auto"/>
        </w:rPr>
        <w:t>RPSUs entitle the recipient to stock upon vesting. The amount of the award is subject to the Company's achievement of certain performance measures over the vesting period. RPSUs are restricted grants where the quantity of shares increases and decreases alongside the Company's Total Shareholder Return ("TSR"), relative to the TSR of the Company's current proxy peer group and the total returns of select indexes, or Peer Group. The peer group consists of the companies that comprise the Standard &amp; Poor’s 500 Index on the first day of the performance period. Each RPSU represents the potential to receive NRG common stock after the completion of the performance period, typically three years of service from the date of grant. The number of shares of NRG common stock to be paid (if any) as of the vesting date for each RPSU will depend on the Company’s percentile rank within the Peer Group. The number of shares of common stock to be paid as of the vesting date for each RPSU is linearly interpolated for TSR performance between the following points: (i) 0% if ranked below the 25th percentile; (ii) 25% if ranked at the 25th percentile; (iii) 100% if ranked at the 55th percentile (or the 65th percentile if the Company's absolute TSR is less than negative 15%); and (iv) 200% if ranked at the 75th percentile or above.</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154</w:t>
      </w:r>
    </w:p>
    <w:p>
      <w:pPr>
        <w:sectPr>
          <w:pgSz w:w="11880" w:h="15480" w:orient="portrait"/>
          <w:cols w:equalWidth="0" w:num="1">
            <w:col w:w="10160"/>
          </w:cols>
          <w:pgMar w:left="860" w:top="505" w:right="860" w:bottom="0" w:gutter="0" w:footer="0" w:header="0"/>
          <w:type w:val="continuous"/>
        </w:sectPr>
      </w:pPr>
    </w:p>
    <w:bookmarkStart w:id="156" w:name="page157"/>
    <w:bookmarkEnd w:id="156"/>
    <w:p>
      <w:pPr>
        <w:ind w:left="440"/>
        <w:spacing w:after="0"/>
        <w:rPr>
          <w:sz w:val="20"/>
          <w:szCs w:val="20"/>
          <w:color w:val="auto"/>
        </w:rPr>
      </w:pPr>
      <w:r>
        <w:rPr>
          <w:rFonts w:ascii="Arial" w:cs="Arial" w:eastAsia="Arial" w:hAnsi="Arial"/>
          <w:sz w:val="20"/>
          <w:szCs w:val="20"/>
          <w:color w:val="auto"/>
        </w:rPr>
        <w:t>The following table summarizes the Company's non-vested RPSU awards and changes during the year:</w:t>
      </w: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780" w:type="dxa"/>
            <w:vAlign w:val="bottom"/>
          </w:tcPr>
          <w:p>
            <w:pPr>
              <w:spacing w:after="0"/>
              <w:rPr>
                <w:sz w:val="16"/>
                <w:szCs w:val="16"/>
                <w:color w:val="auto"/>
              </w:rPr>
            </w:pPr>
          </w:p>
        </w:tc>
        <w:tc>
          <w:tcPr>
            <w:tcW w:w="1300" w:type="dxa"/>
            <w:vAlign w:val="bottom"/>
            <w:vMerge w:val="restart"/>
          </w:tcPr>
          <w:p>
            <w:pPr>
              <w:jc w:val="right"/>
              <w:ind w:right="364"/>
              <w:spacing w:after="0"/>
              <w:rPr>
                <w:sz w:val="20"/>
                <w:szCs w:val="20"/>
                <w:color w:val="auto"/>
              </w:rPr>
            </w:pPr>
            <w:r>
              <w:rPr>
                <w:rFonts w:ascii="Arial" w:cs="Arial" w:eastAsia="Arial" w:hAnsi="Arial"/>
                <w:sz w:val="16"/>
                <w:szCs w:val="16"/>
                <w:b w:val="1"/>
                <w:bCs w:val="1"/>
                <w:color w:val="auto"/>
              </w:rPr>
              <w:t>Units</w:t>
            </w:r>
          </w:p>
        </w:tc>
        <w:tc>
          <w:tcPr>
            <w:tcW w:w="80" w:type="dxa"/>
            <w:vAlign w:val="bottom"/>
          </w:tcPr>
          <w:p>
            <w:pPr>
              <w:spacing w:after="0"/>
              <w:rPr>
                <w:sz w:val="16"/>
                <w:szCs w:val="16"/>
                <w:color w:val="auto"/>
              </w:rPr>
            </w:pPr>
          </w:p>
        </w:tc>
        <w:tc>
          <w:tcPr>
            <w:tcW w:w="194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w w:val="94"/>
              </w:rPr>
              <w:t>Weighted Average Grant-</w:t>
            </w:r>
          </w:p>
        </w:tc>
        <w:tc>
          <w:tcPr>
            <w:tcW w:w="0" w:type="dxa"/>
            <w:vAlign w:val="bottom"/>
          </w:tcPr>
          <w:p>
            <w:pPr>
              <w:spacing w:after="0"/>
              <w:rPr>
                <w:sz w:val="1"/>
                <w:szCs w:val="1"/>
                <w:color w:val="auto"/>
              </w:rPr>
            </w:pPr>
          </w:p>
        </w:tc>
      </w:tr>
      <w:tr>
        <w:trPr>
          <w:trHeight w:val="212"/>
        </w:trPr>
        <w:tc>
          <w:tcPr>
            <w:tcW w:w="678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b w:val="1"/>
                <w:bCs w:val="1"/>
                <w:color w:val="auto"/>
                <w:w w:val="99"/>
              </w:rPr>
              <w:t>Date Fair Value per Unit</w:t>
            </w:r>
          </w:p>
        </w:tc>
        <w:tc>
          <w:tcPr>
            <w:tcW w:w="0" w:type="dxa"/>
            <w:vAlign w:val="bottom"/>
          </w:tcPr>
          <w:p>
            <w:pPr>
              <w:spacing w:after="0"/>
              <w:rPr>
                <w:sz w:val="1"/>
                <w:szCs w:val="1"/>
                <w:color w:val="auto"/>
              </w:rPr>
            </w:pPr>
          </w:p>
        </w:tc>
      </w:tr>
      <w:tr>
        <w:trPr>
          <w:trHeight w:val="275"/>
        </w:trPr>
        <w:tc>
          <w:tcPr>
            <w:tcW w:w="6780" w:type="dxa"/>
            <w:vAlign w:val="bottom"/>
          </w:tcPr>
          <w:p>
            <w:pPr>
              <w:jc w:val="right"/>
              <w:spacing w:after="0"/>
              <w:rPr>
                <w:sz w:val="20"/>
                <w:szCs w:val="20"/>
                <w:color w:val="auto"/>
              </w:rPr>
            </w:pPr>
            <w:r>
              <w:rPr>
                <w:rFonts w:ascii="Arial" w:cs="Arial" w:eastAsia="Arial" w:hAnsi="Arial"/>
                <w:sz w:val="20"/>
                <w:szCs w:val="20"/>
                <w:color w:val="auto"/>
                <w:w w:val="89"/>
              </w:rPr>
              <w:t xml:space="preserve">Non-vested at December 31, 2023 </w:t>
            </w:r>
            <w:r>
              <w:rPr>
                <w:rFonts w:ascii="Arial" w:cs="Arial" w:eastAsia="Arial" w:hAnsi="Arial"/>
                <w:sz w:val="20"/>
                <w:szCs w:val="20"/>
                <w:color w:val="B4B4B4"/>
                <w:w w:val="89"/>
              </w:rPr>
              <w:t>. . . . . . . . . . . . . . . . . . . . . . . . . . . . . . . . . . . . . . . .</w:t>
            </w:r>
          </w:p>
        </w:tc>
        <w:tc>
          <w:tcPr>
            <w:tcW w:w="1300" w:type="dxa"/>
            <w:vAlign w:val="bottom"/>
          </w:tcPr>
          <w:p>
            <w:pPr>
              <w:jc w:val="right"/>
              <w:spacing w:after="0"/>
              <w:rPr>
                <w:sz w:val="20"/>
                <w:szCs w:val="20"/>
                <w:color w:val="auto"/>
              </w:rPr>
            </w:pPr>
            <w:r>
              <w:rPr>
                <w:rFonts w:ascii="Arial" w:cs="Arial" w:eastAsia="Arial" w:hAnsi="Arial"/>
                <w:sz w:val="20"/>
                <w:szCs w:val="20"/>
                <w:color w:val="auto"/>
              </w:rPr>
              <w:t>671,889</w:t>
            </w:r>
          </w:p>
        </w:tc>
        <w:tc>
          <w:tcPr>
            <w:tcW w:w="860" w:type="dxa"/>
            <w:vAlign w:val="bottom"/>
            <w:gridSpan w:val="2"/>
          </w:tcPr>
          <w:p>
            <w:pPr>
              <w:jc w:val="right"/>
              <w:ind w:right="56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46.27</w:t>
            </w:r>
          </w:p>
        </w:tc>
        <w:tc>
          <w:tcPr>
            <w:tcW w:w="0" w:type="dxa"/>
            <w:vAlign w:val="bottom"/>
          </w:tcPr>
          <w:p>
            <w:pPr>
              <w:spacing w:after="0"/>
              <w:rPr>
                <w:sz w:val="1"/>
                <w:szCs w:val="1"/>
                <w:color w:val="auto"/>
              </w:rPr>
            </w:pPr>
          </w:p>
        </w:tc>
      </w:tr>
      <w:tr>
        <w:trPr>
          <w:trHeight w:val="297"/>
        </w:trPr>
        <w:tc>
          <w:tcPr>
            <w:tcW w:w="6780" w:type="dxa"/>
            <w:vAlign w:val="bottom"/>
          </w:tcPr>
          <w:p>
            <w:pPr>
              <w:jc w:val="right"/>
              <w:spacing w:after="0"/>
              <w:rPr>
                <w:sz w:val="20"/>
                <w:szCs w:val="20"/>
                <w:color w:val="auto"/>
              </w:rPr>
            </w:pPr>
            <w:r>
              <w:rPr>
                <w:rFonts w:ascii="Arial" w:cs="Arial" w:eastAsia="Arial" w:hAnsi="Arial"/>
                <w:sz w:val="20"/>
                <w:szCs w:val="20"/>
                <w:color w:val="auto"/>
                <w:w w:val="90"/>
              </w:rPr>
              <w:t xml:space="preserve">Granted </w:t>
            </w:r>
            <w:r>
              <w:rPr>
                <w:rFonts w:ascii="Arial" w:cs="Arial" w:eastAsia="Arial" w:hAnsi="Arial"/>
                <w:sz w:val="20"/>
                <w:szCs w:val="20"/>
                <w:color w:val="B4B4B4"/>
                <w:w w:val="90"/>
              </w:rPr>
              <w:t>. . . . . . . . . . . . . . . . . . . . . . . . . . . . . . . . . . . . . . . . . . . . . . . . . . . . . . . . . . . .</w:t>
            </w:r>
          </w:p>
        </w:tc>
        <w:tc>
          <w:tcPr>
            <w:tcW w:w="1300" w:type="dxa"/>
            <w:vAlign w:val="bottom"/>
          </w:tcPr>
          <w:p>
            <w:pPr>
              <w:jc w:val="right"/>
              <w:spacing w:after="0"/>
              <w:rPr>
                <w:sz w:val="20"/>
                <w:szCs w:val="20"/>
                <w:color w:val="auto"/>
              </w:rPr>
            </w:pPr>
            <w:r>
              <w:rPr>
                <w:rFonts w:ascii="Arial" w:cs="Arial" w:eastAsia="Arial" w:hAnsi="Arial"/>
                <w:sz w:val="20"/>
                <w:szCs w:val="20"/>
                <w:color w:val="auto"/>
              </w:rPr>
              <w:t>380,370</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62.48</w:t>
            </w:r>
          </w:p>
        </w:tc>
        <w:tc>
          <w:tcPr>
            <w:tcW w:w="0" w:type="dxa"/>
            <w:vAlign w:val="bottom"/>
          </w:tcPr>
          <w:p>
            <w:pPr>
              <w:spacing w:after="0"/>
              <w:rPr>
                <w:sz w:val="1"/>
                <w:szCs w:val="1"/>
                <w:color w:val="auto"/>
              </w:rPr>
            </w:pPr>
          </w:p>
        </w:tc>
      </w:tr>
      <w:tr>
        <w:trPr>
          <w:trHeight w:val="297"/>
        </w:trPr>
        <w:tc>
          <w:tcPr>
            <w:tcW w:w="6780" w:type="dxa"/>
            <w:vAlign w:val="bottom"/>
          </w:tcPr>
          <w:p>
            <w:pPr>
              <w:jc w:val="right"/>
              <w:spacing w:after="0"/>
              <w:rPr>
                <w:sz w:val="20"/>
                <w:szCs w:val="20"/>
                <w:color w:val="auto"/>
              </w:rPr>
            </w:pPr>
            <w:r>
              <w:rPr>
                <w:rFonts w:ascii="Arial" w:cs="Arial" w:eastAsia="Arial" w:hAnsi="Arial"/>
                <w:sz w:val="20"/>
                <w:szCs w:val="20"/>
                <w:color w:val="auto"/>
                <w:w w:val="91"/>
              </w:rPr>
              <w:t xml:space="preserve">Forfeited </w:t>
            </w:r>
            <w:r>
              <w:rPr>
                <w:rFonts w:ascii="Arial" w:cs="Arial" w:eastAsia="Arial" w:hAnsi="Arial"/>
                <w:sz w:val="20"/>
                <w:szCs w:val="20"/>
                <w:color w:val="B4B4B4"/>
                <w:w w:val="91"/>
              </w:rPr>
              <w:t>. . . . . . . . . . . . . . . . . . . . . . . . . . . . . . . . . . . . . . . . . . . . . . . . . . . . . . . . . . .</w:t>
            </w:r>
          </w:p>
        </w:tc>
        <w:tc>
          <w:tcPr>
            <w:tcW w:w="1300" w:type="dxa"/>
            <w:vAlign w:val="bottom"/>
          </w:tcPr>
          <w:p>
            <w:pPr>
              <w:jc w:val="right"/>
              <w:spacing w:after="0"/>
              <w:rPr>
                <w:sz w:val="20"/>
                <w:szCs w:val="20"/>
                <w:color w:val="auto"/>
              </w:rPr>
            </w:pPr>
            <w:r>
              <w:rPr>
                <w:rFonts w:ascii="Arial" w:cs="Arial" w:eastAsia="Arial" w:hAnsi="Arial"/>
                <w:sz w:val="20"/>
                <w:szCs w:val="20"/>
                <w:color w:val="auto"/>
              </w:rPr>
              <w:t>(22,623)</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52.55</w:t>
            </w:r>
          </w:p>
        </w:tc>
        <w:tc>
          <w:tcPr>
            <w:tcW w:w="0" w:type="dxa"/>
            <w:vAlign w:val="bottom"/>
          </w:tcPr>
          <w:p>
            <w:pPr>
              <w:spacing w:after="0"/>
              <w:rPr>
                <w:sz w:val="1"/>
                <w:szCs w:val="1"/>
                <w:color w:val="auto"/>
              </w:rPr>
            </w:pPr>
          </w:p>
        </w:tc>
      </w:tr>
      <w:tr>
        <w:trPr>
          <w:trHeight w:val="299"/>
        </w:trPr>
        <w:tc>
          <w:tcPr>
            <w:tcW w:w="6780" w:type="dxa"/>
            <w:vAlign w:val="bottom"/>
          </w:tcPr>
          <w:p>
            <w:pPr>
              <w:jc w:val="right"/>
              <w:spacing w:after="0"/>
              <w:rPr>
                <w:sz w:val="20"/>
                <w:szCs w:val="20"/>
                <w:color w:val="auto"/>
              </w:rPr>
            </w:pPr>
            <w:r>
              <w:rPr>
                <w:rFonts w:ascii="Arial" w:cs="Arial" w:eastAsia="Arial" w:hAnsi="Arial"/>
                <w:sz w:val="20"/>
                <w:szCs w:val="20"/>
                <w:color w:val="auto"/>
                <w:w w:val="90"/>
              </w:rPr>
              <w:t xml:space="preserve">Vested </w:t>
            </w:r>
            <w:r>
              <w:rPr>
                <w:rFonts w:ascii="Arial" w:cs="Arial" w:eastAsia="Arial" w:hAnsi="Arial"/>
                <w:sz w:val="20"/>
                <w:szCs w:val="20"/>
                <w:color w:val="B4B4B4"/>
                <w:w w:val="90"/>
              </w:rPr>
              <w:t>. . . . . . . . . . . . . . . . . . . . . . . . . . . . . . . . . . . . . . . . . . . . . . . . . . . . . . . . . . . .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(316,685)</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49.50</w:t>
            </w:r>
          </w:p>
        </w:tc>
        <w:tc>
          <w:tcPr>
            <w:tcW w:w="0" w:type="dxa"/>
            <w:vAlign w:val="bottom"/>
          </w:tcPr>
          <w:p>
            <w:pPr>
              <w:spacing w:after="0"/>
              <w:rPr>
                <w:sz w:val="1"/>
                <w:szCs w:val="1"/>
                <w:color w:val="auto"/>
              </w:rPr>
            </w:pPr>
          </w:p>
        </w:tc>
      </w:tr>
      <w:tr>
        <w:trPr>
          <w:trHeight w:val="257"/>
        </w:trPr>
        <w:tc>
          <w:tcPr>
            <w:tcW w:w="678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Non-vested at December 31, 2024 </w:t>
            </w:r>
            <w:r>
              <w:rPr>
                <w:rFonts w:ascii="Arial" w:cs="Arial" w:eastAsia="Arial" w:hAnsi="Arial"/>
                <w:sz w:val="20"/>
                <w:szCs w:val="20"/>
                <w:b w:val="1"/>
                <w:bCs w:val="1"/>
                <w:color w:val="B4B4B4"/>
                <w:w w:val="89"/>
              </w:rPr>
              <w:t>. . . . . . . . . . . . . . . . . . . . . . . . . . . . . . . . . . . . . .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712,951</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53.10</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-974090</wp:posOffset>
            </wp:positionV>
            <wp:extent cx="6475095" cy="9810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68">
                      <a:extLst>
                        <a:ext uri="{28A0092B-C50C-407E-A947-70E740481C1C}"/>
                      </a:extLst>
                    </a:blip>
                    <a:srcRect/>
                    <a:stretch>
                      <a:fillRect/>
                    </a:stretch>
                  </pic:blipFill>
                  <pic:spPr bwMode="auto">
                    <a:xfrm>
                      <a:off x="0" y="0"/>
                      <a:ext cx="6475095" cy="981075"/>
                    </a:xfrm>
                    <a:prstGeom prst="rect">
                      <a:avLst/>
                    </a:prstGeom>
                    <a:noFill/>
                  </pic:spPr>
                </pic:pic>
              </a:graphicData>
            </a:graphic>
          </wp:anchor>
        </w:drawing>
      </w:r>
    </w:p>
    <w:p>
      <w:pPr>
        <w:jc w:val="both"/>
        <w:ind w:right="120" w:firstLine="445"/>
        <w:spacing w:after="0" w:line="277" w:lineRule="auto"/>
        <w:rPr>
          <w:sz w:val="20"/>
          <w:szCs w:val="20"/>
          <w:color w:val="auto"/>
        </w:rPr>
      </w:pPr>
      <w:r>
        <w:rPr>
          <w:rFonts w:ascii="Arial" w:cs="Arial" w:eastAsia="Arial" w:hAnsi="Arial"/>
          <w:sz w:val="20"/>
          <w:szCs w:val="20"/>
          <w:color w:val="auto"/>
        </w:rPr>
        <w:t>The weighted average grant date fair value of RPSUs granted during the years ended December 31, 2024, 2023 and 2022, was $62.48, $39.46 and $57.41, respectively.</w:t>
      </w:r>
    </w:p>
    <w:p>
      <w:pPr>
        <w:spacing w:after="0" w:line="63" w:lineRule="exact"/>
        <w:rPr>
          <w:sz w:val="20"/>
          <w:szCs w:val="20"/>
          <w:color w:val="auto"/>
        </w:rPr>
      </w:pPr>
    </w:p>
    <w:p>
      <w:pPr>
        <w:jc w:val="both"/>
        <w:ind w:right="120" w:firstLine="445"/>
        <w:spacing w:after="0" w:line="262" w:lineRule="auto"/>
        <w:rPr>
          <w:sz w:val="20"/>
          <w:szCs w:val="20"/>
          <w:color w:val="auto"/>
        </w:rPr>
      </w:pPr>
      <w:r>
        <w:rPr>
          <w:rFonts w:ascii="Arial" w:cs="Arial" w:eastAsia="Arial" w:hAnsi="Arial"/>
          <w:sz w:val="20"/>
          <w:szCs w:val="20"/>
          <w:color w:val="auto"/>
        </w:rPr>
        <w:t>The fair value of RPSUs is estimated on the date of grant using a Monte Carlo simulation model and expensed over the service period, which equals the vesting period. Significant assumptions used in the fair value model with respect to the Company's RPSUs are summarized below:</w:t>
      </w:r>
    </w:p>
    <w:p>
      <w:pPr>
        <w:spacing w:after="0" w:line="52"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6220" w:type="dxa"/>
            <w:vAlign w:val="bottom"/>
          </w:tcPr>
          <w:p>
            <w:pPr>
              <w:spacing w:after="0"/>
              <w:rPr>
                <w:sz w:val="20"/>
                <w:szCs w:val="20"/>
                <w:color w:val="auto"/>
              </w:rPr>
            </w:pPr>
          </w:p>
        </w:tc>
        <w:tc>
          <w:tcPr>
            <w:tcW w:w="1300" w:type="dxa"/>
            <w:vAlign w:val="bottom"/>
            <w:tcBorders>
              <w:bottom w:val="single" w:sz="8" w:color="auto"/>
            </w:tcBorders>
          </w:tcPr>
          <w:p>
            <w:pPr>
              <w:jc w:val="right"/>
              <w:ind w:right="383"/>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0"/>
                <w:szCs w:val="20"/>
                <w:color w:val="auto"/>
              </w:rPr>
            </w:pPr>
          </w:p>
        </w:tc>
        <w:tc>
          <w:tcPr>
            <w:tcW w:w="12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2022</w:t>
            </w:r>
          </w:p>
        </w:tc>
      </w:tr>
      <w:tr>
        <w:trPr>
          <w:trHeight w:val="260"/>
        </w:trPr>
        <w:tc>
          <w:tcPr>
            <w:tcW w:w="6220" w:type="dxa"/>
            <w:vAlign w:val="bottom"/>
          </w:tcPr>
          <w:p>
            <w:pPr>
              <w:spacing w:after="0"/>
              <w:rPr>
                <w:sz w:val="20"/>
                <w:szCs w:val="20"/>
                <w:color w:val="auto"/>
              </w:rPr>
            </w:pPr>
            <w:r>
              <w:rPr>
                <w:rFonts w:ascii="Arial" w:cs="Arial" w:eastAsia="Arial" w:hAnsi="Arial"/>
                <w:sz w:val="20"/>
                <w:szCs w:val="20"/>
                <w:color w:val="auto"/>
                <w:w w:val="90"/>
                <w:shd w:val="clear" w:color="auto" w:fill="E6E6E6"/>
              </w:rPr>
              <w:t xml:space="preserve">Expected volatility </w:t>
            </w:r>
            <w:r>
              <w:rPr>
                <w:rFonts w:ascii="Arial" w:cs="Arial" w:eastAsia="Arial" w:hAnsi="Arial"/>
                <w:sz w:val="20"/>
                <w:szCs w:val="20"/>
                <w:color w:val="B4B4B4"/>
                <w:w w:val="90"/>
                <w:shd w:val="clear" w:color="auto" w:fill="E6E6E6"/>
              </w:rPr>
              <w:t>. . . . . . . . . . . . . . . . . . . . . . . . . . . . . . . . . . . . . . . . . . . . . . .</w:t>
            </w:r>
          </w:p>
        </w:tc>
        <w:tc>
          <w:tcPr>
            <w:tcW w:w="1300" w:type="dxa"/>
            <w:vAlign w:val="bottom"/>
          </w:tcPr>
          <w:p>
            <w:pPr>
              <w:jc w:val="right"/>
              <w:spacing w:after="0"/>
              <w:rPr>
                <w:sz w:val="20"/>
                <w:szCs w:val="20"/>
                <w:color w:val="auto"/>
              </w:rPr>
            </w:pPr>
            <w:r>
              <w:rPr>
                <w:rFonts w:ascii="Arial" w:cs="Arial" w:eastAsia="Arial" w:hAnsi="Arial"/>
                <w:sz w:val="20"/>
                <w:szCs w:val="20"/>
                <w:color w:val="auto"/>
              </w:rPr>
              <w:t>34.46 %</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41.35 %</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37.54 %</w:t>
            </w:r>
          </w:p>
        </w:tc>
      </w:tr>
      <w:tr>
        <w:trPr>
          <w:trHeight w:val="282"/>
        </w:trPr>
        <w:tc>
          <w:tcPr>
            <w:tcW w:w="6220" w:type="dxa"/>
            <w:vAlign w:val="bottom"/>
          </w:tcPr>
          <w:p>
            <w:pPr>
              <w:spacing w:after="0"/>
              <w:rPr>
                <w:sz w:val="20"/>
                <w:szCs w:val="20"/>
                <w:color w:val="auto"/>
              </w:rPr>
            </w:pPr>
            <w:r>
              <w:rPr>
                <w:rFonts w:ascii="Arial" w:cs="Arial" w:eastAsia="Arial" w:hAnsi="Arial"/>
                <w:sz w:val="20"/>
                <w:szCs w:val="20"/>
                <w:color w:val="auto"/>
                <w:w w:val="90"/>
              </w:rPr>
              <w:t xml:space="preserve">Expected term (in years) </w:t>
            </w:r>
            <w:r>
              <w:rPr>
                <w:rFonts w:ascii="Arial" w:cs="Arial" w:eastAsia="Arial" w:hAnsi="Arial"/>
                <w:sz w:val="20"/>
                <w:szCs w:val="20"/>
                <w:color w:val="B4B4B4"/>
                <w:w w:val="90"/>
              </w:rPr>
              <w:t>. . . . . . . . . . . . . . . . . . . . . . . . . . . . . . . . . . . . . . . . . .</w:t>
            </w:r>
          </w:p>
        </w:tc>
        <w:tc>
          <w:tcPr>
            <w:tcW w:w="1300" w:type="dxa"/>
            <w:vAlign w:val="bottom"/>
          </w:tcPr>
          <w:p>
            <w:pPr>
              <w:jc w:val="right"/>
              <w:spacing w:after="0"/>
              <w:rPr>
                <w:sz w:val="20"/>
                <w:szCs w:val="20"/>
                <w:color w:val="auto"/>
              </w:rPr>
            </w:pPr>
            <w:r>
              <w:rPr>
                <w:rFonts w:ascii="Arial" w:cs="Arial" w:eastAsia="Arial" w:hAnsi="Arial"/>
                <w:sz w:val="20"/>
                <w:szCs w:val="20"/>
                <w:color w:val="auto"/>
              </w:rPr>
              <w:t>3</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3</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82"/>
        </w:trPr>
        <w:tc>
          <w:tcPr>
            <w:tcW w:w="6220" w:type="dxa"/>
            <w:vAlign w:val="bottom"/>
          </w:tcPr>
          <w:p>
            <w:pPr>
              <w:spacing w:after="0"/>
              <w:rPr>
                <w:sz w:val="20"/>
                <w:szCs w:val="20"/>
                <w:color w:val="auto"/>
              </w:rPr>
            </w:pPr>
            <w:r>
              <w:rPr>
                <w:rFonts w:ascii="Arial" w:cs="Arial" w:eastAsia="Arial" w:hAnsi="Arial"/>
                <w:sz w:val="20"/>
                <w:szCs w:val="20"/>
                <w:color w:val="auto"/>
                <w:w w:val="90"/>
              </w:rPr>
              <w:t xml:space="preserve">Risk free rate </w:t>
            </w:r>
            <w:r>
              <w:rPr>
                <w:rFonts w:ascii="Arial" w:cs="Arial" w:eastAsia="Arial" w:hAnsi="Arial"/>
                <w:sz w:val="20"/>
                <w:szCs w:val="20"/>
                <w:color w:val="B4B4B4"/>
                <w:w w:val="90"/>
              </w:rPr>
              <w:t>. . . . . . . . . . . . . . . . . . . . . . . . . . . . . . . . . . . . . . . . . . . . . . . . . . .</w:t>
            </w:r>
          </w:p>
        </w:tc>
        <w:tc>
          <w:tcPr>
            <w:tcW w:w="1300" w:type="dxa"/>
            <w:vAlign w:val="bottom"/>
          </w:tcPr>
          <w:p>
            <w:pPr>
              <w:jc w:val="right"/>
              <w:spacing w:after="0"/>
              <w:rPr>
                <w:sz w:val="20"/>
                <w:szCs w:val="20"/>
                <w:color w:val="auto"/>
              </w:rPr>
            </w:pPr>
            <w:r>
              <w:rPr>
                <w:rFonts w:ascii="Arial" w:cs="Arial" w:eastAsia="Arial" w:hAnsi="Arial"/>
                <w:sz w:val="20"/>
                <w:szCs w:val="20"/>
                <w:color w:val="auto"/>
              </w:rPr>
              <w:t>4.05 %</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4.18 %</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0.97 %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-541655</wp:posOffset>
            </wp:positionV>
            <wp:extent cx="2562225" cy="2044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69">
                      <a:extLst>
                        <a:ext uri="{28A0092B-C50C-407E-A947-70E740481C1C}"/>
                      </a:extLst>
                    </a:blip>
                    <a:srcRect/>
                    <a:stretch>
                      <a:fillRect/>
                    </a:stretch>
                  </pic:blipFill>
                  <pic:spPr bwMode="auto">
                    <a:xfrm>
                      <a:off x="0" y="0"/>
                      <a:ext cx="2562225" cy="20447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-183515</wp:posOffset>
            </wp:positionV>
            <wp:extent cx="6550660" cy="2044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70">
                      <a:extLst>
                        <a:ext uri="{28A0092B-C50C-407E-A947-70E740481C1C}"/>
                      </a:extLst>
                    </a:blip>
                    <a:srcRect/>
                    <a:stretch>
                      <a:fillRect/>
                    </a:stretch>
                  </pic:blipFill>
                  <pic:spPr bwMode="auto">
                    <a:xfrm>
                      <a:off x="0" y="0"/>
                      <a:ext cx="6550660" cy="204470"/>
                    </a:xfrm>
                    <a:prstGeom prst="rect">
                      <a:avLst/>
                    </a:prstGeom>
                    <a:noFill/>
                  </pic:spPr>
                </pic:pic>
              </a:graphicData>
            </a:graphic>
          </wp:anchor>
        </w:drawing>
      </w:r>
    </w:p>
    <w:p>
      <w:pPr>
        <w:spacing w:after="0" w:line="149" w:lineRule="exact"/>
        <w:rPr>
          <w:sz w:val="20"/>
          <w:szCs w:val="20"/>
          <w:color w:val="auto"/>
        </w:rPr>
      </w:pPr>
    </w:p>
    <w:p>
      <w:pPr>
        <w:jc w:val="both"/>
        <w:ind w:right="120" w:firstLine="445"/>
        <w:spacing w:after="0" w:line="277" w:lineRule="auto"/>
        <w:rPr>
          <w:sz w:val="20"/>
          <w:szCs w:val="20"/>
          <w:color w:val="auto"/>
        </w:rPr>
      </w:pPr>
      <w:r>
        <w:rPr>
          <w:rFonts w:ascii="Arial" w:cs="Arial" w:eastAsia="Arial" w:hAnsi="Arial"/>
          <w:sz w:val="20"/>
          <w:szCs w:val="20"/>
          <w:color w:val="auto"/>
        </w:rPr>
        <w:t>The expected volatility is calculated based on NRG's historical stock price volatility data over the period commensurate with the expected term of the RPSU, which equals the vesting period.</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NRG Energy, Inc. 2020 Omnibus Incentive Plan (Legacy Vivint)</w:t>
      </w:r>
    </w:p>
    <w:p>
      <w:pPr>
        <w:spacing w:after="0" w:line="130" w:lineRule="exact"/>
        <w:rPr>
          <w:sz w:val="20"/>
          <w:szCs w:val="20"/>
          <w:color w:val="auto"/>
        </w:rPr>
      </w:pPr>
    </w:p>
    <w:p>
      <w:pPr>
        <w:jc w:val="both"/>
        <w:ind w:right="120" w:firstLine="445"/>
        <w:spacing w:after="0" w:line="269" w:lineRule="auto"/>
        <w:rPr>
          <w:sz w:val="20"/>
          <w:szCs w:val="20"/>
          <w:color w:val="auto"/>
        </w:rPr>
      </w:pPr>
      <w:r>
        <w:rPr>
          <w:rFonts w:ascii="Arial" w:cs="Arial" w:eastAsia="Arial" w:hAnsi="Arial"/>
          <w:sz w:val="19"/>
          <w:szCs w:val="19"/>
          <w:color w:val="auto"/>
        </w:rPr>
        <w:t xml:space="preserve">Effective March 10, 2023, in connection with the Vivint Smart Home Acquisition, as discussed in Note 4, </w:t>
      </w:r>
      <w:r>
        <w:rPr>
          <w:rFonts w:ascii="Arial" w:cs="Arial" w:eastAsia="Arial" w:hAnsi="Arial"/>
          <w:sz w:val="19"/>
          <w:szCs w:val="19"/>
          <w:b w:val="1"/>
          <w:bCs w:val="1"/>
          <w:i w:val="1"/>
          <w:iCs w:val="1"/>
          <w:color w:val="auto"/>
        </w:rPr>
        <w:t>Acquisitions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and Dispositions, </w:t>
      </w:r>
      <w:r>
        <w:rPr>
          <w:rFonts w:ascii="Arial" w:cs="Arial" w:eastAsia="Arial" w:hAnsi="Arial"/>
          <w:sz w:val="19"/>
          <w:szCs w:val="19"/>
          <w:color w:val="auto"/>
        </w:rPr>
        <w:t>NRG assumed the NRG Energy, Inc. 2020 Omnibus Incentive Plan (Legacy Vivint) (formerly known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Vivint Smart Home, Inc. Long-Term Incentive Plan) or Vivint LTIP. In addition to the rollover awards converted as part of the Acquisition, the Vivint LTIP provides for issuances of time-based restricted stock units and performance-based restricted stock units. As of December 31, 2024 and 2023, 17,500,000 shares of NRG common stock were authorized for issuance under the Vivint LTIP. There were 12,557,143 and 12,749,736 shares of common stock remaining available for grants under the Vivint LTIP as of December 31, 2024 and 2023, respectively.</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Restricted Stock Units</w:t>
      </w:r>
    </w:p>
    <w:p>
      <w:pPr>
        <w:spacing w:after="0" w:line="134" w:lineRule="exact"/>
        <w:rPr>
          <w:sz w:val="20"/>
          <w:szCs w:val="20"/>
          <w:color w:val="auto"/>
        </w:rPr>
      </w:pPr>
    </w:p>
    <w:p>
      <w:pPr>
        <w:jc w:val="both"/>
        <w:ind w:right="120" w:firstLine="445"/>
        <w:spacing w:after="0" w:line="290" w:lineRule="auto"/>
        <w:rPr>
          <w:sz w:val="20"/>
          <w:szCs w:val="20"/>
          <w:color w:val="auto"/>
        </w:rPr>
      </w:pPr>
      <w:r>
        <w:rPr>
          <w:rFonts w:ascii="Arial" w:cs="Arial" w:eastAsia="Arial" w:hAnsi="Arial"/>
          <w:sz w:val="18"/>
          <w:szCs w:val="18"/>
          <w:color w:val="auto"/>
        </w:rPr>
        <w:t>As of December 31, 2024, RSUs under the Vivint LTIP include RSUs which were granted prior to the Acquisition and were converted into awards that vest as NRG common stock ("Rollover RSUs"). These awards typically had four-year graded vesting schedules beginning on the grant date. The fair value of the Rollover RSUs is based on the fair value of NRG common stock on the Acquisition date after applying the conversion ratio as per the Merger Agreement. The RSUs that were granted following the Acquisition date are typically subject to the same terms as the RSUs under the NRG LTIP.</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summarizes the non-vested RSUs under the Vivint LTIP and changes during the year:</w:t>
      </w: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6"/>
                <w:szCs w:val="16"/>
                <w:b w:val="1"/>
                <w:bCs w:val="1"/>
                <w:color w:val="auto"/>
                <w:w w:val="88"/>
              </w:rPr>
              <w:t>Rollover RSUs</w:t>
            </w:r>
          </w:p>
        </w:tc>
        <w:tc>
          <w:tcPr>
            <w:tcW w:w="8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6"/>
                <w:szCs w:val="16"/>
                <w:b w:val="1"/>
                <w:bCs w:val="1"/>
                <w:color w:val="auto"/>
                <w:w w:val="95"/>
              </w:rPr>
              <w:t>RSUs granted following the Acquisition</w:t>
            </w: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1040" w:type="dxa"/>
            <w:vAlign w:val="bottom"/>
            <w:vMerge w:val="restart"/>
          </w:tcPr>
          <w:p>
            <w:pPr>
              <w:jc w:val="right"/>
              <w:ind w:right="244"/>
              <w:spacing w:after="0"/>
              <w:rPr>
                <w:sz w:val="20"/>
                <w:szCs w:val="20"/>
                <w:color w:val="auto"/>
              </w:rPr>
            </w:pPr>
            <w:r>
              <w:rPr>
                <w:rFonts w:ascii="Arial" w:cs="Arial" w:eastAsia="Arial" w:hAnsi="Arial"/>
                <w:sz w:val="16"/>
                <w:szCs w:val="16"/>
                <w:b w:val="1"/>
                <w:bCs w:val="1"/>
                <w:color w:val="auto"/>
              </w:rPr>
              <w:t>Units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gridSpan w:val="2"/>
          </w:tcPr>
          <w:p>
            <w:pPr>
              <w:jc w:val="right"/>
              <w:ind w:right="21"/>
              <w:spacing w:after="0" w:line="169" w:lineRule="exact"/>
              <w:rPr>
                <w:sz w:val="20"/>
                <w:szCs w:val="20"/>
                <w:color w:val="auto"/>
              </w:rPr>
            </w:pPr>
            <w:r>
              <w:rPr>
                <w:rFonts w:ascii="Arial" w:cs="Arial" w:eastAsia="Arial" w:hAnsi="Arial"/>
                <w:sz w:val="16"/>
                <w:szCs w:val="16"/>
                <w:b w:val="1"/>
                <w:bCs w:val="1"/>
                <w:color w:val="auto"/>
                <w:w w:val="97"/>
              </w:rPr>
              <w:t>Weighted Average Grant</w:t>
            </w:r>
          </w:p>
        </w:tc>
        <w:tc>
          <w:tcPr>
            <w:tcW w:w="60" w:type="dxa"/>
            <w:vAlign w:val="bottom"/>
          </w:tcPr>
          <w:p>
            <w:pPr>
              <w:spacing w:after="0"/>
              <w:rPr>
                <w:sz w:val="14"/>
                <w:szCs w:val="14"/>
                <w:color w:val="auto"/>
              </w:rPr>
            </w:pPr>
          </w:p>
        </w:tc>
        <w:tc>
          <w:tcPr>
            <w:tcW w:w="1060" w:type="dxa"/>
            <w:vAlign w:val="bottom"/>
            <w:vMerge w:val="restart"/>
          </w:tcPr>
          <w:p>
            <w:pPr>
              <w:jc w:val="right"/>
              <w:ind w:right="254"/>
              <w:spacing w:after="0"/>
              <w:rPr>
                <w:sz w:val="20"/>
                <w:szCs w:val="20"/>
                <w:color w:val="auto"/>
              </w:rPr>
            </w:pPr>
            <w:r>
              <w:rPr>
                <w:rFonts w:ascii="Arial" w:cs="Arial" w:eastAsia="Arial" w:hAnsi="Arial"/>
                <w:sz w:val="16"/>
                <w:szCs w:val="16"/>
                <w:b w:val="1"/>
                <w:bCs w:val="1"/>
                <w:color w:val="auto"/>
              </w:rPr>
              <w:t>Units</w:t>
            </w:r>
          </w:p>
        </w:tc>
        <w:tc>
          <w:tcPr>
            <w:tcW w:w="80" w:type="dxa"/>
            <w:vAlign w:val="bottom"/>
          </w:tcPr>
          <w:p>
            <w:pPr>
              <w:spacing w:after="0"/>
              <w:rPr>
                <w:sz w:val="14"/>
                <w:szCs w:val="14"/>
                <w:color w:val="auto"/>
              </w:rPr>
            </w:pPr>
          </w:p>
        </w:tc>
        <w:tc>
          <w:tcPr>
            <w:tcW w:w="1940" w:type="dxa"/>
            <w:vAlign w:val="bottom"/>
            <w:gridSpan w:val="2"/>
          </w:tcPr>
          <w:p>
            <w:pPr>
              <w:jc w:val="right"/>
              <w:ind w:right="21"/>
              <w:spacing w:after="0" w:line="169" w:lineRule="exact"/>
              <w:rPr>
                <w:sz w:val="20"/>
                <w:szCs w:val="20"/>
                <w:color w:val="auto"/>
              </w:rPr>
            </w:pPr>
            <w:r>
              <w:rPr>
                <w:rFonts w:ascii="Arial" w:cs="Arial" w:eastAsia="Arial" w:hAnsi="Arial"/>
                <w:sz w:val="16"/>
                <w:szCs w:val="16"/>
                <w:b w:val="1"/>
                <w:bCs w:val="1"/>
                <w:color w:val="auto"/>
                <w:w w:val="96"/>
              </w:rPr>
              <w:t>Weighted Average Grant</w:t>
            </w: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6"/>
                <w:szCs w:val="16"/>
                <w:b w:val="1"/>
                <w:bCs w:val="1"/>
                <w:color w:val="auto"/>
                <w:w w:val="99"/>
              </w:rPr>
              <w:t>Date Fair Value per Unit</w:t>
            </w:r>
          </w:p>
        </w:tc>
        <w:tc>
          <w:tcPr>
            <w:tcW w:w="60" w:type="dxa"/>
            <w:vAlign w:val="bottom"/>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b w:val="1"/>
                <w:bCs w:val="1"/>
                <w:color w:val="auto"/>
                <w:w w:val="99"/>
              </w:rPr>
              <w:t>Date Fair Value per Unit</w:t>
            </w:r>
          </w:p>
        </w:tc>
        <w:tc>
          <w:tcPr>
            <w:tcW w:w="0" w:type="dxa"/>
            <w:vAlign w:val="bottom"/>
          </w:tcPr>
          <w:p>
            <w:pPr>
              <w:spacing w:after="0"/>
              <w:rPr>
                <w:sz w:val="1"/>
                <w:szCs w:val="1"/>
                <w:color w:val="auto"/>
              </w:rPr>
            </w:pPr>
          </w:p>
        </w:tc>
      </w:tr>
      <w:tr>
        <w:trPr>
          <w:trHeight w:val="275"/>
        </w:trPr>
        <w:tc>
          <w:tcPr>
            <w:tcW w:w="3880" w:type="dxa"/>
            <w:vAlign w:val="bottom"/>
          </w:tcPr>
          <w:p>
            <w:pPr>
              <w:jc w:val="right"/>
              <w:spacing w:after="0"/>
              <w:rPr>
                <w:sz w:val="20"/>
                <w:szCs w:val="20"/>
                <w:color w:val="auto"/>
              </w:rPr>
            </w:pPr>
            <w:r>
              <w:rPr>
                <w:rFonts w:ascii="Arial" w:cs="Arial" w:eastAsia="Arial" w:hAnsi="Arial"/>
                <w:sz w:val="20"/>
                <w:szCs w:val="20"/>
                <w:color w:val="auto"/>
                <w:w w:val="88"/>
              </w:rPr>
              <w:t xml:space="preserve">Non-vested at December 31, 2023 </w:t>
            </w:r>
            <w:r>
              <w:rPr>
                <w:rFonts w:ascii="Arial" w:cs="Arial" w:eastAsia="Arial" w:hAnsi="Arial"/>
                <w:sz w:val="20"/>
                <w:szCs w:val="20"/>
                <w:color w:val="B4B4B4"/>
                <w:w w:val="88"/>
              </w:rPr>
              <w:t>. . . .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2,984,901</w:t>
            </w:r>
          </w:p>
        </w:tc>
        <w:tc>
          <w:tcPr>
            <w:tcW w:w="1240" w:type="dxa"/>
            <w:vAlign w:val="bottom"/>
            <w:gridSpan w:val="3"/>
          </w:tcPr>
          <w:p>
            <w:pPr>
              <w:jc w:val="right"/>
              <w:ind w:right="92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31.63</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780,298</w:t>
            </w:r>
          </w:p>
        </w:tc>
        <w:tc>
          <w:tcPr>
            <w:tcW w:w="860" w:type="dxa"/>
            <w:vAlign w:val="bottom"/>
            <w:gridSpan w:val="2"/>
          </w:tcPr>
          <w:p>
            <w:pPr>
              <w:jc w:val="right"/>
              <w:ind w:right="56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35.24</w:t>
            </w:r>
          </w:p>
        </w:tc>
        <w:tc>
          <w:tcPr>
            <w:tcW w:w="0" w:type="dxa"/>
            <w:vAlign w:val="bottom"/>
          </w:tcPr>
          <w:p>
            <w:pPr>
              <w:spacing w:after="0"/>
              <w:rPr>
                <w:sz w:val="1"/>
                <w:szCs w:val="1"/>
                <w:color w:val="auto"/>
              </w:rPr>
            </w:pPr>
          </w:p>
        </w:tc>
      </w:tr>
      <w:tr>
        <w:trPr>
          <w:trHeight w:val="297"/>
        </w:trPr>
        <w:tc>
          <w:tcPr>
            <w:tcW w:w="3880" w:type="dxa"/>
            <w:vAlign w:val="bottom"/>
          </w:tcPr>
          <w:p>
            <w:pPr>
              <w:jc w:val="right"/>
              <w:spacing w:after="0"/>
              <w:rPr>
                <w:sz w:val="20"/>
                <w:szCs w:val="20"/>
                <w:color w:val="auto"/>
              </w:rPr>
            </w:pPr>
            <w:r>
              <w:rPr>
                <w:rFonts w:ascii="Arial" w:cs="Arial" w:eastAsia="Arial" w:hAnsi="Arial"/>
                <w:sz w:val="20"/>
                <w:szCs w:val="20"/>
                <w:color w:val="auto"/>
                <w:w w:val="94"/>
              </w:rPr>
              <w:t xml:space="preserve">Granted following the Acquisition date </w:t>
            </w:r>
            <w:r>
              <w:rPr>
                <w:rFonts w:ascii="Arial" w:cs="Arial" w:eastAsia="Arial" w:hAnsi="Arial"/>
                <w:sz w:val="20"/>
                <w:szCs w:val="20"/>
                <w:color w:val="B4B4B4"/>
                <w:w w:val="94"/>
              </w:rPr>
              <w:t>. . . . . .</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800,032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56.02</w:t>
            </w:r>
          </w:p>
        </w:tc>
        <w:tc>
          <w:tcPr>
            <w:tcW w:w="0" w:type="dxa"/>
            <w:vAlign w:val="bottom"/>
          </w:tcPr>
          <w:p>
            <w:pPr>
              <w:spacing w:after="0"/>
              <w:rPr>
                <w:sz w:val="1"/>
                <w:szCs w:val="1"/>
                <w:color w:val="auto"/>
              </w:rPr>
            </w:pPr>
          </w:p>
        </w:tc>
      </w:tr>
      <w:tr>
        <w:trPr>
          <w:trHeight w:val="297"/>
        </w:trPr>
        <w:tc>
          <w:tcPr>
            <w:tcW w:w="3880" w:type="dxa"/>
            <w:vAlign w:val="bottom"/>
          </w:tcPr>
          <w:p>
            <w:pPr>
              <w:jc w:val="right"/>
              <w:spacing w:after="0"/>
              <w:rPr>
                <w:sz w:val="20"/>
                <w:szCs w:val="20"/>
                <w:color w:val="auto"/>
              </w:rPr>
            </w:pPr>
            <w:r>
              <w:rPr>
                <w:rFonts w:ascii="Arial" w:cs="Arial" w:eastAsia="Arial" w:hAnsi="Arial"/>
                <w:sz w:val="20"/>
                <w:szCs w:val="20"/>
                <w:color w:val="auto"/>
                <w:w w:val="92"/>
              </w:rPr>
              <w:t xml:space="preserve">Forfeited </w:t>
            </w:r>
            <w:r>
              <w:rPr>
                <w:rFonts w:ascii="Arial" w:cs="Arial" w:eastAsia="Arial" w:hAnsi="Arial"/>
                <w:sz w:val="20"/>
                <w:szCs w:val="20"/>
                <w:color w:val="B4B4B4"/>
                <w:w w:val="92"/>
              </w:rPr>
              <w:t>. . . . . . . . . . . . . . . . . . . . . . .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(194,314)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31.63</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(82,973)</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41.38</w:t>
            </w:r>
          </w:p>
        </w:tc>
        <w:tc>
          <w:tcPr>
            <w:tcW w:w="0" w:type="dxa"/>
            <w:vAlign w:val="bottom"/>
          </w:tcPr>
          <w:p>
            <w:pPr>
              <w:spacing w:after="0"/>
              <w:rPr>
                <w:sz w:val="1"/>
                <w:szCs w:val="1"/>
                <w:color w:val="auto"/>
              </w:rPr>
            </w:pPr>
          </w:p>
        </w:tc>
      </w:tr>
      <w:tr>
        <w:trPr>
          <w:trHeight w:val="299"/>
        </w:trPr>
        <w:tc>
          <w:tcPr>
            <w:tcW w:w="3880" w:type="dxa"/>
            <w:vAlign w:val="bottom"/>
          </w:tcPr>
          <w:p>
            <w:pPr>
              <w:jc w:val="right"/>
              <w:spacing w:after="0"/>
              <w:rPr>
                <w:sz w:val="20"/>
                <w:szCs w:val="20"/>
                <w:color w:val="auto"/>
              </w:rPr>
            </w:pPr>
            <w:r>
              <w:rPr>
                <w:rFonts w:ascii="Arial" w:cs="Arial" w:eastAsia="Arial" w:hAnsi="Arial"/>
                <w:sz w:val="20"/>
                <w:szCs w:val="20"/>
                <w:color w:val="auto"/>
                <w:w w:val="93"/>
              </w:rPr>
              <w:t xml:space="preserve">Vested </w:t>
            </w:r>
            <w:r>
              <w:rPr>
                <w:rFonts w:ascii="Arial" w:cs="Arial" w:eastAsia="Arial" w:hAnsi="Arial"/>
                <w:sz w:val="20"/>
                <w:szCs w:val="20"/>
                <w:color w:val="B4B4B4"/>
                <w:w w:val="93"/>
              </w:rPr>
              <w:t>. . . . . . . . . . . . . . . . . . . . . . . . . . . . . .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(1,440,844)</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31.63</w:t>
            </w:r>
          </w:p>
        </w:tc>
        <w:tc>
          <w:tcPr>
            <w:tcW w:w="6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(318,774)</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39.52</w:t>
            </w:r>
          </w:p>
        </w:tc>
        <w:tc>
          <w:tcPr>
            <w:tcW w:w="0" w:type="dxa"/>
            <w:vAlign w:val="bottom"/>
          </w:tcPr>
          <w:p>
            <w:pPr>
              <w:spacing w:after="0"/>
              <w:rPr>
                <w:sz w:val="1"/>
                <w:szCs w:val="1"/>
                <w:color w:val="auto"/>
              </w:rPr>
            </w:pPr>
          </w:p>
        </w:tc>
      </w:tr>
      <w:tr>
        <w:trPr>
          <w:trHeight w:val="257"/>
        </w:trPr>
        <w:tc>
          <w:tcPr>
            <w:tcW w:w="3880" w:type="dxa"/>
            <w:vAlign w:val="bottom"/>
          </w:tcPr>
          <w:p>
            <w:pPr>
              <w:jc w:val="right"/>
              <w:spacing w:after="0"/>
              <w:rPr>
                <w:sz w:val="20"/>
                <w:szCs w:val="20"/>
                <w:color w:val="auto"/>
              </w:rPr>
            </w:pPr>
            <w:r>
              <w:rPr>
                <w:rFonts w:ascii="Arial" w:cs="Arial" w:eastAsia="Arial" w:hAnsi="Arial"/>
                <w:sz w:val="20"/>
                <w:szCs w:val="20"/>
                <w:b w:val="1"/>
                <w:bCs w:val="1"/>
                <w:color w:val="auto"/>
                <w:w w:val="88"/>
              </w:rPr>
              <w:t xml:space="preserve">Non-vested at December 31, 2024 </w:t>
            </w:r>
            <w:r>
              <w:rPr>
                <w:rFonts w:ascii="Arial" w:cs="Arial" w:eastAsia="Arial" w:hAnsi="Arial"/>
                <w:sz w:val="20"/>
                <w:szCs w:val="20"/>
                <w:b w:val="1"/>
                <w:bCs w:val="1"/>
                <w:color w:val="B4B4B4"/>
                <w:w w:val="88"/>
              </w:rPr>
              <w:t>. . .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1,349,743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31.63</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1,178,583</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47.19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-974090</wp:posOffset>
            </wp:positionV>
            <wp:extent cx="6475095" cy="9810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71">
                      <a:extLst>
                        <a:ext uri="{28A0092B-C50C-407E-A947-70E740481C1C}"/>
                      </a:extLst>
                    </a:blip>
                    <a:srcRect/>
                    <a:stretch>
                      <a:fillRect/>
                    </a:stretch>
                  </pic:blipFill>
                  <pic:spPr bwMode="auto">
                    <a:xfrm>
                      <a:off x="0" y="0"/>
                      <a:ext cx="6475095" cy="981075"/>
                    </a:xfrm>
                    <a:prstGeom prst="rect">
                      <a:avLst/>
                    </a:prstGeom>
                    <a:noFill/>
                  </pic:spPr>
                </pic:pic>
              </a:graphicData>
            </a:graphic>
          </wp:anchor>
        </w:drawing>
      </w:r>
    </w:p>
    <w:p>
      <w:pPr>
        <w:spacing w:after="0" w:line="107" w:lineRule="exact"/>
        <w:rPr>
          <w:sz w:val="20"/>
          <w:szCs w:val="20"/>
          <w:color w:val="auto"/>
        </w:rPr>
      </w:pPr>
    </w:p>
    <w:p>
      <w:pPr>
        <w:jc w:val="both"/>
        <w:ind w:right="120" w:firstLine="445"/>
        <w:spacing w:after="0" w:line="262" w:lineRule="auto"/>
        <w:rPr>
          <w:sz w:val="20"/>
          <w:szCs w:val="20"/>
          <w:color w:val="auto"/>
        </w:rPr>
      </w:pPr>
      <w:r>
        <w:rPr>
          <w:rFonts w:ascii="Arial" w:cs="Arial" w:eastAsia="Arial" w:hAnsi="Arial"/>
          <w:sz w:val="20"/>
          <w:szCs w:val="20"/>
          <w:color w:val="auto"/>
        </w:rPr>
        <w:t>The total fair value of RSUs vested during the years ended December 31, 2024 and 2023 was $159 million and $66 million, respectively. The weighted average grant date fair value of RSUs granted during the years ended December 31, 2024 and 2023 was $56.02 and $35.24, respectively.</w:t>
      </w:r>
    </w:p>
    <w:p>
      <w:pPr>
        <w:sectPr>
          <w:pgSz w:w="11880" w:h="15480" w:orient="portrait"/>
          <w:cols w:equalWidth="0" w:num="1">
            <w:col w:w="10280"/>
          </w:cols>
          <w:pgMar w:left="860" w:top="51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155</w:t>
      </w:r>
    </w:p>
    <w:p>
      <w:pPr>
        <w:sectPr>
          <w:pgSz w:w="11880" w:h="15480" w:orient="portrait"/>
          <w:cols w:equalWidth="0" w:num="1">
            <w:col w:w="10280"/>
          </w:cols>
          <w:pgMar w:left="860" w:top="512" w:right="740" w:bottom="0" w:gutter="0" w:footer="0" w:header="0"/>
          <w:type w:val="continuous"/>
        </w:sectPr>
      </w:pPr>
    </w:p>
    <w:bookmarkStart w:id="157" w:name="page158"/>
    <w:bookmarkEnd w:id="157"/>
    <w:p>
      <w:pPr>
        <w:ind w:left="440"/>
        <w:spacing w:after="0"/>
        <w:rPr>
          <w:sz w:val="20"/>
          <w:szCs w:val="20"/>
          <w:color w:val="auto"/>
        </w:rPr>
      </w:pPr>
      <w:r>
        <w:rPr>
          <w:rFonts w:ascii="Arial" w:cs="Arial" w:eastAsia="Arial" w:hAnsi="Arial"/>
          <w:sz w:val="20"/>
          <w:szCs w:val="20"/>
          <w:b w:val="1"/>
          <w:bCs w:val="1"/>
          <w:i w:val="1"/>
          <w:iCs w:val="1"/>
          <w:color w:val="auto"/>
        </w:rPr>
        <w:t>Relative Performance Stock Units</w:t>
      </w:r>
    </w:p>
    <w:p>
      <w:pPr>
        <w:spacing w:after="0" w:line="134"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9"/>
          <w:szCs w:val="19"/>
          <w:color w:val="auto"/>
        </w:rPr>
        <w:t>As of December 31, 2024 and 2023, RPSUs granted under the Vivint LTIP are generally granted under the same terms as the RPSUs granted under the NRG LTIP, and are valued using the same methods and assumptions. The following table summarizes the Company's non-vested RPSUs under the Vivint LTIP and changes during the year:</w:t>
      </w:r>
    </w:p>
    <w:tbl>
      <w:tblPr>
        <w:tblLayout w:type="fixed"/>
        <w:tblInd w:w="60" w:type="dxa"/>
        <w:tblCellMar>
          <w:top w:w="0" w:type="dxa"/>
          <w:left w:w="0" w:type="dxa"/>
          <w:bottom w:w="0" w:type="dxa"/>
          <w:right w:w="0" w:type="dxa"/>
        </w:tblCellMar>
      </w:tblPr>
      <w:tr>
        <w:trPr>
          <w:trHeight w:val="183"/>
        </w:trPr>
        <w:tc>
          <w:tcPr>
            <w:tcW w:w="6780" w:type="dxa"/>
            <w:vAlign w:val="bottom"/>
          </w:tcPr>
          <w:p>
            <w:pPr>
              <w:spacing w:after="0"/>
              <w:rPr>
                <w:sz w:val="15"/>
                <w:szCs w:val="15"/>
                <w:color w:val="auto"/>
              </w:rPr>
            </w:pPr>
          </w:p>
        </w:tc>
        <w:tc>
          <w:tcPr>
            <w:tcW w:w="1300" w:type="dxa"/>
            <w:vAlign w:val="bottom"/>
            <w:vMerge w:val="restart"/>
          </w:tcPr>
          <w:p>
            <w:pPr>
              <w:jc w:val="right"/>
              <w:ind w:right="364"/>
              <w:spacing w:after="0"/>
              <w:rPr>
                <w:sz w:val="20"/>
                <w:szCs w:val="20"/>
                <w:color w:val="auto"/>
              </w:rPr>
            </w:pPr>
            <w:r>
              <w:rPr>
                <w:rFonts w:ascii="Arial" w:cs="Arial" w:eastAsia="Arial" w:hAnsi="Arial"/>
                <w:sz w:val="16"/>
                <w:szCs w:val="16"/>
                <w:b w:val="1"/>
                <w:bCs w:val="1"/>
                <w:color w:val="auto"/>
              </w:rPr>
              <w:t>Units</w:t>
            </w:r>
          </w:p>
        </w:tc>
        <w:tc>
          <w:tcPr>
            <w:tcW w:w="80" w:type="dxa"/>
            <w:vAlign w:val="bottom"/>
          </w:tcPr>
          <w:p>
            <w:pPr>
              <w:spacing w:after="0"/>
              <w:rPr>
                <w:sz w:val="15"/>
                <w:szCs w:val="15"/>
                <w:color w:val="auto"/>
              </w:rPr>
            </w:pPr>
          </w:p>
        </w:tc>
        <w:tc>
          <w:tcPr>
            <w:tcW w:w="1940" w:type="dxa"/>
            <w:vAlign w:val="bottom"/>
            <w:gridSpan w:val="2"/>
          </w:tcPr>
          <w:p>
            <w:pPr>
              <w:jc w:val="right"/>
              <w:ind w:right="21"/>
              <w:spacing w:after="0" w:line="183" w:lineRule="exact"/>
              <w:rPr>
                <w:sz w:val="20"/>
                <w:szCs w:val="20"/>
                <w:color w:val="auto"/>
              </w:rPr>
            </w:pPr>
            <w:r>
              <w:rPr>
                <w:rFonts w:ascii="Arial" w:cs="Arial" w:eastAsia="Arial" w:hAnsi="Arial"/>
                <w:sz w:val="16"/>
                <w:szCs w:val="16"/>
                <w:b w:val="1"/>
                <w:bCs w:val="1"/>
                <w:color w:val="auto"/>
                <w:w w:val="96"/>
              </w:rPr>
              <w:t>Weighted Average Grant</w:t>
            </w:r>
          </w:p>
        </w:tc>
        <w:tc>
          <w:tcPr>
            <w:tcW w:w="0" w:type="dxa"/>
            <w:vAlign w:val="bottom"/>
          </w:tcPr>
          <w:p>
            <w:pPr>
              <w:spacing w:after="0"/>
              <w:rPr>
                <w:sz w:val="1"/>
                <w:szCs w:val="1"/>
                <w:color w:val="auto"/>
              </w:rPr>
            </w:pPr>
          </w:p>
        </w:tc>
      </w:tr>
      <w:tr>
        <w:trPr>
          <w:trHeight w:val="212"/>
        </w:trPr>
        <w:tc>
          <w:tcPr>
            <w:tcW w:w="678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b w:val="1"/>
                <w:bCs w:val="1"/>
                <w:color w:val="auto"/>
                <w:w w:val="99"/>
              </w:rPr>
              <w:t>Date Fair Value per Unit</w:t>
            </w:r>
          </w:p>
        </w:tc>
        <w:tc>
          <w:tcPr>
            <w:tcW w:w="0" w:type="dxa"/>
            <w:vAlign w:val="bottom"/>
          </w:tcPr>
          <w:p>
            <w:pPr>
              <w:spacing w:after="0"/>
              <w:rPr>
                <w:sz w:val="1"/>
                <w:szCs w:val="1"/>
                <w:color w:val="auto"/>
              </w:rPr>
            </w:pPr>
          </w:p>
        </w:tc>
      </w:tr>
      <w:tr>
        <w:trPr>
          <w:trHeight w:val="275"/>
        </w:trPr>
        <w:tc>
          <w:tcPr>
            <w:tcW w:w="6780" w:type="dxa"/>
            <w:vAlign w:val="bottom"/>
          </w:tcPr>
          <w:p>
            <w:pPr>
              <w:jc w:val="right"/>
              <w:spacing w:after="0"/>
              <w:rPr>
                <w:sz w:val="20"/>
                <w:szCs w:val="20"/>
                <w:color w:val="auto"/>
              </w:rPr>
            </w:pPr>
            <w:r>
              <w:rPr>
                <w:rFonts w:ascii="Arial" w:cs="Arial" w:eastAsia="Arial" w:hAnsi="Arial"/>
                <w:sz w:val="20"/>
                <w:szCs w:val="20"/>
                <w:color w:val="auto"/>
                <w:w w:val="89"/>
              </w:rPr>
              <w:t xml:space="preserve">Non-vested at December 31, 2023 </w:t>
            </w:r>
            <w:r>
              <w:rPr>
                <w:rFonts w:ascii="Arial" w:cs="Arial" w:eastAsia="Arial" w:hAnsi="Arial"/>
                <w:sz w:val="20"/>
                <w:szCs w:val="20"/>
                <w:color w:val="B4B4B4"/>
                <w:w w:val="89"/>
              </w:rPr>
              <w:t>. . . . . . . . . . . . . . . . . . . . . . . . . . . . . . . . . . . . . . . .</w:t>
            </w:r>
          </w:p>
        </w:tc>
        <w:tc>
          <w:tcPr>
            <w:tcW w:w="1300" w:type="dxa"/>
            <w:vAlign w:val="bottom"/>
          </w:tcPr>
          <w:p>
            <w:pPr>
              <w:jc w:val="right"/>
              <w:spacing w:after="0"/>
              <w:rPr>
                <w:sz w:val="20"/>
                <w:szCs w:val="20"/>
                <w:color w:val="auto"/>
              </w:rPr>
            </w:pPr>
            <w:r>
              <w:rPr>
                <w:rFonts w:ascii="Arial" w:cs="Arial" w:eastAsia="Arial" w:hAnsi="Arial"/>
                <w:sz w:val="20"/>
                <w:szCs w:val="20"/>
                <w:color w:val="auto"/>
              </w:rPr>
              <w:t>102,837</w:t>
            </w:r>
          </w:p>
        </w:tc>
        <w:tc>
          <w:tcPr>
            <w:tcW w:w="860" w:type="dxa"/>
            <w:vAlign w:val="bottom"/>
            <w:gridSpan w:val="2"/>
          </w:tcPr>
          <w:p>
            <w:pPr>
              <w:jc w:val="right"/>
              <w:ind w:right="56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44.96</w:t>
            </w:r>
          </w:p>
        </w:tc>
        <w:tc>
          <w:tcPr>
            <w:tcW w:w="0" w:type="dxa"/>
            <w:vAlign w:val="bottom"/>
          </w:tcPr>
          <w:p>
            <w:pPr>
              <w:spacing w:after="0"/>
              <w:rPr>
                <w:sz w:val="1"/>
                <w:szCs w:val="1"/>
                <w:color w:val="auto"/>
              </w:rPr>
            </w:pPr>
          </w:p>
        </w:tc>
      </w:tr>
      <w:tr>
        <w:trPr>
          <w:trHeight w:val="297"/>
        </w:trPr>
        <w:tc>
          <w:tcPr>
            <w:tcW w:w="6780" w:type="dxa"/>
            <w:vAlign w:val="bottom"/>
          </w:tcPr>
          <w:p>
            <w:pPr>
              <w:jc w:val="right"/>
              <w:spacing w:after="0"/>
              <w:rPr>
                <w:sz w:val="20"/>
                <w:szCs w:val="20"/>
                <w:color w:val="auto"/>
              </w:rPr>
            </w:pPr>
            <w:r>
              <w:rPr>
                <w:rFonts w:ascii="Arial" w:cs="Arial" w:eastAsia="Arial" w:hAnsi="Arial"/>
                <w:sz w:val="20"/>
                <w:szCs w:val="20"/>
                <w:color w:val="auto"/>
                <w:w w:val="90"/>
              </w:rPr>
              <w:t xml:space="preserve">Granted </w:t>
            </w:r>
            <w:r>
              <w:rPr>
                <w:rFonts w:ascii="Arial" w:cs="Arial" w:eastAsia="Arial" w:hAnsi="Arial"/>
                <w:sz w:val="20"/>
                <w:szCs w:val="20"/>
                <w:color w:val="B4B4B4"/>
                <w:w w:val="90"/>
              </w:rPr>
              <w:t>. . . . . . . . . . . . . . . . . . . . . . . . . . . . . . . . . . . . . . . . . . . . . . . . . . . . . . . . . . . .</w:t>
            </w:r>
          </w:p>
        </w:tc>
        <w:tc>
          <w:tcPr>
            <w:tcW w:w="1300" w:type="dxa"/>
            <w:vAlign w:val="bottom"/>
          </w:tcPr>
          <w:p>
            <w:pPr>
              <w:jc w:val="right"/>
              <w:spacing w:after="0"/>
              <w:rPr>
                <w:sz w:val="20"/>
                <w:szCs w:val="20"/>
                <w:color w:val="auto"/>
              </w:rPr>
            </w:pPr>
            <w:r>
              <w:rPr>
                <w:rFonts w:ascii="Arial" w:cs="Arial" w:eastAsia="Arial" w:hAnsi="Arial"/>
                <w:sz w:val="20"/>
                <w:szCs w:val="20"/>
                <w:color w:val="auto"/>
              </w:rPr>
              <w:t>71,568</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66.44</w:t>
            </w:r>
          </w:p>
        </w:tc>
        <w:tc>
          <w:tcPr>
            <w:tcW w:w="0" w:type="dxa"/>
            <w:vAlign w:val="bottom"/>
          </w:tcPr>
          <w:p>
            <w:pPr>
              <w:spacing w:after="0"/>
              <w:rPr>
                <w:sz w:val="1"/>
                <w:szCs w:val="1"/>
                <w:color w:val="auto"/>
              </w:rPr>
            </w:pPr>
          </w:p>
        </w:tc>
      </w:tr>
      <w:tr>
        <w:trPr>
          <w:trHeight w:val="297"/>
        </w:trPr>
        <w:tc>
          <w:tcPr>
            <w:tcW w:w="6780" w:type="dxa"/>
            <w:vAlign w:val="bottom"/>
          </w:tcPr>
          <w:p>
            <w:pPr>
              <w:jc w:val="right"/>
              <w:spacing w:after="0"/>
              <w:rPr>
                <w:sz w:val="20"/>
                <w:szCs w:val="20"/>
                <w:color w:val="auto"/>
              </w:rPr>
            </w:pPr>
            <w:r>
              <w:rPr>
                <w:rFonts w:ascii="Arial" w:cs="Arial" w:eastAsia="Arial" w:hAnsi="Arial"/>
                <w:sz w:val="20"/>
                <w:szCs w:val="20"/>
                <w:color w:val="auto"/>
                <w:w w:val="91"/>
              </w:rPr>
              <w:t xml:space="preserve">Forfeited </w:t>
            </w:r>
            <w:r>
              <w:rPr>
                <w:rFonts w:ascii="Arial" w:cs="Arial" w:eastAsia="Arial" w:hAnsi="Arial"/>
                <w:sz w:val="20"/>
                <w:szCs w:val="20"/>
                <w:color w:val="B4B4B4"/>
                <w:w w:val="91"/>
              </w:rPr>
              <w:t>. . . . . . . . . . . . . . . . . . . . . . . . . . . . . . . . . . . . . . . . . . . . . . . . . . . . . . . . . . .</w:t>
            </w: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9"/>
        </w:trPr>
        <w:tc>
          <w:tcPr>
            <w:tcW w:w="6780" w:type="dxa"/>
            <w:vAlign w:val="bottom"/>
          </w:tcPr>
          <w:p>
            <w:pPr>
              <w:jc w:val="right"/>
              <w:spacing w:after="0"/>
              <w:rPr>
                <w:sz w:val="20"/>
                <w:szCs w:val="20"/>
                <w:color w:val="auto"/>
              </w:rPr>
            </w:pPr>
            <w:r>
              <w:rPr>
                <w:rFonts w:ascii="Arial" w:cs="Arial" w:eastAsia="Arial" w:hAnsi="Arial"/>
                <w:sz w:val="20"/>
                <w:szCs w:val="20"/>
                <w:color w:val="auto"/>
                <w:w w:val="90"/>
              </w:rPr>
              <w:t xml:space="preserve">Vested </w:t>
            </w:r>
            <w:r>
              <w:rPr>
                <w:rFonts w:ascii="Arial" w:cs="Arial" w:eastAsia="Arial" w:hAnsi="Arial"/>
                <w:sz w:val="20"/>
                <w:szCs w:val="20"/>
                <w:color w:val="B4B4B4"/>
                <w:w w:val="90"/>
              </w:rPr>
              <w:t>. . . . . . . . . . . . . . . . . . . . . . . . . . . . . . . . . . . . . . . . . . . . . . . . . . . . . . . . . . . .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7"/>
        </w:trPr>
        <w:tc>
          <w:tcPr>
            <w:tcW w:w="678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Non-vested at December 31, 2024 </w:t>
            </w:r>
            <w:r>
              <w:rPr>
                <w:rFonts w:ascii="Arial" w:cs="Arial" w:eastAsia="Arial" w:hAnsi="Arial"/>
                <w:sz w:val="20"/>
                <w:szCs w:val="20"/>
                <w:b w:val="1"/>
                <w:bCs w:val="1"/>
                <w:color w:val="B4B4B4"/>
                <w:w w:val="89"/>
              </w:rPr>
              <w:t>. . . . . . . . . . . . . . . . . . . . . . . . . . . . . . . . . . . . . .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174,405</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53.63</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-974090</wp:posOffset>
            </wp:positionV>
            <wp:extent cx="6475095" cy="9810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72">
                      <a:extLst>
                        <a:ext uri="{28A0092B-C50C-407E-A947-70E740481C1C}"/>
                      </a:extLst>
                    </a:blip>
                    <a:srcRect/>
                    <a:stretch>
                      <a:fillRect/>
                    </a:stretch>
                  </pic:blipFill>
                  <pic:spPr bwMode="auto">
                    <a:xfrm>
                      <a:off x="0" y="0"/>
                      <a:ext cx="6475095" cy="981075"/>
                    </a:xfrm>
                    <a:prstGeom prst="rect">
                      <a:avLst/>
                    </a:prstGeom>
                    <a:noFill/>
                  </pic:spPr>
                </pic:pic>
              </a:graphicData>
            </a:graphic>
          </wp:anchor>
        </w:drawing>
      </w:r>
    </w:p>
    <w:p>
      <w:pPr>
        <w:spacing w:after="0" w:line="107" w:lineRule="exact"/>
        <w:rPr>
          <w:sz w:val="20"/>
          <w:szCs w:val="20"/>
          <w:color w:val="auto"/>
        </w:rPr>
      </w:pPr>
    </w:p>
    <w:p>
      <w:pPr>
        <w:jc w:val="both"/>
        <w:ind w:firstLine="445"/>
        <w:spacing w:after="0" w:line="335" w:lineRule="auto"/>
        <w:rPr>
          <w:sz w:val="20"/>
          <w:szCs w:val="20"/>
          <w:color w:val="auto"/>
        </w:rPr>
      </w:pPr>
      <w:r>
        <w:rPr>
          <w:rFonts w:ascii="Arial" w:cs="Arial" w:eastAsia="Arial" w:hAnsi="Arial"/>
          <w:sz w:val="18"/>
          <w:szCs w:val="18"/>
          <w:color w:val="auto"/>
        </w:rPr>
        <w:t>There were no RPSUs vested during the year ended December 31, 2024 and 2023. The weighted average grant date fair value of RPSUs granted during the years ended December 31, 2024 and 2023 was $66.44 and $44.96, respectively.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Supplemental Information</w:t>
      </w:r>
    </w:p>
    <w:p>
      <w:pPr>
        <w:spacing w:after="0" w:line="134"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9"/>
          <w:szCs w:val="19"/>
          <w:color w:val="auto"/>
        </w:rPr>
        <w:t>The following table summarizes NRG's total compensation expense recognized for the years presented, as well as total non-vested compensation costs not yet recognized and the period over which this expense is expected to be recognized as of December 31, 2024, for each of the types of awards issued under the LTIPs. Minimum tax withholdings of $50 million, $22 million, and $6 million for the years ended December 31, 2024, 2023, and 2022, respectively, are reflected as a reduction to additional paid-in capital on the Company's consolidated balance sheets.</w:t>
      </w:r>
    </w:p>
    <w:p>
      <w:pPr>
        <w:spacing w:after="0" w:line="4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6"/>
                <w:szCs w:val="16"/>
                <w:b w:val="1"/>
                <w:bCs w:val="1"/>
                <w:color w:val="auto"/>
              </w:rPr>
              <w:t>Non-vested Compensation Cost</w:t>
            </w: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vMerge w:val="restart"/>
          </w:tcPr>
          <w:p>
            <w:pPr>
              <w:jc w:val="center"/>
              <w:ind w:right="89"/>
              <w:spacing w:after="0"/>
              <w:rPr>
                <w:sz w:val="20"/>
                <w:szCs w:val="20"/>
                <w:color w:val="auto"/>
              </w:rPr>
            </w:pPr>
            <w:r>
              <w:rPr>
                <w:rFonts w:ascii="Arial" w:cs="Arial" w:eastAsia="Arial" w:hAnsi="Arial"/>
                <w:sz w:val="16"/>
                <w:szCs w:val="16"/>
                <w:b w:val="1"/>
                <w:bCs w:val="1"/>
                <w:color w:val="auto"/>
                <w:w w:val="86"/>
              </w:rPr>
              <w:t>Unrecognized</w:t>
            </w:r>
          </w:p>
        </w:tc>
        <w:tc>
          <w:tcPr>
            <w:tcW w:w="80" w:type="dxa"/>
            <w:vAlign w:val="bottom"/>
          </w:tcPr>
          <w:p>
            <w:pPr>
              <w:spacing w:after="0"/>
              <w:rPr>
                <w:sz w:val="13"/>
                <w:szCs w:val="13"/>
                <w:color w:val="auto"/>
              </w:rPr>
            </w:pPr>
          </w:p>
        </w:tc>
        <w:tc>
          <w:tcPr>
            <w:tcW w:w="174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58"/>
        </w:trPr>
        <w:tc>
          <w:tcPr>
            <w:tcW w:w="3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4"/>
              </w:rPr>
              <w:t>(In millions, except weighted average data)</w:t>
            </w:r>
          </w:p>
        </w:tc>
        <w:tc>
          <w:tcPr>
            <w:tcW w:w="300" w:type="dxa"/>
            <w:vAlign w:val="bottom"/>
          </w:tcPr>
          <w:p>
            <w:pPr>
              <w:spacing w:after="0"/>
              <w:rPr>
                <w:sz w:val="13"/>
                <w:szCs w:val="13"/>
                <w:color w:val="auto"/>
              </w:rPr>
            </w:pPr>
          </w:p>
        </w:tc>
        <w:tc>
          <w:tcPr>
            <w:tcW w:w="2560" w:type="dxa"/>
            <w:vAlign w:val="bottom"/>
            <w:gridSpan w:val="6"/>
            <w:vMerge w:val="restart"/>
          </w:tcPr>
          <w:p>
            <w:pPr>
              <w:jc w:val="center"/>
              <w:ind w:left="446"/>
              <w:spacing w:after="0"/>
              <w:rPr>
                <w:sz w:val="20"/>
                <w:szCs w:val="20"/>
                <w:color w:val="auto"/>
              </w:rPr>
            </w:pPr>
            <w:r>
              <w:rPr>
                <w:rFonts w:ascii="Arial" w:cs="Arial" w:eastAsia="Arial" w:hAnsi="Arial"/>
                <w:sz w:val="16"/>
                <w:szCs w:val="16"/>
                <w:b w:val="1"/>
                <w:bCs w:val="1"/>
                <w:color w:val="auto"/>
                <w:w w:val="87"/>
              </w:rPr>
              <w:t>Compensation Expense</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Recognition Period</w:t>
            </w:r>
          </w:p>
        </w:tc>
        <w:tc>
          <w:tcPr>
            <w:tcW w:w="0" w:type="dxa"/>
            <w:vAlign w:val="bottom"/>
          </w:tcPr>
          <w:p>
            <w:pPr>
              <w:spacing w:after="0"/>
              <w:rPr>
                <w:sz w:val="1"/>
                <w:szCs w:val="1"/>
                <w:color w:val="auto"/>
              </w:rPr>
            </w:pPr>
          </w:p>
        </w:tc>
      </w:tr>
      <w:tr>
        <w:trPr>
          <w:trHeight w:val="212"/>
        </w:trPr>
        <w:tc>
          <w:tcPr>
            <w:tcW w:w="3120" w:type="dxa"/>
            <w:vAlign w:val="bottom"/>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vMerge w:val="continue"/>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89"/>
              <w:spacing w:after="0"/>
              <w:rPr>
                <w:sz w:val="20"/>
                <w:szCs w:val="20"/>
                <w:color w:val="auto"/>
              </w:rPr>
            </w:pPr>
            <w:r>
              <w:rPr>
                <w:rFonts w:ascii="Arial" w:cs="Arial" w:eastAsia="Arial" w:hAnsi="Arial"/>
                <w:sz w:val="16"/>
                <w:szCs w:val="16"/>
                <w:b w:val="1"/>
                <w:bCs w:val="1"/>
                <w:color w:val="auto"/>
                <w:w w:val="91"/>
              </w:rPr>
              <w:t>Total Cost</w:t>
            </w:r>
          </w:p>
        </w:tc>
        <w:tc>
          <w:tcPr>
            <w:tcW w:w="8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Remaining (In years)</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center"/>
              <w:ind w:left="446"/>
              <w:spacing w:after="0"/>
              <w:rPr>
                <w:sz w:val="20"/>
                <w:szCs w:val="20"/>
                <w:color w:val="auto"/>
              </w:rPr>
            </w:pPr>
            <w:r>
              <w:rPr>
                <w:rFonts w:ascii="Arial" w:cs="Arial" w:eastAsia="Arial" w:hAnsi="Arial"/>
                <w:sz w:val="16"/>
                <w:szCs w:val="16"/>
                <w:b w:val="1"/>
                <w:bCs w:val="1"/>
                <w:color w:val="auto"/>
                <w:w w:val="90"/>
              </w:rPr>
              <w:t>Year Ended December 31,</w:t>
            </w:r>
          </w:p>
        </w:tc>
        <w:tc>
          <w:tcPr>
            <w:tcW w:w="8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3"/>
          </w:tcPr>
          <w:p>
            <w:pPr>
              <w:jc w:val="right"/>
              <w:ind w:right="861"/>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177"/>
        </w:trPr>
        <w:tc>
          <w:tcPr>
            <w:tcW w:w="460" w:type="dxa"/>
            <w:vAlign w:val="bottom"/>
            <w:tcBorders>
              <w:bottom w:val="single" w:sz="8" w:color="auto"/>
            </w:tcBorders>
          </w:tcPr>
          <w:p>
            <w:pPr>
              <w:spacing w:after="0" w:line="177" w:lineRule="exact"/>
              <w:rPr>
                <w:sz w:val="20"/>
                <w:szCs w:val="20"/>
                <w:color w:val="auto"/>
              </w:rPr>
            </w:pPr>
            <w:r>
              <w:rPr>
                <w:rFonts w:ascii="Arial" w:cs="Arial" w:eastAsia="Arial" w:hAnsi="Arial"/>
                <w:sz w:val="16"/>
                <w:szCs w:val="16"/>
                <w:b w:val="1"/>
                <w:bCs w:val="1"/>
                <w:color w:val="auto"/>
                <w:w w:val="89"/>
              </w:rPr>
              <w:t>Award</w:t>
            </w:r>
          </w:p>
        </w:tc>
        <w:tc>
          <w:tcPr>
            <w:tcW w:w="2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326"/>
              <w:spacing w:after="0" w:line="177" w:lineRule="exact"/>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center"/>
              <w:ind w:right="183"/>
              <w:spacing w:after="0" w:line="177" w:lineRule="exact"/>
              <w:rPr>
                <w:sz w:val="20"/>
                <w:szCs w:val="20"/>
                <w:color w:val="auto"/>
              </w:rPr>
            </w:pPr>
            <w:r>
              <w:rPr>
                <w:rFonts w:ascii="Arial" w:cs="Arial" w:eastAsia="Arial" w:hAnsi="Arial"/>
                <w:sz w:val="16"/>
                <w:szCs w:val="16"/>
                <w:b w:val="1"/>
                <w:bCs w:val="1"/>
                <w:color w:val="auto"/>
                <w:w w:val="89"/>
              </w:rPr>
              <w:t>2023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ind w:right="343"/>
              <w:spacing w:after="0" w:line="177" w:lineRule="exact"/>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89"/>
              <w:spacing w:after="0" w:line="177" w:lineRule="exact"/>
              <w:rPr>
                <w:sz w:val="20"/>
                <w:szCs w:val="20"/>
                <w:color w:val="auto"/>
              </w:rPr>
            </w:pPr>
            <w:r>
              <w:rPr>
                <w:rFonts w:ascii="Arial" w:cs="Arial" w:eastAsia="Arial" w:hAnsi="Arial"/>
                <w:sz w:val="16"/>
                <w:szCs w:val="16"/>
                <w:b w:val="1"/>
                <w:bCs w:val="1"/>
                <w:color w:val="auto"/>
                <w:w w:val="89"/>
              </w:rPr>
              <w:t>2024</w:t>
            </w:r>
          </w:p>
        </w:tc>
        <w:tc>
          <w:tcPr>
            <w:tcW w:w="1820" w:type="dxa"/>
            <w:vAlign w:val="bottom"/>
            <w:gridSpan w:val="2"/>
          </w:tcPr>
          <w:p>
            <w:pPr>
              <w:jc w:val="center"/>
              <w:spacing w:after="0" w:line="177" w:lineRule="exact"/>
              <w:rPr>
                <w:sz w:val="20"/>
                <w:szCs w:val="20"/>
                <w:color w:val="auto"/>
              </w:rPr>
            </w:pPr>
            <w:r>
              <w:rPr>
                <w:rFonts w:ascii="Arial" w:cs="Arial" w:eastAsia="Arial" w:hAnsi="Arial"/>
                <w:sz w:val="16"/>
                <w:szCs w:val="16"/>
                <w:b w:val="1"/>
                <w:bCs w:val="1"/>
                <w:color w:val="auto"/>
                <w:w w:val="84"/>
              </w:rPr>
              <w:t>2024</w:t>
            </w:r>
          </w:p>
        </w:tc>
        <w:tc>
          <w:tcPr>
            <w:tcW w:w="0" w:type="dxa"/>
            <w:vAlign w:val="bottom"/>
          </w:tcPr>
          <w:p>
            <w:pPr>
              <w:spacing w:after="0"/>
              <w:rPr>
                <w:sz w:val="1"/>
                <w:szCs w:val="1"/>
                <w:color w:val="auto"/>
              </w:rPr>
            </w:pPr>
          </w:p>
        </w:tc>
      </w:tr>
      <w:tr>
        <w:trPr>
          <w:trHeight w:val="21"/>
        </w:trPr>
        <w:tc>
          <w:tcPr>
            <w:tcW w:w="312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3120" w:type="dxa"/>
            <w:vAlign w:val="bottom"/>
            <w:gridSpan w:val="2"/>
          </w:tcPr>
          <w:p>
            <w:pPr>
              <w:spacing w:after="0"/>
              <w:rPr>
                <w:sz w:val="20"/>
                <w:szCs w:val="20"/>
                <w:color w:val="auto"/>
              </w:rPr>
            </w:pPr>
            <w:r>
              <w:rPr>
                <w:rFonts w:ascii="Arial" w:cs="Arial" w:eastAsia="Arial" w:hAnsi="Arial"/>
                <w:sz w:val="20"/>
                <w:szCs w:val="20"/>
                <w:color w:val="auto"/>
                <w:w w:val="92"/>
              </w:rPr>
              <w:t xml:space="preserve">RSUs under NRG LTIP  </w:t>
            </w:r>
            <w:r>
              <w:rPr>
                <w:rFonts w:ascii="Arial" w:cs="Arial" w:eastAsia="Arial" w:hAnsi="Arial"/>
                <w:sz w:val="20"/>
                <w:szCs w:val="20"/>
                <w:color w:val="B4B4B4"/>
                <w:w w:val="92"/>
              </w:rPr>
              <w:t>. . . . . . . . . . .</w:t>
            </w: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29</w:t>
            </w:r>
          </w:p>
        </w:tc>
        <w:tc>
          <w:tcPr>
            <w:tcW w:w="38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20</w:t>
            </w:r>
          </w:p>
        </w:tc>
        <w:tc>
          <w:tcPr>
            <w:tcW w:w="42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15</w:t>
            </w:r>
          </w:p>
        </w:tc>
        <w:tc>
          <w:tcPr>
            <w:tcW w:w="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17</w:t>
            </w:r>
          </w:p>
        </w:tc>
        <w:tc>
          <w:tcPr>
            <w:tcW w:w="1820" w:type="dxa"/>
            <w:vAlign w:val="bottom"/>
            <w:gridSpan w:val="2"/>
          </w:tcPr>
          <w:p>
            <w:pPr>
              <w:jc w:val="right"/>
              <w:spacing w:after="0"/>
              <w:rPr>
                <w:sz w:val="20"/>
                <w:szCs w:val="20"/>
                <w:color w:val="auto"/>
              </w:rPr>
            </w:pPr>
            <w:r>
              <w:rPr>
                <w:rFonts w:ascii="Arial" w:cs="Arial" w:eastAsia="Arial" w:hAnsi="Arial"/>
                <w:sz w:val="20"/>
                <w:szCs w:val="20"/>
                <w:color w:val="auto"/>
              </w:rPr>
              <w:t>1.52</w:t>
            </w:r>
          </w:p>
        </w:tc>
        <w:tc>
          <w:tcPr>
            <w:tcW w:w="0" w:type="dxa"/>
            <w:vAlign w:val="bottom"/>
          </w:tcPr>
          <w:p>
            <w:pPr>
              <w:spacing w:after="0"/>
              <w:rPr>
                <w:sz w:val="1"/>
                <w:szCs w:val="1"/>
                <w:color w:val="auto"/>
              </w:rPr>
            </w:pPr>
          </w:p>
        </w:tc>
      </w:tr>
      <w:tr>
        <w:trPr>
          <w:trHeight w:val="297"/>
        </w:trPr>
        <w:tc>
          <w:tcPr>
            <w:tcW w:w="3120" w:type="dxa"/>
            <w:vAlign w:val="bottom"/>
            <w:gridSpan w:val="2"/>
          </w:tcPr>
          <w:p>
            <w:pPr>
              <w:spacing w:after="0"/>
              <w:rPr>
                <w:sz w:val="20"/>
                <w:szCs w:val="20"/>
                <w:color w:val="auto"/>
              </w:rPr>
            </w:pPr>
            <w:r>
              <w:rPr>
                <w:rFonts w:ascii="Arial" w:cs="Arial" w:eastAsia="Arial" w:hAnsi="Arial"/>
                <w:sz w:val="20"/>
                <w:szCs w:val="20"/>
                <w:color w:val="auto"/>
                <w:w w:val="92"/>
              </w:rPr>
              <w:t xml:space="preserve">RSUs under Vivint LTIP </w:t>
            </w:r>
            <w:r>
              <w:rPr>
                <w:rFonts w:ascii="Arial" w:cs="Arial" w:eastAsia="Arial" w:hAnsi="Arial"/>
                <w:sz w:val="20"/>
                <w:szCs w:val="20"/>
                <w:color w:val="B4B4B4"/>
                <w:w w:val="92"/>
              </w:rPr>
              <w:t>. . . . . . . . . . .</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48</w:t>
            </w:r>
          </w:p>
        </w:tc>
        <w:tc>
          <w:tcPr>
            <w:tcW w:w="1820" w:type="dxa"/>
            <w:vAlign w:val="bottom"/>
            <w:gridSpan w:val="2"/>
          </w:tcPr>
          <w:p>
            <w:pPr>
              <w:jc w:val="right"/>
              <w:spacing w:after="0"/>
              <w:rPr>
                <w:sz w:val="20"/>
                <w:szCs w:val="20"/>
                <w:color w:val="auto"/>
              </w:rPr>
            </w:pPr>
            <w:r>
              <w:rPr>
                <w:rFonts w:ascii="Arial" w:cs="Arial" w:eastAsia="Arial" w:hAnsi="Arial"/>
                <w:sz w:val="20"/>
                <w:szCs w:val="20"/>
                <w:color w:val="auto"/>
              </w:rPr>
              <w:t>1.32</w:t>
            </w:r>
          </w:p>
        </w:tc>
        <w:tc>
          <w:tcPr>
            <w:tcW w:w="0" w:type="dxa"/>
            <w:vAlign w:val="bottom"/>
          </w:tcPr>
          <w:p>
            <w:pPr>
              <w:spacing w:after="0"/>
              <w:rPr>
                <w:sz w:val="1"/>
                <w:szCs w:val="1"/>
                <w:color w:val="auto"/>
              </w:rPr>
            </w:pPr>
          </w:p>
        </w:tc>
      </w:tr>
      <w:tr>
        <w:trPr>
          <w:trHeight w:val="297"/>
        </w:trPr>
        <w:tc>
          <w:tcPr>
            <w:tcW w:w="3120" w:type="dxa"/>
            <w:vAlign w:val="bottom"/>
            <w:gridSpan w:val="2"/>
          </w:tcPr>
          <w:p>
            <w:pPr>
              <w:spacing w:after="0"/>
              <w:rPr>
                <w:sz w:val="20"/>
                <w:szCs w:val="20"/>
                <w:color w:val="auto"/>
              </w:rPr>
            </w:pPr>
            <w:r>
              <w:rPr>
                <w:rFonts w:ascii="Arial" w:cs="Arial" w:eastAsia="Arial" w:hAnsi="Arial"/>
                <w:sz w:val="20"/>
                <w:szCs w:val="20"/>
                <w:color w:val="auto"/>
                <w:w w:val="90"/>
              </w:rPr>
              <w:t xml:space="preserve">DSUs </w:t>
            </w:r>
            <w:r>
              <w:rPr>
                <w:rFonts w:ascii="Arial" w:cs="Arial" w:eastAsia="Arial" w:hAnsi="Arial"/>
                <w:sz w:val="20"/>
                <w:szCs w:val="20"/>
                <w:color w:val="B4B4B4"/>
                <w:w w:val="90"/>
              </w:rPr>
              <w:t>. . . . . . . . . . . . . . . . . . . . . . . . . .</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1820" w:type="dxa"/>
            <w:vAlign w:val="bottom"/>
            <w:gridSpan w:val="2"/>
          </w:tcPr>
          <w:p>
            <w:pPr>
              <w:jc w:val="right"/>
              <w:spacing w:after="0"/>
              <w:rPr>
                <w:sz w:val="20"/>
                <w:szCs w:val="20"/>
                <w:color w:val="auto"/>
              </w:rPr>
            </w:pPr>
            <w:r>
              <w:rPr>
                <w:rFonts w:ascii="Arial" w:cs="Arial" w:eastAsia="Arial" w:hAnsi="Arial"/>
                <w:sz w:val="20"/>
                <w:szCs w:val="20"/>
                <w:color w:val="auto"/>
              </w:rPr>
              <w:t>0.00</w:t>
            </w:r>
          </w:p>
        </w:tc>
        <w:tc>
          <w:tcPr>
            <w:tcW w:w="0" w:type="dxa"/>
            <w:vAlign w:val="bottom"/>
          </w:tcPr>
          <w:p>
            <w:pPr>
              <w:spacing w:after="0"/>
              <w:rPr>
                <w:sz w:val="1"/>
                <w:szCs w:val="1"/>
                <w:color w:val="auto"/>
              </w:rPr>
            </w:pPr>
          </w:p>
        </w:tc>
      </w:tr>
      <w:tr>
        <w:trPr>
          <w:trHeight w:val="297"/>
        </w:trPr>
        <w:tc>
          <w:tcPr>
            <w:tcW w:w="3120" w:type="dxa"/>
            <w:vAlign w:val="bottom"/>
            <w:gridSpan w:val="2"/>
          </w:tcPr>
          <w:p>
            <w:pPr>
              <w:spacing w:after="0"/>
              <w:rPr>
                <w:sz w:val="20"/>
                <w:szCs w:val="20"/>
                <w:color w:val="auto"/>
              </w:rPr>
            </w:pPr>
            <w:r>
              <w:rPr>
                <w:rFonts w:ascii="Arial" w:cs="Arial" w:eastAsia="Arial" w:hAnsi="Arial"/>
                <w:sz w:val="20"/>
                <w:szCs w:val="20"/>
                <w:color w:val="auto"/>
                <w:w w:val="93"/>
              </w:rPr>
              <w:t xml:space="preserve">RPSUs under NRG LTIP </w:t>
            </w:r>
            <w:r>
              <w:rPr>
                <w:rFonts w:ascii="Arial" w:cs="Arial" w:eastAsia="Arial" w:hAnsi="Arial"/>
                <w:sz w:val="20"/>
                <w:szCs w:val="20"/>
                <w:color w:val="B4B4B4"/>
                <w:w w:val="93"/>
              </w:rPr>
              <w:t>. . . . . . . . . .</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15</w:t>
            </w:r>
          </w:p>
        </w:tc>
        <w:tc>
          <w:tcPr>
            <w:tcW w:w="1820" w:type="dxa"/>
            <w:vAlign w:val="bottom"/>
            <w:gridSpan w:val="2"/>
          </w:tcPr>
          <w:p>
            <w:pPr>
              <w:jc w:val="right"/>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297"/>
        </w:trPr>
        <w:tc>
          <w:tcPr>
            <w:tcW w:w="3120" w:type="dxa"/>
            <w:vAlign w:val="bottom"/>
            <w:gridSpan w:val="2"/>
          </w:tcPr>
          <w:p>
            <w:pPr>
              <w:spacing w:after="0"/>
              <w:rPr>
                <w:sz w:val="20"/>
                <w:szCs w:val="20"/>
                <w:color w:val="auto"/>
              </w:rPr>
            </w:pPr>
            <w:r>
              <w:rPr>
                <w:rFonts w:ascii="Arial" w:cs="Arial" w:eastAsia="Arial" w:hAnsi="Arial"/>
                <w:sz w:val="20"/>
                <w:szCs w:val="20"/>
                <w:color w:val="auto"/>
                <w:w w:val="93"/>
              </w:rPr>
              <w:t xml:space="preserve">RPSUs under Vivint LTIP  </w:t>
            </w:r>
            <w:r>
              <w:rPr>
                <w:rFonts w:ascii="Arial" w:cs="Arial" w:eastAsia="Arial" w:hAnsi="Arial"/>
                <w:sz w:val="20"/>
                <w:szCs w:val="20"/>
                <w:color w:val="B4B4B4"/>
                <w:w w:val="93"/>
              </w:rPr>
              <w:t>. . . . . . . . .</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w:t>
            </w:r>
          </w:p>
        </w:tc>
        <w:tc>
          <w:tcPr>
            <w:tcW w:w="1820" w:type="dxa"/>
            <w:vAlign w:val="bottom"/>
            <w:gridSpan w:val="2"/>
          </w:tcPr>
          <w:p>
            <w:pPr>
              <w:jc w:val="right"/>
              <w:spacing w:after="0"/>
              <w:rPr>
                <w:sz w:val="20"/>
                <w:szCs w:val="20"/>
                <w:color w:val="auto"/>
              </w:rPr>
            </w:pPr>
            <w:r>
              <w:rPr>
                <w:rFonts w:ascii="Arial" w:cs="Arial" w:eastAsia="Arial" w:hAnsi="Arial"/>
                <w:sz w:val="20"/>
                <w:szCs w:val="20"/>
                <w:color w:val="auto"/>
              </w:rPr>
              <w:t>1.55</w:t>
            </w:r>
          </w:p>
        </w:tc>
        <w:tc>
          <w:tcPr>
            <w:tcW w:w="0" w:type="dxa"/>
            <w:vAlign w:val="bottom"/>
          </w:tcPr>
          <w:p>
            <w:pPr>
              <w:spacing w:after="0"/>
              <w:rPr>
                <w:sz w:val="1"/>
                <w:szCs w:val="1"/>
                <w:color w:val="auto"/>
              </w:rPr>
            </w:pPr>
          </w:p>
        </w:tc>
      </w:tr>
      <w:tr>
        <w:trPr>
          <w:trHeight w:val="299"/>
        </w:trPr>
        <w:tc>
          <w:tcPr>
            <w:tcW w:w="3120" w:type="dxa"/>
            <w:vAlign w:val="bottom"/>
            <w:gridSpan w:val="2"/>
          </w:tcPr>
          <w:p>
            <w:pPr>
              <w:spacing w:after="0"/>
              <w:rPr>
                <w:sz w:val="20"/>
                <w:szCs w:val="20"/>
                <w:color w:val="auto"/>
              </w:rPr>
            </w:pPr>
            <w:r>
              <w:rPr>
                <w:rFonts w:ascii="Arial" w:cs="Arial" w:eastAsia="Arial" w:hAnsi="Arial"/>
                <w:sz w:val="20"/>
                <w:szCs w:val="20"/>
                <w:color w:val="auto"/>
                <w:w w:val="89"/>
              </w:rPr>
              <w:t>PRSUs</w:t>
            </w:r>
            <w:r>
              <w:rPr>
                <w:rFonts w:ascii="Arial" w:cs="Arial" w:eastAsia="Arial" w:hAnsi="Arial"/>
                <w:sz w:val="25"/>
                <w:szCs w:val="25"/>
                <w:color w:val="auto"/>
                <w:w w:val="89"/>
                <w:vertAlign w:val="superscript"/>
              </w:rPr>
              <w:t>(a)</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w:t>
            </w:r>
          </w:p>
        </w:tc>
        <w:tc>
          <w:tcPr>
            <w:tcW w:w="1820" w:type="dxa"/>
            <w:vAlign w:val="bottom"/>
            <w:gridSpan w:val="2"/>
          </w:tcPr>
          <w:p>
            <w:pPr>
              <w:jc w:val="right"/>
              <w:spacing w:after="0"/>
              <w:rPr>
                <w:sz w:val="20"/>
                <w:szCs w:val="20"/>
                <w:color w:val="auto"/>
              </w:rPr>
            </w:pPr>
            <w:r>
              <w:rPr>
                <w:rFonts w:ascii="Arial" w:cs="Arial" w:eastAsia="Arial" w:hAnsi="Arial"/>
                <w:sz w:val="20"/>
                <w:szCs w:val="20"/>
                <w:color w:val="auto"/>
              </w:rPr>
              <w:t>1.33</w:t>
            </w:r>
          </w:p>
        </w:tc>
        <w:tc>
          <w:tcPr>
            <w:tcW w:w="0" w:type="dxa"/>
            <w:vAlign w:val="bottom"/>
          </w:tcPr>
          <w:p>
            <w:pPr>
              <w:spacing w:after="0"/>
              <w:rPr>
                <w:sz w:val="1"/>
                <w:szCs w:val="1"/>
                <w:color w:val="auto"/>
              </w:rPr>
            </w:pPr>
          </w:p>
        </w:tc>
      </w:tr>
      <w:tr>
        <w:trPr>
          <w:trHeight w:val="257"/>
        </w:trPr>
        <w:tc>
          <w:tcPr>
            <w:tcW w:w="3120" w:type="dxa"/>
            <w:vAlign w:val="bottom"/>
            <w:gridSpan w:val="2"/>
          </w:tcPr>
          <w:p>
            <w:pPr>
              <w:spacing w:after="0"/>
              <w:rPr>
                <w:sz w:val="20"/>
                <w:szCs w:val="20"/>
                <w:color w:val="auto"/>
              </w:rPr>
            </w:pPr>
            <w:r>
              <w:rPr>
                <w:rFonts w:ascii="Arial" w:cs="Arial" w:eastAsia="Arial" w:hAnsi="Arial"/>
                <w:sz w:val="20"/>
                <w:szCs w:val="20"/>
                <w:color w:val="auto"/>
                <w:w w:val="92"/>
              </w:rPr>
              <w:t xml:space="preserve">Total </w:t>
            </w:r>
            <w:r>
              <w:rPr>
                <w:rFonts w:ascii="Arial" w:cs="Arial" w:eastAsia="Arial" w:hAnsi="Arial"/>
                <w:sz w:val="20"/>
                <w:szCs w:val="20"/>
                <w:color w:val="B4B4B4"/>
                <w:w w:val="92"/>
              </w:rPr>
              <w:t>. . . . . . . . . . . . . . . . . . . . . . . . . .</w:t>
            </w:r>
          </w:p>
        </w:tc>
        <w:tc>
          <w:tcPr>
            <w:tcW w:w="3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123</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w:t>
            </w: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20"/>
                <w:szCs w:val="20"/>
                <w:color w:val="auto"/>
              </w:rPr>
              <w:t>Tax (benefit)/detriment recognized</w:t>
            </w: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gridSpan w:val="2"/>
            <w:vMerge w:val="continue"/>
          </w:tcPr>
          <w:p>
            <w:pPr>
              <w:ind w:left="2820"/>
              <w:spacing w:after="0" w:line="195" w:lineRule="exact"/>
              <w:rPr>
                <w:sz w:val="20"/>
                <w:szCs w:val="20"/>
                <w:color w:val="auto"/>
              </w:rPr>
            </w:pPr>
            <w:r>
              <w:rPr>
                <w:rFonts w:ascii="Arial" w:cs="Arial" w:eastAsia="Arial" w:hAnsi="Arial"/>
                <w:sz w:val="20"/>
                <w:szCs w:val="20"/>
                <w:color w:val="B4B4B4"/>
              </w:rPr>
              <w:t>. . .</w:t>
            </w:r>
          </w:p>
        </w:tc>
        <w:tc>
          <w:tcPr>
            <w:tcW w:w="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w:t>
            </w: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-1539875</wp:posOffset>
            </wp:positionV>
            <wp:extent cx="6475095" cy="15468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73">
                      <a:extLst>
                        <a:ext uri="{28A0092B-C50C-407E-A947-70E740481C1C}"/>
                      </a:extLst>
                    </a:blip>
                    <a:srcRect/>
                    <a:stretch>
                      <a:fillRect/>
                    </a:stretch>
                  </pic:blipFill>
                  <pic:spPr bwMode="auto">
                    <a:xfrm>
                      <a:off x="0" y="0"/>
                      <a:ext cx="6475095" cy="1546860"/>
                    </a:xfrm>
                    <a:prstGeom prst="rect">
                      <a:avLst/>
                    </a:prstGeom>
                    <a:noFill/>
                  </pic:spPr>
                </pic:pic>
              </a:graphicData>
            </a:graphic>
          </wp:anchor>
        </w:drawing>
      </w:r>
    </w:p>
    <w:p>
      <w:pPr>
        <w:spacing w:after="0" w:line="59" w:lineRule="exact"/>
        <w:rPr>
          <w:sz w:val="20"/>
          <w:szCs w:val="20"/>
          <w:color w:val="auto"/>
        </w:rPr>
      </w:pPr>
    </w:p>
    <w:p>
      <w:pPr>
        <w:ind w:left="440" w:right="80" w:hanging="439"/>
        <w:spacing w:after="0" w:line="278" w:lineRule="auto"/>
        <w:tabs>
          <w:tab w:leader="none" w:pos="4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Phantom Restricted Stock Units, PRSUs, are liability-classified time-based awards that typically vest ratably over a three-year period. The amount to be paid upon vesting is based on NRG's closing stock price for the period</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21 — </w:t>
      </w:r>
      <w:r>
        <w:rPr>
          <w:rFonts w:ascii="Arial" w:cs="Arial" w:eastAsia="Arial" w:hAnsi="Arial"/>
          <w:sz w:val="20"/>
          <w:szCs w:val="20"/>
          <w:b w:val="1"/>
          <w:bCs w:val="1"/>
          <w:i w:val="1"/>
          <w:iCs w:val="1"/>
          <w:color w:val="auto"/>
        </w:rPr>
        <w:t>Related Party Transactions</w:t>
      </w:r>
    </w:p>
    <w:p>
      <w:pPr>
        <w:spacing w:after="0" w:line="13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NRG provides services to some of its related parties, who are accounted for as equity method investments, under operations and maintenance agreements. Fees for the services under these agreements include recovery of NRG's costs of operating the plants. Certain agreements also include fees for administrative service, a base monthly fee, profit margin and/or annual incentive bonus.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summarizes NRG's material related party transactions with third-party affiliates:</w:t>
      </w:r>
    </w:p>
    <w:p>
      <w:pPr>
        <w:spacing w:after="0" w:line="7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8"/>
        </w:trPr>
        <w:tc>
          <w:tcPr>
            <w:tcW w:w="576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5"/>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5"/>
              <w:spacing w:after="0"/>
              <w:rPr>
                <w:sz w:val="20"/>
                <w:szCs w:val="20"/>
                <w:color w:val="auto"/>
              </w:rPr>
            </w:pPr>
            <w:r>
              <w:rPr>
                <w:rFonts w:ascii="Arial" w:cs="Arial" w:eastAsia="Arial" w:hAnsi="Arial"/>
                <w:sz w:val="16"/>
                <w:szCs w:val="16"/>
                <w:b w:val="1"/>
                <w:bCs w:val="1"/>
                <w:color w:val="auto"/>
              </w:rPr>
              <w:t>2022</w:t>
            </w:r>
          </w:p>
        </w:tc>
      </w:tr>
      <w:tr>
        <w:trPr>
          <w:trHeight w:val="275"/>
        </w:trPr>
        <w:tc>
          <w:tcPr>
            <w:tcW w:w="5760" w:type="dxa"/>
            <w:vAlign w:val="bottom"/>
          </w:tcPr>
          <w:p>
            <w:pPr>
              <w:spacing w:after="0"/>
              <w:rPr>
                <w:sz w:val="20"/>
                <w:szCs w:val="20"/>
                <w:color w:val="auto"/>
              </w:rPr>
            </w:pPr>
            <w:r>
              <w:rPr>
                <w:rFonts w:ascii="Arial" w:cs="Arial" w:eastAsia="Arial" w:hAnsi="Arial"/>
                <w:sz w:val="20"/>
                <w:szCs w:val="20"/>
                <w:b w:val="1"/>
                <w:bCs w:val="1"/>
                <w:i w:val="1"/>
                <w:iCs w:val="1"/>
                <w:color w:val="auto"/>
              </w:rPr>
              <w:t>Revenues from Related Parties Included in Revenues</w:t>
            </w: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97"/>
        </w:trPr>
        <w:tc>
          <w:tcPr>
            <w:tcW w:w="5760" w:type="dxa"/>
            <w:vAlign w:val="bottom"/>
          </w:tcPr>
          <w:p>
            <w:pPr>
              <w:jc w:val="right"/>
              <w:spacing w:after="0"/>
              <w:rPr>
                <w:sz w:val="20"/>
                <w:szCs w:val="20"/>
                <w:color w:val="auto"/>
              </w:rPr>
            </w:pPr>
            <w:r>
              <w:rPr>
                <w:rFonts w:ascii="Arial" w:cs="Arial" w:eastAsia="Arial" w:hAnsi="Arial"/>
                <w:sz w:val="20"/>
                <w:szCs w:val="20"/>
                <w:color w:val="auto"/>
                <w:w w:val="90"/>
              </w:rPr>
              <w:t xml:space="preserve">Gladstone </w:t>
            </w:r>
            <w:r>
              <w:rPr>
                <w:rFonts w:ascii="Arial" w:cs="Arial" w:eastAsia="Arial" w:hAnsi="Arial"/>
                <w:sz w:val="20"/>
                <w:szCs w:val="20"/>
                <w:color w:val="B4B4B4"/>
                <w:w w:val="90"/>
              </w:rPr>
              <w:t>. . . . . . . . . . . . . . . . . . . . . . . . . . . . . . . . . . . . . . . . . . . . . . . .</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336"/>
        </w:trPr>
        <w:tc>
          <w:tcPr>
            <w:tcW w:w="5760" w:type="dxa"/>
            <w:vAlign w:val="bottom"/>
          </w:tcPr>
          <w:p>
            <w:pPr>
              <w:jc w:val="right"/>
              <w:spacing w:after="0"/>
              <w:rPr>
                <w:sz w:val="20"/>
                <w:szCs w:val="20"/>
                <w:color w:val="auto"/>
              </w:rPr>
            </w:pPr>
            <w:r>
              <w:rPr>
                <w:rFonts w:ascii="Arial" w:cs="Arial" w:eastAsia="Arial" w:hAnsi="Arial"/>
                <w:sz w:val="20"/>
                <w:szCs w:val="20"/>
                <w:color w:val="auto"/>
                <w:w w:val="90"/>
              </w:rPr>
              <w:t>Ivanpah</w:t>
            </w:r>
            <w:r>
              <w:rPr>
                <w:rFonts w:ascii="Arial" w:cs="Arial" w:eastAsia="Arial" w:hAnsi="Arial"/>
                <w:sz w:val="25"/>
                <w:szCs w:val="25"/>
                <w:color w:val="auto"/>
                <w:w w:val="90"/>
                <w:vertAlign w:val="superscript"/>
              </w:rPr>
              <w:t>(a)</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 . . . . . . . . . . . . .</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61"/>
        </w:trPr>
        <w:tc>
          <w:tcPr>
            <w:tcW w:w="5760" w:type="dxa"/>
            <w:vAlign w:val="bottom"/>
          </w:tcPr>
          <w:p>
            <w:pPr>
              <w:jc w:val="right"/>
              <w:spacing w:after="0"/>
              <w:rPr>
                <w:sz w:val="20"/>
                <w:szCs w:val="20"/>
                <w:color w:val="auto"/>
              </w:rPr>
            </w:pPr>
            <w:r>
              <w:rPr>
                <w:rFonts w:ascii="Arial" w:cs="Arial" w:eastAsia="Arial" w:hAnsi="Arial"/>
                <w:sz w:val="20"/>
                <w:szCs w:val="20"/>
                <w:color w:val="auto"/>
                <w:w w:val="92"/>
              </w:rPr>
              <w:t xml:space="preserve">Midway-Sunset </w:t>
            </w:r>
            <w:r>
              <w:rPr>
                <w:rFonts w:ascii="Arial" w:cs="Arial" w:eastAsia="Arial" w:hAnsi="Arial"/>
                <w:sz w:val="20"/>
                <w:szCs w:val="20"/>
                <w:color w:val="B4B4B4"/>
                <w:w w:val="92"/>
              </w:rPr>
              <w:t>. . . . . . . . . . . . . . . . . . . . . . . . . . . . . . . . . . . . . . . . . . .</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w:t>
            </w:r>
          </w:p>
        </w:tc>
      </w:tr>
      <w:tr>
        <w:trPr>
          <w:trHeight w:val="257"/>
        </w:trPr>
        <w:tc>
          <w:tcPr>
            <w:tcW w:w="5760" w:type="dxa"/>
            <w:vAlign w:val="bottom"/>
          </w:tcPr>
          <w:p>
            <w:pPr>
              <w:jc w:val="right"/>
              <w:spacing w:after="0"/>
              <w:rPr>
                <w:sz w:val="20"/>
                <w:szCs w:val="20"/>
                <w:color w:val="auto"/>
              </w:rPr>
            </w:pPr>
            <w:r>
              <w:rPr>
                <w:rFonts w:ascii="Arial" w:cs="Arial" w:eastAsia="Arial" w:hAnsi="Arial"/>
                <w:sz w:val="20"/>
                <w:szCs w:val="20"/>
                <w:color w:val="auto"/>
                <w:w w:val="94"/>
              </w:rPr>
              <w:t xml:space="preserve">Total </w:t>
            </w:r>
            <w:r>
              <w:rPr>
                <w:rFonts w:ascii="Arial" w:cs="Arial" w:eastAsia="Arial" w:hAnsi="Arial"/>
                <w:sz w:val="20"/>
                <w:szCs w:val="20"/>
                <w:color w:val="B4B4B4"/>
                <w:w w:val="94"/>
              </w:rPr>
              <w:t>. . . . . . . . . . . . . . . . . . . . . . . . . . . . . . . . . . . . . . . . . . . . . . . . . .</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68</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84</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0"/>
        </w:trPr>
        <w:tc>
          <w:tcPr>
            <w:tcW w:w="5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-974090</wp:posOffset>
            </wp:positionV>
            <wp:extent cx="6447155" cy="9810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74">
                      <a:extLst>
                        <a:ext uri="{28A0092B-C50C-407E-A947-70E740481C1C}"/>
                      </a:extLst>
                    </a:blip>
                    <a:srcRect/>
                    <a:stretch>
                      <a:fillRect/>
                    </a:stretch>
                  </pic:blipFill>
                  <pic:spPr bwMode="auto">
                    <a:xfrm>
                      <a:off x="0" y="0"/>
                      <a:ext cx="6447155" cy="981075"/>
                    </a:xfrm>
                    <a:prstGeom prst="rect">
                      <a:avLst/>
                    </a:prstGeom>
                    <a:noFill/>
                  </pic:spPr>
                </pic:pic>
              </a:graphicData>
            </a:graphic>
          </wp:anchor>
        </w:drawing>
      </w:r>
    </w:p>
    <w:p>
      <w:pPr>
        <w:ind w:left="440" w:hanging="439"/>
        <w:spacing w:after="0"/>
        <w:tabs>
          <w:tab w:leader="none" w:pos="4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Includes fees under project management agreements with each project company</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156</w:t>
      </w:r>
    </w:p>
    <w:p>
      <w:pPr>
        <w:sectPr>
          <w:pgSz w:w="11880" w:h="15480" w:orient="portrait"/>
          <w:cols w:equalWidth="0" w:num="1">
            <w:col w:w="10160"/>
          </w:cols>
          <w:pgMar w:left="860" w:top="505" w:right="860" w:bottom="0" w:gutter="0" w:footer="0" w:header="0"/>
          <w:type w:val="continuous"/>
        </w:sectPr>
      </w:pPr>
    </w:p>
    <w:bookmarkStart w:id="158" w:name="page159"/>
    <w:bookmarkEnd w:id="158"/>
    <w:p>
      <w:pPr>
        <w:spacing w:after="0"/>
        <w:rPr>
          <w:sz w:val="20"/>
          <w:szCs w:val="20"/>
          <w:color w:val="auto"/>
        </w:rPr>
      </w:pPr>
      <w:r>
        <w:rPr>
          <w:rFonts w:ascii="Arial" w:cs="Arial" w:eastAsia="Arial" w:hAnsi="Arial"/>
          <w:sz w:val="20"/>
          <w:szCs w:val="20"/>
          <w:b w:val="1"/>
          <w:bCs w:val="1"/>
          <w:color w:val="auto"/>
        </w:rPr>
        <w:t xml:space="preserve">Note 22 — </w:t>
      </w:r>
      <w:r>
        <w:rPr>
          <w:rFonts w:ascii="Arial" w:cs="Arial" w:eastAsia="Arial" w:hAnsi="Arial"/>
          <w:sz w:val="20"/>
          <w:szCs w:val="20"/>
          <w:b w:val="1"/>
          <w:bCs w:val="1"/>
          <w:i w:val="1"/>
          <w:iCs w:val="1"/>
          <w:color w:val="auto"/>
        </w:rPr>
        <w:t>Commitments and Contingencies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Commitments</w:t>
      </w:r>
    </w:p>
    <w:p>
      <w:pPr>
        <w:spacing w:after="0" w:line="134" w:lineRule="exact"/>
        <w:rPr>
          <w:sz w:val="20"/>
          <w:szCs w:val="20"/>
          <w:color w:val="auto"/>
        </w:rPr>
      </w:pPr>
    </w:p>
    <w:p>
      <w:pPr>
        <w:jc w:val="both"/>
        <w:ind w:right="60" w:firstLine="445"/>
        <w:spacing w:after="0" w:line="262" w:lineRule="auto"/>
        <w:rPr>
          <w:sz w:val="20"/>
          <w:szCs w:val="20"/>
          <w:color w:val="auto"/>
        </w:rPr>
      </w:pPr>
      <w:r>
        <w:rPr>
          <w:rFonts w:ascii="Arial" w:cs="Arial" w:eastAsia="Arial" w:hAnsi="Arial"/>
          <w:sz w:val="20"/>
          <w:szCs w:val="20"/>
          <w:color w:val="auto"/>
        </w:rPr>
        <w:t>NRG has entered into long-term contractual arrangements related to energy products, including power purchases, gas transportation and storage, fuel and transportation services and generation projects. These contracts are not included in the consolidated balance sheet as of December 31, 2024.</w:t>
      </w:r>
    </w:p>
    <w:p>
      <w:pPr>
        <w:spacing w:after="0" w:line="78" w:lineRule="exact"/>
        <w:rPr>
          <w:sz w:val="20"/>
          <w:szCs w:val="20"/>
          <w:color w:val="auto"/>
        </w:rPr>
      </w:pPr>
    </w:p>
    <w:p>
      <w:pPr>
        <w:jc w:val="both"/>
        <w:ind w:right="60" w:firstLine="445"/>
        <w:spacing w:after="0" w:line="277" w:lineRule="auto"/>
        <w:rPr>
          <w:sz w:val="20"/>
          <w:szCs w:val="20"/>
          <w:color w:val="auto"/>
        </w:rPr>
      </w:pPr>
      <w:r>
        <w:rPr>
          <w:rFonts w:ascii="Arial" w:cs="Arial" w:eastAsia="Arial" w:hAnsi="Arial"/>
          <w:sz w:val="20"/>
          <w:szCs w:val="20"/>
          <w:color w:val="auto"/>
        </w:rPr>
        <w:t>As of December 31, 2024, the Company's minimum commitments under such outstanding agreements are estimated as follows: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8680" w:type="dxa"/>
            <w:vAlign w:val="bottom"/>
            <w:gridSpan w:val="2"/>
          </w:tcPr>
          <w:p>
            <w:pPr>
              <w:spacing w:after="0"/>
              <w:rPr>
                <w:sz w:val="20"/>
                <w:szCs w:val="20"/>
                <w:color w:val="auto"/>
              </w:rPr>
            </w:pPr>
            <w:r>
              <w:rPr>
                <w:rFonts w:ascii="Arial" w:cs="Arial" w:eastAsia="Arial" w:hAnsi="Arial"/>
                <w:sz w:val="16"/>
                <w:szCs w:val="16"/>
                <w:b w:val="1"/>
                <w:bCs w:val="1"/>
                <w:color w:val="auto"/>
              </w:rPr>
              <w:t>Period</w:t>
            </w:r>
          </w:p>
        </w:tc>
        <w:tc>
          <w:tcPr>
            <w:tcW w:w="240" w:type="dxa"/>
            <w:vAlign w:val="bottom"/>
          </w:tcPr>
          <w:p>
            <w:pPr>
              <w:spacing w:after="0"/>
              <w:rPr>
                <w:sz w:val="16"/>
                <w:szCs w:val="16"/>
                <w:color w:val="auto"/>
              </w:rPr>
            </w:pPr>
          </w:p>
        </w:tc>
        <w:tc>
          <w:tcPr>
            <w:tcW w:w="1240" w:type="dxa"/>
            <w:vAlign w:val="bottom"/>
          </w:tcPr>
          <w:p>
            <w:pPr>
              <w:jc w:val="right"/>
              <w:ind w:right="223"/>
              <w:spacing w:after="0"/>
              <w:rPr>
                <w:sz w:val="20"/>
                <w:szCs w:val="20"/>
                <w:color w:val="auto"/>
              </w:rPr>
            </w:pPr>
            <w:r>
              <w:rPr>
                <w:rFonts w:ascii="Arial" w:cs="Arial" w:eastAsia="Arial" w:hAnsi="Arial"/>
                <w:sz w:val="16"/>
                <w:szCs w:val="16"/>
                <w:b w:val="1"/>
                <w:bCs w:val="1"/>
                <w:color w:val="auto"/>
              </w:rPr>
              <w:t>(In millions)</w:t>
            </w:r>
          </w:p>
        </w:tc>
      </w:tr>
      <w:tr>
        <w:trPr>
          <w:trHeight w:val="21"/>
        </w:trPr>
        <w:tc>
          <w:tcPr>
            <w:tcW w:w="440" w:type="dxa"/>
            <w:vAlign w:val="bottom"/>
            <w:tcBorders>
              <w:top w:val="single" w:sz="8" w:color="auto"/>
            </w:tcBorders>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75"/>
        </w:trPr>
        <w:tc>
          <w:tcPr>
            <w:tcW w:w="440" w:type="dxa"/>
            <w:vAlign w:val="bottom"/>
          </w:tcPr>
          <w:p>
            <w:pPr>
              <w:spacing w:after="0"/>
              <w:rPr>
                <w:sz w:val="20"/>
                <w:szCs w:val="20"/>
                <w:color w:val="auto"/>
              </w:rPr>
            </w:pPr>
            <w:r>
              <w:rPr>
                <w:rFonts w:ascii="Arial" w:cs="Arial" w:eastAsia="Arial" w:hAnsi="Arial"/>
                <w:sz w:val="20"/>
                <w:szCs w:val="20"/>
                <w:color w:val="auto"/>
                <w:w w:val="94"/>
              </w:rPr>
              <w:t>2025</w:t>
            </w:r>
          </w:p>
        </w:tc>
        <w:tc>
          <w:tcPr>
            <w:tcW w:w="8240" w:type="dxa"/>
            <w:vAlign w:val="bottom"/>
          </w:tcPr>
          <w:p>
            <w:pPr>
              <w:jc w:val="right"/>
              <w:spacing w:after="0"/>
              <w:rPr>
                <w:sz w:val="20"/>
                <w:szCs w:val="20"/>
                <w:color w:val="auto"/>
              </w:rPr>
            </w:pPr>
            <w:r>
              <w:rPr>
                <w:rFonts w:ascii="Arial" w:cs="Arial" w:eastAsia="Arial" w:hAnsi="Arial"/>
                <w:sz w:val="20"/>
                <w:szCs w:val="20"/>
                <w:color w:val="B4B4B4"/>
                <w:w w:val="88"/>
              </w:rPr>
              <w:t>. . . . . . . . . . . . . . . . . . . . . . . . . . . . . . . . . . . . . . . . . . . . . . . . . . . . . . . . . . . . . . . . . . . . . . . . . . . . . . . . . . .</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2,414</w:t>
            </w:r>
          </w:p>
        </w:tc>
      </w:tr>
      <w:tr>
        <w:trPr>
          <w:trHeight w:val="297"/>
        </w:trPr>
        <w:tc>
          <w:tcPr>
            <w:tcW w:w="440" w:type="dxa"/>
            <w:vAlign w:val="bottom"/>
          </w:tcPr>
          <w:p>
            <w:pPr>
              <w:spacing w:after="0"/>
              <w:rPr>
                <w:sz w:val="20"/>
                <w:szCs w:val="20"/>
                <w:color w:val="auto"/>
              </w:rPr>
            </w:pPr>
            <w:r>
              <w:rPr>
                <w:rFonts w:ascii="Arial" w:cs="Arial" w:eastAsia="Arial" w:hAnsi="Arial"/>
                <w:sz w:val="20"/>
                <w:szCs w:val="20"/>
                <w:color w:val="auto"/>
                <w:w w:val="94"/>
              </w:rPr>
              <w:t>2026</w:t>
            </w:r>
          </w:p>
        </w:tc>
        <w:tc>
          <w:tcPr>
            <w:tcW w:w="8240" w:type="dxa"/>
            <w:vAlign w:val="bottom"/>
          </w:tcPr>
          <w:p>
            <w:pPr>
              <w:jc w:val="right"/>
              <w:spacing w:after="0"/>
              <w:rPr>
                <w:sz w:val="20"/>
                <w:szCs w:val="20"/>
                <w:color w:val="auto"/>
              </w:rPr>
            </w:pPr>
            <w:r>
              <w:rPr>
                <w:rFonts w:ascii="Arial" w:cs="Arial" w:eastAsia="Arial" w:hAnsi="Arial"/>
                <w:sz w:val="20"/>
                <w:szCs w:val="20"/>
                <w:color w:val="B4B4B4"/>
                <w:w w:val="88"/>
              </w:rPr>
              <w:t>. . . . . . . . . . . . . . . . . . . . . . . . . . . . . . . . . . . . . . . . . . . . . . . . . . . . . . . . . . . . . . . . . . . . . . . . . . . . . . . . . .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2,422</w:t>
            </w:r>
          </w:p>
        </w:tc>
      </w:tr>
      <w:tr>
        <w:trPr>
          <w:trHeight w:val="297"/>
        </w:trPr>
        <w:tc>
          <w:tcPr>
            <w:tcW w:w="440" w:type="dxa"/>
            <w:vAlign w:val="bottom"/>
          </w:tcPr>
          <w:p>
            <w:pPr>
              <w:spacing w:after="0"/>
              <w:rPr>
                <w:sz w:val="20"/>
                <w:szCs w:val="20"/>
                <w:color w:val="auto"/>
              </w:rPr>
            </w:pPr>
            <w:r>
              <w:rPr>
                <w:rFonts w:ascii="Arial" w:cs="Arial" w:eastAsia="Arial" w:hAnsi="Arial"/>
                <w:sz w:val="20"/>
                <w:szCs w:val="20"/>
                <w:color w:val="auto"/>
                <w:w w:val="94"/>
              </w:rPr>
              <w:t>2027</w:t>
            </w:r>
          </w:p>
        </w:tc>
        <w:tc>
          <w:tcPr>
            <w:tcW w:w="8240" w:type="dxa"/>
            <w:vAlign w:val="bottom"/>
          </w:tcPr>
          <w:p>
            <w:pPr>
              <w:jc w:val="right"/>
              <w:spacing w:after="0"/>
              <w:rPr>
                <w:sz w:val="20"/>
                <w:szCs w:val="20"/>
                <w:color w:val="auto"/>
              </w:rPr>
            </w:pPr>
            <w:r>
              <w:rPr>
                <w:rFonts w:ascii="Arial" w:cs="Arial" w:eastAsia="Arial" w:hAnsi="Arial"/>
                <w:sz w:val="20"/>
                <w:szCs w:val="20"/>
                <w:color w:val="B4B4B4"/>
                <w:w w:val="88"/>
              </w:rPr>
              <w:t>. . . . . . . . . . . . . . . . . . . . . . . . . . . . . . . . . . . . . . . . . . . . . . . . . . . . . . . . . . . . . . . . . . . . . . . . . . . . . . . . . .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1,392</w:t>
            </w:r>
          </w:p>
        </w:tc>
      </w:tr>
      <w:tr>
        <w:trPr>
          <w:trHeight w:val="297"/>
        </w:trPr>
        <w:tc>
          <w:tcPr>
            <w:tcW w:w="440" w:type="dxa"/>
            <w:vAlign w:val="bottom"/>
          </w:tcPr>
          <w:p>
            <w:pPr>
              <w:spacing w:after="0"/>
              <w:rPr>
                <w:sz w:val="20"/>
                <w:szCs w:val="20"/>
                <w:color w:val="auto"/>
              </w:rPr>
            </w:pPr>
            <w:r>
              <w:rPr>
                <w:rFonts w:ascii="Arial" w:cs="Arial" w:eastAsia="Arial" w:hAnsi="Arial"/>
                <w:sz w:val="20"/>
                <w:szCs w:val="20"/>
                <w:color w:val="auto"/>
                <w:w w:val="94"/>
              </w:rPr>
              <w:t>2028</w:t>
            </w:r>
          </w:p>
        </w:tc>
        <w:tc>
          <w:tcPr>
            <w:tcW w:w="8240" w:type="dxa"/>
            <w:vAlign w:val="bottom"/>
          </w:tcPr>
          <w:p>
            <w:pPr>
              <w:jc w:val="right"/>
              <w:spacing w:after="0"/>
              <w:rPr>
                <w:sz w:val="20"/>
                <w:szCs w:val="20"/>
                <w:color w:val="auto"/>
              </w:rPr>
            </w:pPr>
            <w:r>
              <w:rPr>
                <w:rFonts w:ascii="Arial" w:cs="Arial" w:eastAsia="Arial" w:hAnsi="Arial"/>
                <w:sz w:val="20"/>
                <w:szCs w:val="20"/>
                <w:color w:val="B4B4B4"/>
                <w:w w:val="88"/>
              </w:rPr>
              <w:t>. . . . . . . . . . . . . . . . . . . . . . . . . . . . . . . . . . . . . . . . . . . . . . . . . . . . . . . . . . . . . . . . . . . . . . . . . . . . . . . . . .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941</w:t>
            </w:r>
          </w:p>
        </w:tc>
      </w:tr>
      <w:tr>
        <w:trPr>
          <w:trHeight w:val="297"/>
        </w:trPr>
        <w:tc>
          <w:tcPr>
            <w:tcW w:w="440" w:type="dxa"/>
            <w:vAlign w:val="bottom"/>
          </w:tcPr>
          <w:p>
            <w:pPr>
              <w:spacing w:after="0"/>
              <w:rPr>
                <w:sz w:val="20"/>
                <w:szCs w:val="20"/>
                <w:color w:val="auto"/>
              </w:rPr>
            </w:pPr>
            <w:r>
              <w:rPr>
                <w:rFonts w:ascii="Arial" w:cs="Arial" w:eastAsia="Arial" w:hAnsi="Arial"/>
                <w:sz w:val="20"/>
                <w:szCs w:val="20"/>
                <w:color w:val="auto"/>
                <w:w w:val="94"/>
              </w:rPr>
              <w:t>2029</w:t>
            </w:r>
          </w:p>
        </w:tc>
        <w:tc>
          <w:tcPr>
            <w:tcW w:w="8240" w:type="dxa"/>
            <w:vAlign w:val="bottom"/>
          </w:tcPr>
          <w:p>
            <w:pPr>
              <w:jc w:val="right"/>
              <w:spacing w:after="0"/>
              <w:rPr>
                <w:sz w:val="20"/>
                <w:szCs w:val="20"/>
                <w:color w:val="auto"/>
              </w:rPr>
            </w:pPr>
            <w:r>
              <w:rPr>
                <w:rFonts w:ascii="Arial" w:cs="Arial" w:eastAsia="Arial" w:hAnsi="Arial"/>
                <w:sz w:val="20"/>
                <w:szCs w:val="20"/>
                <w:color w:val="B4B4B4"/>
                <w:w w:val="88"/>
              </w:rPr>
              <w:t>. . . . . . . . . . . . . . . . . . . . . . . . . . . . . . . . . . . . . . . . . . . . . . . . . . . . . . . . . . . . . . . . . . . . . . . . . . . . . . . . . .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624</w:t>
            </w:r>
          </w:p>
        </w:tc>
      </w:tr>
      <w:tr>
        <w:trPr>
          <w:trHeight w:val="299"/>
        </w:trPr>
        <w:tc>
          <w:tcPr>
            <w:tcW w:w="8680" w:type="dxa"/>
            <w:vAlign w:val="bottom"/>
            <w:gridSpan w:val="2"/>
          </w:tcPr>
          <w:p>
            <w:pPr>
              <w:spacing w:after="0"/>
              <w:rPr>
                <w:sz w:val="20"/>
                <w:szCs w:val="20"/>
                <w:color w:val="auto"/>
              </w:rPr>
            </w:pPr>
            <w:r>
              <w:rPr>
                <w:rFonts w:ascii="Arial" w:cs="Arial" w:eastAsia="Arial" w:hAnsi="Arial"/>
                <w:sz w:val="20"/>
                <w:szCs w:val="20"/>
                <w:color w:val="auto"/>
                <w:w w:val="90"/>
              </w:rPr>
              <w:t xml:space="preserve">Thereafter </w:t>
            </w:r>
            <w:r>
              <w:rPr>
                <w:rFonts w:ascii="Arial" w:cs="Arial" w:eastAsia="Arial" w:hAnsi="Arial"/>
                <w:sz w:val="20"/>
                <w:szCs w:val="20"/>
                <w:color w:val="B4B4B4"/>
                <w:w w:val="90"/>
              </w:rPr>
              <w:t>. . . . . . . . . . . . . . . . . . . . . . . . . . . . . . . . . . . . . . . . . . . . . . . . . . . . . . . . . . . . . . . . . . . . . . . . . . . . . .</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1,190</w:t>
            </w:r>
          </w:p>
        </w:tc>
      </w:tr>
      <w:tr>
        <w:trPr>
          <w:trHeight w:val="257"/>
        </w:trPr>
        <w:tc>
          <w:tcPr>
            <w:tcW w:w="8680" w:type="dxa"/>
            <w:vAlign w:val="bottom"/>
            <w:gridSpan w:val="2"/>
          </w:tcPr>
          <w:p>
            <w:pPr>
              <w:jc w:val="right"/>
              <w:spacing w:after="0" w:line="257" w:lineRule="exact"/>
              <w:rPr>
                <w:sz w:val="20"/>
                <w:szCs w:val="20"/>
                <w:color w:val="auto"/>
              </w:rPr>
            </w:pPr>
            <w:r>
              <w:rPr>
                <w:rFonts w:ascii="Arial" w:cs="Arial" w:eastAsia="Arial" w:hAnsi="Arial"/>
                <w:sz w:val="20"/>
                <w:szCs w:val="20"/>
                <w:color w:val="B4B4B4"/>
                <w:w w:val="89"/>
              </w:rPr>
              <w:t>. . . . . . . . . . . . . . . . . . . . . . . . . . . . . . . . . . . . . . . . . . . . . . . . . . . . . . . . . . . . . . . . . . . . . . . . . . . . . . . . .</w:t>
            </w:r>
            <w:r>
              <w:rPr>
                <w:rFonts w:ascii="Arial" w:cs="Arial" w:eastAsia="Arial" w:hAnsi="Arial"/>
                <w:sz w:val="20"/>
                <w:szCs w:val="20"/>
                <w:color w:val="000000"/>
                <w:w w:val="89"/>
              </w:rPr>
              <w:t>Total</w:t>
            </w:r>
            <w:r>
              <w:rPr>
                <w:rFonts w:ascii="Arial" w:cs="Arial" w:eastAsia="Arial" w:hAnsi="Arial"/>
                <w:sz w:val="25"/>
                <w:szCs w:val="25"/>
                <w:color w:val="000000"/>
                <w:w w:val="89"/>
                <w:vertAlign w:val="superscript"/>
              </w:rPr>
              <w:t>(a)</w:t>
            </w:r>
          </w:p>
        </w:tc>
        <w:tc>
          <w:tcPr>
            <w:tcW w:w="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8,983</w:t>
            </w:r>
          </w:p>
        </w:tc>
      </w:tr>
      <w:tr>
        <w:trPr>
          <w:trHeight w:val="20"/>
        </w:trPr>
        <w:tc>
          <w:tcPr>
            <w:tcW w:w="44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-1351280</wp:posOffset>
            </wp:positionV>
            <wp:extent cx="6513195" cy="13582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75">
                      <a:extLst>
                        <a:ext uri="{28A0092B-C50C-407E-A947-70E740481C1C}"/>
                      </a:extLst>
                    </a:blip>
                    <a:srcRect/>
                    <a:stretch>
                      <a:fillRect/>
                    </a:stretch>
                  </pic:blipFill>
                  <pic:spPr bwMode="auto">
                    <a:xfrm>
                      <a:off x="0" y="0"/>
                      <a:ext cx="6513195" cy="1358265"/>
                    </a:xfrm>
                    <a:prstGeom prst="rect">
                      <a:avLst/>
                    </a:prstGeom>
                    <a:noFill/>
                  </pic:spPr>
                </pic:pic>
              </a:graphicData>
            </a:graphic>
          </wp:anchor>
        </w:drawing>
      </w:r>
    </w:p>
    <w:p>
      <w:pPr>
        <w:ind w:left="440" w:right="180" w:hanging="439"/>
        <w:spacing w:after="0" w:line="312" w:lineRule="auto"/>
        <w:tabs>
          <w:tab w:leader="none" w:pos="440" w:val="left"/>
        </w:tabs>
        <w:numPr>
          <w:ilvl w:val="0"/>
          <w:numId w:val="90"/>
        </w:numPr>
        <w:rPr>
          <w:rFonts w:ascii="Arial" w:cs="Arial" w:eastAsia="Arial" w:hAnsi="Arial"/>
          <w:sz w:val="15"/>
          <w:szCs w:val="15"/>
          <w:color w:val="auto"/>
        </w:rPr>
      </w:pPr>
      <w:r>
        <w:rPr>
          <w:rFonts w:ascii="Arial" w:cs="Arial" w:eastAsia="Arial" w:hAnsi="Arial"/>
          <w:sz w:val="15"/>
          <w:szCs w:val="15"/>
          <w:color w:val="auto"/>
        </w:rPr>
        <w:t xml:space="preserve">The year 2025 does not include an additional $1.5 billion of short-term commitments. Increase from 2023 is primarily due to NPNS election for certain existing derivative contracts. For further discussion, see Note 6, </w:t>
      </w:r>
      <w:r>
        <w:rPr>
          <w:rFonts w:ascii="Arial" w:cs="Arial" w:eastAsia="Arial" w:hAnsi="Arial"/>
          <w:sz w:val="15"/>
          <w:szCs w:val="15"/>
          <w:b w:val="1"/>
          <w:bCs w:val="1"/>
          <w:i w:val="1"/>
          <w:iCs w:val="1"/>
          <w:color w:val="auto"/>
        </w:rPr>
        <w:t>Accounting for Derivative Instruments and Hedging Activities</w:t>
      </w:r>
    </w:p>
    <w:p>
      <w:pPr>
        <w:spacing w:after="0" w:line="39" w:lineRule="exact"/>
        <w:rPr>
          <w:sz w:val="20"/>
          <w:szCs w:val="20"/>
          <w:color w:val="auto"/>
        </w:rPr>
      </w:pPr>
    </w:p>
    <w:p>
      <w:pPr>
        <w:jc w:val="both"/>
        <w:ind w:right="60" w:firstLine="445"/>
        <w:spacing w:after="0" w:line="262" w:lineRule="auto"/>
        <w:rPr>
          <w:sz w:val="20"/>
          <w:szCs w:val="20"/>
          <w:color w:val="auto"/>
        </w:rPr>
      </w:pPr>
      <w:r>
        <w:rPr>
          <w:rFonts w:ascii="Arial" w:cs="Arial" w:eastAsia="Arial" w:hAnsi="Arial"/>
          <w:sz w:val="20"/>
          <w:szCs w:val="20"/>
          <w:color w:val="auto"/>
        </w:rPr>
        <w:t>The Company's actual costs may be significantly higher than these estimated minimum unconditional long-term firm commitments with remaining term in excess of one year. For the years ended December 31, 2024, 2023 and 2022, the costs of fuel and purchased energy were $12.2 billion, $13.4 billion and $19.6 billion, respectively.</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First Lien Structure</w:t>
      </w:r>
    </w:p>
    <w:p>
      <w:pPr>
        <w:spacing w:after="0" w:line="134" w:lineRule="exact"/>
        <w:rPr>
          <w:sz w:val="20"/>
          <w:szCs w:val="20"/>
          <w:color w:val="auto"/>
        </w:rPr>
      </w:pPr>
    </w:p>
    <w:p>
      <w:pPr>
        <w:jc w:val="both"/>
        <w:ind w:right="60" w:firstLine="445"/>
        <w:spacing w:after="0" w:line="253" w:lineRule="auto"/>
        <w:rPr>
          <w:sz w:val="20"/>
          <w:szCs w:val="20"/>
          <w:color w:val="auto"/>
        </w:rPr>
      </w:pPr>
      <w:r>
        <w:rPr>
          <w:rFonts w:ascii="Arial" w:cs="Arial" w:eastAsia="Arial" w:hAnsi="Arial"/>
          <w:sz w:val="20"/>
          <w:szCs w:val="20"/>
          <w:color w:val="auto"/>
        </w:rPr>
        <w:t>NRG has granted first liens to certain counterparties on a substantial portion of property and assets owned by NRG and the guarantors of its senior debt. NRG uses the first lien structure to reduce the amount of cash collateral and letters of credit that it would otherwise be required to post from time to time to support its obligations under out-of-the-money hedges. To the extent that the underlying hedge positions for a counterparty are out-of-the-money to NRG, the counterparty would have a claim under the first lien program. As of December 31, 2024, all hedges under the first liens were in-the-money on a counterparty aggregate basis.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Contingencies</w:t>
      </w:r>
    </w:p>
    <w:p>
      <w:pPr>
        <w:spacing w:after="0" w:line="134" w:lineRule="exact"/>
        <w:rPr>
          <w:sz w:val="20"/>
          <w:szCs w:val="20"/>
          <w:color w:val="auto"/>
        </w:rPr>
      </w:pPr>
    </w:p>
    <w:p>
      <w:pPr>
        <w:jc w:val="both"/>
        <w:ind w:right="60" w:firstLine="445"/>
        <w:spacing w:after="0" w:line="280" w:lineRule="auto"/>
        <w:rPr>
          <w:sz w:val="20"/>
          <w:szCs w:val="20"/>
          <w:color w:val="auto"/>
        </w:rPr>
      </w:pPr>
      <w:r>
        <w:rPr>
          <w:rFonts w:ascii="Arial" w:cs="Arial" w:eastAsia="Arial" w:hAnsi="Arial"/>
          <w:sz w:val="18"/>
          <w:szCs w:val="18"/>
          <w:color w:val="auto"/>
        </w:rPr>
        <w:t xml:space="preserve">The Company's material legal proceedings are described below. The Company believes that it has valid defenses to these legal proceedings and intends to defend them vigorously. NRG records accruals for estimated losses from contingencies when information available indicates that a loss is probable and the amount of the loss, or range of loss, can be reasonably estimated. As applicable, the Company has established an adequate accrual for the applicable legal matters, including regulatory and environmental matters as further discussed in Note 23, </w:t>
      </w:r>
      <w:r>
        <w:rPr>
          <w:rFonts w:ascii="Arial" w:cs="Arial" w:eastAsia="Arial" w:hAnsi="Arial"/>
          <w:sz w:val="18"/>
          <w:szCs w:val="18"/>
          <w:b w:val="1"/>
          <w:bCs w:val="1"/>
          <w:i w:val="1"/>
          <w:iCs w:val="1"/>
          <w:color w:val="auto"/>
        </w:rPr>
        <w:t>Regulatory Matters</w:t>
      </w:r>
      <w:r>
        <w:rPr>
          <w:rFonts w:ascii="Arial" w:cs="Arial" w:eastAsia="Arial" w:hAnsi="Arial"/>
          <w:sz w:val="18"/>
          <w:szCs w:val="18"/>
          <w:color w:val="auto"/>
        </w:rPr>
        <w:t xml:space="preserve">, and Note 24, </w:t>
      </w:r>
      <w:r>
        <w:rPr>
          <w:rFonts w:ascii="Arial" w:cs="Arial" w:eastAsia="Arial" w:hAnsi="Arial"/>
          <w:sz w:val="18"/>
          <w:szCs w:val="18"/>
          <w:b w:val="1"/>
          <w:bCs w:val="1"/>
          <w:i w:val="1"/>
          <w:iCs w:val="1"/>
          <w:color w:val="auto"/>
        </w:rPr>
        <w:t>Environmental Matters</w:t>
      </w:r>
      <w:r>
        <w:rPr>
          <w:rFonts w:ascii="Arial" w:cs="Arial" w:eastAsia="Arial" w:hAnsi="Arial"/>
          <w:sz w:val="18"/>
          <w:szCs w:val="18"/>
          <w:color w:val="auto"/>
        </w:rPr>
        <w:t>. In addition, legal costs are expensed as incurred. Management has assessed each of the following matters based on current information and made a judgment concerning its potential outcome, considering the nature of the claim, the amount and nature of damages sought, and the probability of success. Unless specified below, the Company is unable to predict the outcome of these legal proceedings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accruals and that such difference could be material.</w:t>
      </w:r>
    </w:p>
    <w:p>
      <w:pPr>
        <w:spacing w:after="0" w:line="68" w:lineRule="exact"/>
        <w:rPr>
          <w:sz w:val="20"/>
          <w:szCs w:val="20"/>
          <w:color w:val="auto"/>
        </w:rPr>
      </w:pPr>
    </w:p>
    <w:p>
      <w:pPr>
        <w:jc w:val="both"/>
        <w:ind w:right="60" w:firstLine="445"/>
        <w:spacing w:after="0" w:line="305" w:lineRule="auto"/>
        <w:rPr>
          <w:sz w:val="20"/>
          <w:szCs w:val="20"/>
          <w:color w:val="auto"/>
        </w:rPr>
      </w:pPr>
      <w:r>
        <w:rPr>
          <w:rFonts w:ascii="Arial" w:cs="Arial" w:eastAsia="Arial" w:hAnsi="Arial"/>
          <w:sz w:val="18"/>
          <w:szCs w:val="18"/>
          <w:color w:val="auto"/>
        </w:rPr>
        <w:t>In addition to the legal proceedings noted below, NRG and its subsidiaries are party to other litigation or legal proceedings arising in the ordinary course of business. In management's opinion, the disposition of these ordinary course matters will not materially adversely affect NRG's consolidated financial position, results of operations, or cash flows.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Environmental Lawsuits</w:t>
      </w:r>
    </w:p>
    <w:p>
      <w:pPr>
        <w:spacing w:after="0" w:line="120" w:lineRule="exact"/>
        <w:rPr>
          <w:sz w:val="20"/>
          <w:szCs w:val="20"/>
          <w:color w:val="auto"/>
        </w:rPr>
      </w:pPr>
    </w:p>
    <w:p>
      <w:pPr>
        <w:jc w:val="both"/>
        <w:ind w:right="60" w:firstLine="445"/>
        <w:spacing w:after="0" w:line="291" w:lineRule="auto"/>
        <w:rPr>
          <w:sz w:val="20"/>
          <w:szCs w:val="20"/>
          <w:color w:val="auto"/>
        </w:rPr>
      </w:pPr>
      <w:r>
        <w:rPr>
          <w:rFonts w:ascii="Arial" w:cs="Arial" w:eastAsia="Arial" w:hAnsi="Arial"/>
          <w:sz w:val="18"/>
          <w:szCs w:val="18"/>
          <w:b w:val="1"/>
          <w:bCs w:val="1"/>
          <w:i w:val="1"/>
          <w:iCs w:val="1"/>
          <w:color w:val="auto"/>
        </w:rPr>
        <w:t xml:space="preserve">Sierra club et al. v. Midwest Generation LLC </w:t>
      </w:r>
      <w:r>
        <w:rPr>
          <w:rFonts w:ascii="Arial" w:cs="Arial" w:eastAsia="Arial" w:hAnsi="Arial"/>
          <w:sz w:val="18"/>
          <w:szCs w:val="18"/>
          <w:color w:val="auto"/>
        </w:rPr>
        <w:t>— In 2012, several environmental groups filed a complaint against Midwest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Generation with the Illinois Pollution Control Board ("IPCB") alleging violations of environmental law resulting in groundwater contamination. In June 2019, the IPCB found in an interim order that Midwest Generation violated the law because it had improperly handled coal ash at four facilities in Illinois and caused or allowed coal ash constituents to impact groundwater. On September 9, 2019, Midwest Generation filed a Motion to Reconsider numerous issues, which the court</w:t>
      </w:r>
    </w:p>
    <w:p>
      <w:pPr>
        <w:sectPr>
          <w:pgSz w:w="11880" w:h="15480" w:orient="portrait"/>
          <w:cols w:equalWidth="0" w:num="1">
            <w:col w:w="10220"/>
          </w:cols>
          <w:pgMar w:left="860" w:top="505"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157</w:t>
      </w:r>
    </w:p>
    <w:p>
      <w:pPr>
        <w:sectPr>
          <w:pgSz w:w="11880" w:h="15480" w:orient="portrait"/>
          <w:cols w:equalWidth="0" w:num="1">
            <w:col w:w="10220"/>
          </w:cols>
          <w:pgMar w:left="860" w:top="505" w:right="800" w:bottom="0" w:gutter="0" w:footer="0" w:header="0"/>
          <w:type w:val="continuous"/>
        </w:sectPr>
      </w:pPr>
    </w:p>
    <w:bookmarkStart w:id="159" w:name="page160"/>
    <w:bookmarkEnd w:id="159"/>
    <w:p>
      <w:pPr>
        <w:spacing w:after="0"/>
        <w:rPr>
          <w:sz w:val="20"/>
          <w:szCs w:val="20"/>
          <w:color w:val="auto"/>
        </w:rPr>
      </w:pPr>
      <w:r>
        <w:rPr>
          <w:rFonts w:ascii="Arial" w:cs="Arial" w:eastAsia="Arial" w:hAnsi="Arial"/>
          <w:sz w:val="19"/>
          <w:szCs w:val="19"/>
          <w:color w:val="auto"/>
        </w:rPr>
        <w:t>granted in part and denied in part on February 6, 2020. In 2023, the IPCB held hearings regarding the appropriate relief.</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Midwest Generation has been working with the Illinois EPA to address the groundwater issues since 2010.</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Consumer Lawsuits</w:t>
      </w:r>
    </w:p>
    <w:p>
      <w:pPr>
        <w:spacing w:after="0" w:line="124" w:lineRule="exact"/>
        <w:rPr>
          <w:sz w:val="20"/>
          <w:szCs w:val="20"/>
          <w:color w:val="auto"/>
        </w:rPr>
      </w:pPr>
    </w:p>
    <w:p>
      <w:pPr>
        <w:jc w:val="both"/>
        <w:ind w:firstLine="445"/>
        <w:spacing w:after="0" w:line="335" w:lineRule="auto"/>
        <w:rPr>
          <w:sz w:val="20"/>
          <w:szCs w:val="20"/>
          <w:color w:val="auto"/>
        </w:rPr>
      </w:pPr>
      <w:r>
        <w:rPr>
          <w:rFonts w:ascii="Arial" w:cs="Arial" w:eastAsia="Arial" w:hAnsi="Arial"/>
          <w:sz w:val="18"/>
          <w:szCs w:val="18"/>
          <w:color w:val="auto"/>
        </w:rPr>
        <w:t>Similar to other energy service companies ("ESCOs") operating in the industry, from time-to-time, the Company and/or its subsidiaries may be subject to consumer lawsuits in various jurisdictions where they sell natural gas and electricity.</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Variable Price Case</w:t>
      </w:r>
    </w:p>
    <w:p>
      <w:pPr>
        <w:spacing w:after="0" w:line="126"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8"/>
          <w:szCs w:val="18"/>
          <w:b w:val="1"/>
          <w:bCs w:val="1"/>
          <w:i w:val="1"/>
          <w:iCs w:val="1"/>
          <w:color w:val="auto"/>
        </w:rPr>
        <w:t xml:space="preserve">Mirkin v. XOOM Energy (E.D.N.Y. Aug. 2019) </w:t>
      </w:r>
      <w:r>
        <w:rPr>
          <w:rFonts w:ascii="Arial" w:cs="Arial" w:eastAsia="Arial" w:hAnsi="Arial"/>
          <w:sz w:val="18"/>
          <w:szCs w:val="18"/>
          <w:color w:val="auto"/>
        </w:rPr>
        <w:t>— XOOM Energy is a defendant in a putative class action lawsuit pending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New York, alleging that XOOM Energy promised that consumers would pay the same or less than they would have paid if they stayed with their default utility or previous energy supplier. The Court denied XOOM's motion for summary judgment and granted class certification. The Second Circuit denied XOOM's request to appeal the class certification grants. XOOM prevailed in its challenge to Mirkin's expert reports. The Court granted XOOM's motion to exclude both reports on damages. As a result, Mirkin has no method to establish damages for its class. The Court asked for further briefing on whether class certification can stand in light of the recent ruling. This matter was known and accrued for at the time of the XOOM acquisition.</w:t>
      </w:r>
    </w:p>
    <w:p>
      <w:pPr>
        <w:spacing w:after="0" w:line="5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20"/>
          <w:szCs w:val="20"/>
          <w:b w:val="1"/>
          <w:bCs w:val="1"/>
          <w:i w:val="1"/>
          <w:iCs w:val="1"/>
          <w:color w:val="auto"/>
        </w:rPr>
        <w:t xml:space="preserve">Telephone Consumer Protection Act ("TCPA") Cases </w:t>
      </w:r>
      <w:r>
        <w:rPr>
          <w:rFonts w:ascii="Arial" w:cs="Arial" w:eastAsia="Arial" w:hAnsi="Arial"/>
          <w:sz w:val="20"/>
          <w:szCs w:val="20"/>
          <w:color w:val="auto"/>
        </w:rPr>
        <w:t>— In the cases set forth below, referred to as the TCPA Cases,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actions involve consumers alleging violations of the Telephone Consumer Protection Act of 1991, as amended, by receiving calls, texts or voicemails without consent in violation of the federal Telemarketing Sales Rule, and/or state counterpart legislation. The underlying claims of each case are similar. The Company denies the allegations asserted by plaintiffs and intends to vigorously defend these matters. These matters were known and accrued for at the time of the Direct Energy acquisition.</w:t>
      </w:r>
    </w:p>
    <w:p>
      <w:pPr>
        <w:spacing w:after="0" w:line="88"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There are two putative class actions pending against Direct Energy: (1) Holly Newman v. Direct Energy, LP (D. Md Sept 2021) - Direct Energy filed its Motion to Dismiss asserting the ruling in the Brittany Burk v. Direct Energy (S.D. Tex. Feb</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2019) preempts the Plaintiff's ability to file suit based on the same facts. The Court denied Direct Energy's motion stating the Court does not have the benefit of all of the facts that were in front of the Burk court to issue a similar ruling. On April 12, 2023, the Court granted Direct Energy’s Motion to Transfer Venue, moving to the case to the Southern District of Texas. The parties are proceeding with written discovery; and (2) Matthew Dickson v. Direct Energy (N.D. Ohio Jan. 2018) - The case was stayed pending the outcome of an appeal to the Sixth Circuit based on the unconstitutionality of the TCPA during the period from 2015-2020. The Sixth Circuit found the TCPA was in effect during that period and remanded the case back to the trial court. Direct Energy refiled its motions along with supplements. On March 25, 2022, the Court granted summary judgment in favor of Direct Energy and dismissed the case. Dickson appealed. The Sixth Circuit found that Dickson has standing and reversed the trial court's dismissal of the case. The matter is back at the trial court. The parties conducted fact and expert discovery and Direct Energy submitted its motion for summary judgment in August 2024.</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Sales Practice Lawsuit</w:t>
      </w:r>
    </w:p>
    <w:p>
      <w:pPr>
        <w:spacing w:after="0" w:line="134"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8"/>
          <w:szCs w:val="18"/>
          <w:color w:val="auto"/>
        </w:rPr>
        <w:t>A Vivint Smart Home competitor has made a claim against Vivint Smart Home alleging, among other things, that Vivint Smart Home's sales representatives used deceptive sales practices. This matter was known and accrued for at the time of the Vivint Smart Home acquisition. CPI Security Systems, Inc. ("CPI") v. Vivint Smart Home, Inc. (W.D.N.C. Sept. 2020) was filed in 2020, went to trial, and in February 2023, the jury issued a verdict against Vivint Smart Home, in favor of CPI for $50 million of compensatory damages and an additional $140 million of punitive damages. Vivint Smart Home has fully briefed the appeal and oral argument was conducted on January 28, 2025. While Vivint Smart Home believes the CPI jury verdict is not legally or factually supported and awaits the issuance of the appellate court’s opinion, there can be no assurance that such defense efforts will be successful. This matter was adequately accrued for as of December 31, 2024.</w:t>
      </w:r>
    </w:p>
    <w:p>
      <w:pPr>
        <w:spacing w:after="0" w:line="77"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8"/>
          <w:szCs w:val="18"/>
          <w:b w:val="1"/>
          <w:bCs w:val="1"/>
          <w:i w:val="1"/>
          <w:iCs w:val="1"/>
          <w:color w:val="auto"/>
        </w:rPr>
        <w:t xml:space="preserve">SB IP Holdings LLC (“Skybell”) v. Vivint Smart Home, Inc. </w:t>
      </w:r>
      <w:r>
        <w:rPr>
          <w:rFonts w:ascii="Arial" w:cs="Arial" w:eastAsia="Arial" w:hAnsi="Arial"/>
          <w:sz w:val="19"/>
          <w:szCs w:val="19"/>
          <w:b w:val="1"/>
          <w:bCs w:val="1"/>
          <w:color w:val="auto"/>
        </w:rPr>
        <w:t>— O</w:t>
      </w:r>
      <w:r>
        <w:rPr>
          <w:rFonts w:ascii="Arial" w:cs="Arial" w:eastAsia="Arial" w:hAnsi="Arial"/>
          <w:sz w:val="18"/>
          <w:szCs w:val="18"/>
          <w:color w:val="auto"/>
        </w:rPr>
        <w:t>n October 23, 2023, a jury in the U.S. District Court,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Eastern District of Texas, Sherman Division, issued a verdict against the Company in favor of Skybell for $45 million in damages for patent infringement. The patents that were the basis for the claims made by Skybell were ruled invalid by the U.S. International Trade Commission in November 2021. The Company does not believe the verdict is legally supported and is pursuing appellate remedies along with any other legal options available. At the time of the Vivint Smart Home acquisition, this matter was known and accrued for at the amount that was determined to be probable and reasonably estimable.</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Contract Dispute</w:t>
      </w:r>
    </w:p>
    <w:p>
      <w:pPr>
        <w:spacing w:after="0" w:line="13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20"/>
          <w:szCs w:val="20"/>
          <w:b w:val="1"/>
          <w:bCs w:val="1"/>
          <w:i w:val="1"/>
          <w:iCs w:val="1"/>
          <w:color w:val="auto"/>
        </w:rPr>
        <w:t xml:space="preserve">STP — </w:t>
      </w:r>
      <w:r>
        <w:rPr>
          <w:rFonts w:ascii="Arial" w:cs="Arial" w:eastAsia="Arial" w:hAnsi="Arial"/>
          <w:sz w:val="20"/>
          <w:szCs w:val="20"/>
          <w:color w:val="auto"/>
        </w:rPr>
        <w:t>In July 2023, the partners in STP, CPS and Austin Energy, initiated a lawsuit and filed to intervene in the license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transfer application with the NRC, claiming a right of first refusal exists in relation to the proposed sale of NRG South Texas' 44% interest in STP to Constellation. The parties entered into a settlement agreement in May 2024, and the litigation was dismissed. There was no incremental impact to NRG as a result of the settlement.</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158</w:t>
      </w:r>
    </w:p>
    <w:p>
      <w:pPr>
        <w:sectPr>
          <w:pgSz w:w="11880" w:h="15480" w:orient="portrait"/>
          <w:cols w:equalWidth="0" w:num="1">
            <w:col w:w="10160"/>
          </w:cols>
          <w:pgMar w:left="860" w:top="512" w:right="860" w:bottom="0" w:gutter="0" w:footer="0" w:header="0"/>
          <w:type w:val="continuous"/>
        </w:sectPr>
      </w:pPr>
    </w:p>
    <w:bookmarkStart w:id="160" w:name="page161"/>
    <w:bookmarkEnd w:id="160"/>
    <w:p>
      <w:pPr>
        <w:ind w:left="440"/>
        <w:spacing w:after="0"/>
        <w:rPr>
          <w:sz w:val="20"/>
          <w:szCs w:val="20"/>
          <w:color w:val="auto"/>
        </w:rPr>
      </w:pPr>
      <w:r>
        <w:rPr>
          <w:rFonts w:ascii="Arial" w:cs="Arial" w:eastAsia="Arial" w:hAnsi="Arial"/>
          <w:sz w:val="20"/>
          <w:szCs w:val="20"/>
          <w:b w:val="1"/>
          <w:bCs w:val="1"/>
          <w:i w:val="1"/>
          <w:iCs w:val="1"/>
          <w:color w:val="auto"/>
        </w:rPr>
        <w:t>Winter Storm Uri Lawsuits</w:t>
      </w:r>
    </w:p>
    <w:p>
      <w:pPr>
        <w:spacing w:after="0" w:line="134"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9"/>
          <w:szCs w:val="19"/>
          <w:color w:val="auto"/>
        </w:rPr>
        <w:t>The Company has been named in certain property damage and wrongful death claims that have been filed in connection with Winter Storm Uri in its capacity as a generator and a REP. Most of the lawsuits related to Winter Storm Uri are consolidated into a single multi-district litigation matter in Harris County District Court. NRG's REPs have since been dismissed from the multi-district litigation. As a power generator, the Company is named in various cases with claims ranging from: wrongful death; personal injury only; property damage and personal injury; property damage only; and subrogation. The First Court of Appeals conditionally granted the generators' mandamus relief, ordering the trial court to grant the generator defendants' Motion to Dismiss. The plaintiffs challenged the ruling and the matters are stayed pending appeals by the various parties. The Company intends to vigorously defend these matters.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23 — </w:t>
      </w:r>
      <w:r>
        <w:rPr>
          <w:rFonts w:ascii="Arial" w:cs="Arial" w:eastAsia="Arial" w:hAnsi="Arial"/>
          <w:sz w:val="20"/>
          <w:szCs w:val="20"/>
          <w:b w:val="1"/>
          <w:bCs w:val="1"/>
          <w:i w:val="1"/>
          <w:iCs w:val="1"/>
          <w:color w:val="auto"/>
        </w:rPr>
        <w:t>Regulatory Matters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 xml:space="preserve">Environmental regulatory matters are discussed within Note 24, </w:t>
      </w:r>
      <w:r>
        <w:rPr>
          <w:rFonts w:ascii="Arial" w:cs="Arial" w:eastAsia="Arial" w:hAnsi="Arial"/>
          <w:sz w:val="20"/>
          <w:szCs w:val="20"/>
          <w:b w:val="1"/>
          <w:bCs w:val="1"/>
          <w:i w:val="1"/>
          <w:iCs w:val="1"/>
          <w:color w:val="auto"/>
        </w:rPr>
        <w:t>Environmental Matters</w:t>
      </w:r>
      <w:r>
        <w:rPr>
          <w:rFonts w:ascii="Arial" w:cs="Arial" w:eastAsia="Arial" w:hAnsi="Arial"/>
          <w:sz w:val="20"/>
          <w:szCs w:val="20"/>
          <w:color w:val="auto"/>
        </w:rPr>
        <w:t>.</w:t>
      </w:r>
    </w:p>
    <w:p>
      <w:pPr>
        <w:spacing w:after="0" w:line="13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NRG operates in a highly regulated industry and is subject to regulation by various federal, state and provincial agencies. As such, NRG is affected by regulatory developments at the federal, state and provincial levels and in the regions in which NRG operates. In addition, NRG is subject to the market rules, procedures, and protocols of the various ISO and RTO markets in which NRG participates. These power markets are subject to ongoing legislative and regulatory changes that may impact NRG's wholesale and retail operations.</w:t>
      </w:r>
    </w:p>
    <w:p>
      <w:pPr>
        <w:spacing w:after="0" w:line="8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20"/>
          <w:szCs w:val="20"/>
          <w:color w:val="auto"/>
        </w:rPr>
        <w:t>In addition to the regulatory proceedings noted below, NRG and its subsidiaries are parties to other regulatory proceedings arising in the ordinary course of business or have other regulatory exposure. In management's opinion, the disposition of these ordinary course matters will not materially adversely affect NRG's consolidated financial position, results of operations, or cash flows.</w:t>
      </w:r>
    </w:p>
    <w:p>
      <w:pPr>
        <w:spacing w:after="0" w:line="8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20"/>
          <w:szCs w:val="20"/>
          <w:b w:val="1"/>
          <w:bCs w:val="1"/>
          <w:i w:val="1"/>
          <w:iCs w:val="1"/>
          <w:color w:val="auto"/>
        </w:rPr>
        <w:t xml:space="preserve">California Station Power </w:t>
      </w:r>
      <w:r>
        <w:rPr>
          <w:rFonts w:ascii="Arial" w:cs="Arial" w:eastAsia="Arial" w:hAnsi="Arial"/>
          <w:sz w:val="20"/>
          <w:szCs w:val="20"/>
          <w:color w:val="auto"/>
        </w:rPr>
        <w:t>— As the result of unfavorable final and non-appealable litigation, the Company accrued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liability associated with consumption of station power at the Company's Encina power plant facility in California after August 30, 2010. The Company has established an appropriate accrual pending potential regulatory action by San Diego Gas &amp; Electric regarding the Company's Encina facility.</w:t>
      </w:r>
    </w:p>
    <w:p>
      <w:pPr>
        <w:spacing w:after="0" w:line="76"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9"/>
          <w:szCs w:val="19"/>
          <w:b w:val="1"/>
          <w:bCs w:val="1"/>
          <w:i w:val="1"/>
          <w:iCs w:val="1"/>
          <w:color w:val="auto"/>
        </w:rPr>
        <w:t xml:space="preserve">Federal Trade Commission Investigation </w:t>
      </w:r>
      <w:r>
        <w:rPr>
          <w:rFonts w:ascii="Arial" w:cs="Arial" w:eastAsia="Arial" w:hAnsi="Arial"/>
          <w:sz w:val="19"/>
          <w:szCs w:val="19"/>
          <w:color w:val="auto"/>
        </w:rPr>
        <w:t>— In 2019, Vivint Smart Home received a civil investigative demand from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staff of the Federal Trade Commission (“FTC”) concerning potential violations of the Fair Credit Reporting Act and the “Red Flags Rule” thereunder, and the FTC Act. In April 2021, Vivint Smart Home entered into a settlement with the FTC that resolved this investigation. As part of this settlement, Vivint Smart Home paid $20 million and agreed to implement various additional compliance related measures ("Stipulated Order"). The Company is engaged in ongoing discussions with the staff of the FTC regarding the Company’s compliance with the terms of the Stipulated Order. Under the terms of the Stipulated Order, Vivint Smart Home is required to undertake biennial assessments by an independent third-party assessor (the "Assessor"), which reviews Vivint Smart Home’s compliance program and provides a report on Vivint Smart Home’s ongoing compliance with the Stipulated Order. Since its inception until December 31, 2023, Vivint Smart Home has completed its initial assessment and its first biennial assessment as required by the Stipulated Order. In addition, Vivint Smart Home has voluntarily undertaken nine quarterly audits by the appointed Assessor. In all the assessments, Vivint Smart Home received a report from the Assessor with no findings of non-compliance of any kind.</w:t>
      </w:r>
    </w:p>
    <w:p>
      <w:pPr>
        <w:spacing w:after="0" w:line="75" w:lineRule="exact"/>
        <w:rPr>
          <w:sz w:val="20"/>
          <w:szCs w:val="20"/>
          <w:color w:val="auto"/>
        </w:rPr>
      </w:pPr>
    </w:p>
    <w:p>
      <w:pPr>
        <w:jc w:val="both"/>
        <w:ind w:firstLine="445"/>
        <w:spacing w:after="0" w:line="280" w:lineRule="auto"/>
        <w:rPr>
          <w:sz w:val="20"/>
          <w:szCs w:val="20"/>
          <w:color w:val="auto"/>
        </w:rPr>
      </w:pPr>
      <w:r>
        <w:rPr>
          <w:rFonts w:ascii="Arial" w:cs="Arial" w:eastAsia="Arial" w:hAnsi="Arial"/>
          <w:sz w:val="18"/>
          <w:szCs w:val="18"/>
          <w:b w:val="1"/>
          <w:bCs w:val="1"/>
          <w:i w:val="1"/>
          <w:iCs w:val="1"/>
          <w:color w:val="auto"/>
        </w:rPr>
        <w:t xml:space="preserve">New York State Public Service Commission ("NYSPSC") - Notice of Apparent Violation </w:t>
      </w:r>
      <w:r>
        <w:rPr>
          <w:rFonts w:ascii="Arial" w:cs="Arial" w:eastAsia="Arial" w:hAnsi="Arial"/>
          <w:sz w:val="18"/>
          <w:szCs w:val="18"/>
          <w:color w:val="auto"/>
        </w:rPr>
        <w:t>— The NYSPSC issued an order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referred to as the Retail Reset Order in December 2019 that limited ESCO's offers for electric and natural gas to three compliant products: guaranteed savings from the utility default rate, a fixed rate commodity product that is priced at no more than 5% greater than the trailing 12-month average utility supply rate or New York-sourced renewable energy that is at least 50% greater than the prevailing New York Renewable Energy Standard for load serving entities. The order effectively limited ESCO offers to natural gas customers to only the guaranteed savings and capped fixed term compliant products because no equivalent renewable energy product exists for natural gas. NRG took action to comply with the order when it became effective April 16, 2021. On January 8, 2024, the NYSPSC notified eight of NRG's retail energy suppliers (serving both electricity and natural gas) of alleged non-compliance with New York regulatory requirements. Among other items, the notices allege that the NRG suppliers did not transition existing residential customers to one of the three compliant products authorized by the NYSPSC following the effective date of the order. NRG responded to the notices in February 2024. The Company believes it has complied with the Retail Reset Order and does not agree with the NYSPSC's assertions made in the notice. The outcome of this process has the potential to negatively impact the retail business in New York.</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24 — </w:t>
      </w:r>
      <w:r>
        <w:rPr>
          <w:rFonts w:ascii="Arial" w:cs="Arial" w:eastAsia="Arial" w:hAnsi="Arial"/>
          <w:sz w:val="20"/>
          <w:szCs w:val="20"/>
          <w:b w:val="1"/>
          <w:bCs w:val="1"/>
          <w:i w:val="1"/>
          <w:iCs w:val="1"/>
          <w:color w:val="auto"/>
        </w:rPr>
        <w:t>Environmental Matters</w:t>
      </w:r>
    </w:p>
    <w:p>
      <w:pPr>
        <w:spacing w:after="0" w:line="134"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9"/>
          <w:szCs w:val="19"/>
          <w:color w:val="auto"/>
        </w:rPr>
        <w:t>NRG is subject to a wide range of environmental laws in the development, construction, ownership and operation of power plants. These laws generally require that governmental permits and approvals be obtained before construction and maintained during operation of power plants. The electric generation industry has been facing increasingly stringent</w:t>
      </w:r>
    </w:p>
    <w:p>
      <w:pPr>
        <w:sectPr>
          <w:pgSz w:w="11880" w:h="15480" w:orient="portrait"/>
          <w:cols w:equalWidth="0" w:num="1">
            <w:col w:w="10160"/>
          </w:cols>
          <w:pgMar w:left="860" w:top="505" w:right="860" w:bottom="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159</w:t>
      </w:r>
    </w:p>
    <w:p>
      <w:pPr>
        <w:sectPr>
          <w:pgSz w:w="11880" w:h="15480" w:orient="portrait"/>
          <w:cols w:equalWidth="0" w:num="1">
            <w:col w:w="10160"/>
          </w:cols>
          <w:pgMar w:left="860" w:top="505" w:right="860" w:bottom="0" w:gutter="0" w:footer="0" w:header="0"/>
          <w:type w:val="continuous"/>
        </w:sectPr>
      </w:pPr>
    </w:p>
    <w:bookmarkStart w:id="161" w:name="page162"/>
    <w:bookmarkEnd w:id="161"/>
    <w:p>
      <w:pPr>
        <w:jc w:val="both"/>
        <w:spacing w:after="0" w:line="269" w:lineRule="auto"/>
        <w:rPr>
          <w:sz w:val="20"/>
          <w:szCs w:val="20"/>
          <w:color w:val="auto"/>
        </w:rPr>
      </w:pPr>
      <w:r>
        <w:rPr>
          <w:rFonts w:ascii="Arial" w:cs="Arial" w:eastAsia="Arial" w:hAnsi="Arial"/>
          <w:sz w:val="19"/>
          <w:szCs w:val="19"/>
          <w:color w:val="auto"/>
        </w:rPr>
        <w:t>requirements regarding air quality, GHG emissions, combustion byproducts, water use and discharge, and threatened and endangered species including four rules promulgated during the second quarter of 2024. In general, future laws are expected to require the addition of emissions controls or other environmental controls or to impose additional restrictions on the operations of the Company's facilities, which could have a material effect on the Company's consolidated financial position, results of operations, or cash flows. The Company has elected to use a $1 million disclosure threshold, as permitted, for environmental proceedings to which the government is a party.</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Air</w:t>
      </w:r>
    </w:p>
    <w:p>
      <w:pPr>
        <w:spacing w:after="0" w:line="13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b w:val="1"/>
          <w:bCs w:val="1"/>
          <w:i w:val="1"/>
          <w:iCs w:val="1"/>
          <w:color w:val="auto"/>
        </w:rPr>
        <w:t xml:space="preserve">CPP/ACE Rules </w:t>
      </w:r>
      <w:r>
        <w:rPr>
          <w:rFonts w:ascii="Arial" w:cs="Arial" w:eastAsia="Arial" w:hAnsi="Arial"/>
          <w:sz w:val="18"/>
          <w:szCs w:val="18"/>
          <w:color w:val="auto"/>
        </w:rPr>
        <w:t>— The attention in recent years on GHG emissions has resulted in federal and state regulations. In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EPA promulgated the ACE rule, which rescinded the CPP, which had sought to broadly regulate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from the power sector. The ACE rule required states that have coal-fired EGUs to develop plans to seek heat rate improvements from coal-fired EGUs. On January 19, 2021, the D.C. Circuit vacated the ACE rule (but on February 22, 2021, at the EPA's request, stayed the issuance of the portion of the mandate that would vacate the repeal of the CPP). On June 30, 2022, the U.S. Supreme Court held that the "generation shifting" approach in the CPP exceeded the powers granted to the EPA by Congress. The Court did not address the related issues of whether the EPA may adopt only measures applied at each source. On May 9, 2024, the EPA promulgated a rule that repealed the ACE rule and significantly revised the manner in which new combustion-turbine and existing steam EGU's GHG emissions will be regulated including capturing and storing/sequestering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 some instances. This rule has been challenged by numerous parties in the D.C. Circuit including 27 states with 22 states intervening in support of the rule. The DC Circuit held oral arguments related to this rule in December 2024. On February 5, 2025, the DOJ filed a motion asking the court to hold proceedings in abeyance while the new administration evaluates the rule. The court granted the motion on February 19, 2025.</w:t>
      </w:r>
    </w:p>
    <w:p>
      <w:pPr>
        <w:spacing w:after="0" w:line="74"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19"/>
          <w:szCs w:val="19"/>
          <w:b w:val="1"/>
          <w:bCs w:val="1"/>
          <w:i w:val="1"/>
          <w:iCs w:val="1"/>
          <w:color w:val="auto"/>
        </w:rPr>
        <w:t xml:space="preserve">CSAPR </w:t>
      </w:r>
      <w:r>
        <w:rPr>
          <w:rFonts w:ascii="Arial" w:cs="Arial" w:eastAsia="Arial" w:hAnsi="Arial"/>
          <w:sz w:val="19"/>
          <w:szCs w:val="19"/>
          <w:color w:val="auto"/>
        </w:rPr>
        <w:t>— On March 15, 2023, the EPA signed and released a prepublication version of a final rule that sought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significantly revise the CSAPR to address the good-neighbor obligations of the 2015 ozone NAAQS for 23 states after earlier having disapproved numerous state plans to address the issue. Several states, including Texas, challenged the EPA's disapproval of their state plans. On May 1, 2023, the U.S. Court of Appeals for the Fifth Circuit stayed the EPA's disapproval of Texas' and Louisiana's state plans, which disapprovals are a condition precedent to the EPA imposing its plan on Texas and Louisiana. Several other states are also similarly situated because of similar stays. Nonetheless, on June 5, 2023, the EPA promulgated this rule. On July 31, 2023, the EPA promulgated an interim final rule that addresses the various judicial orders that have stayed several State-Implementation-Plan disapprovals by limiting the effectiveness of certain requirements of the final rule promulgated on June 5, 2023 in Texas and several other states. On June 27, 2024, the U.S. Supreme Court stayed the final rule in the 11 states where the rule had not already been stayed. The Company cannot predict the outcome of the legal challenges to the: (i) various state disapprovals; (ii) the final rule promulgated on June 5, 2023; and (iii) the interim final rule promulgated on July 31, 2023 that seeks to address the judicial orders. The Company anticipates that the new U.S. presidential administration will revisit this rule.</w:t>
      </w:r>
    </w:p>
    <w:p>
      <w:pPr>
        <w:spacing w:after="0" w:line="83" w:lineRule="exact"/>
        <w:rPr>
          <w:sz w:val="20"/>
          <w:szCs w:val="20"/>
          <w:color w:val="auto"/>
        </w:rPr>
      </w:pPr>
    </w:p>
    <w:p>
      <w:pPr>
        <w:jc w:val="both"/>
        <w:ind w:firstLine="445"/>
        <w:spacing w:after="0" w:line="236" w:lineRule="auto"/>
        <w:rPr>
          <w:sz w:val="20"/>
          <w:szCs w:val="20"/>
          <w:color w:val="auto"/>
        </w:rPr>
      </w:pPr>
      <w:r>
        <w:rPr>
          <w:rFonts w:ascii="Arial" w:cs="Arial" w:eastAsia="Arial" w:hAnsi="Arial"/>
          <w:sz w:val="19"/>
          <w:szCs w:val="19"/>
          <w:b w:val="1"/>
          <w:bCs w:val="1"/>
          <w:i w:val="1"/>
          <w:iCs w:val="1"/>
          <w:color w:val="auto"/>
        </w:rPr>
        <w:t xml:space="preserve">Regional Haze Proposal </w:t>
      </w:r>
      <w:r>
        <w:rPr>
          <w:rFonts w:ascii="Arial" w:cs="Arial" w:eastAsia="Arial" w:hAnsi="Arial"/>
          <w:sz w:val="19"/>
          <w:szCs w:val="19"/>
          <w:color w:val="auto"/>
        </w:rPr>
        <w:t>— In May 2023, the EPA proposed to withdraw the existing Texas Sulfur Dioxide Trading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Program and replace it with unit-specific SO</w:t>
      </w:r>
      <w:r>
        <w:rPr>
          <w:rFonts w:ascii="Arial" w:cs="Arial" w:eastAsia="Arial" w:hAnsi="Arial"/>
          <w:sz w:val="24"/>
          <w:szCs w:val="24"/>
          <w:color w:val="auto"/>
          <w:vertAlign w:val="subscript"/>
        </w:rPr>
        <w:t>2</w:t>
      </w:r>
      <w:r>
        <w:rPr>
          <w:rFonts w:ascii="Arial" w:cs="Arial" w:eastAsia="Arial" w:hAnsi="Arial"/>
          <w:sz w:val="19"/>
          <w:szCs w:val="19"/>
          <w:color w:val="auto"/>
        </w:rPr>
        <w:t xml:space="preserve"> limits for 12 units in Texas to address requirements to improve visibility at National Parks and Wilderness areas. If finalized as proposed, it would result in more stringent SO</w:t>
      </w:r>
      <w:r>
        <w:rPr>
          <w:rFonts w:ascii="Arial" w:cs="Arial" w:eastAsia="Arial" w:hAnsi="Arial"/>
          <w:sz w:val="24"/>
          <w:szCs w:val="24"/>
          <w:color w:val="auto"/>
          <w:vertAlign w:val="subscript"/>
        </w:rPr>
        <w:t>2</w:t>
      </w:r>
      <w:r>
        <w:rPr>
          <w:rFonts w:ascii="Arial" w:cs="Arial" w:eastAsia="Arial" w:hAnsi="Arial"/>
          <w:sz w:val="19"/>
          <w:szCs w:val="19"/>
          <w:color w:val="auto"/>
        </w:rPr>
        <w:t xml:space="preserve"> limits for two of the Company's coal-fired units in Texas. The Company cannot predict the outcome of this proposal.</w:t>
      </w:r>
    </w:p>
    <w:p>
      <w:pPr>
        <w:spacing w:after="0" w:line="97"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20"/>
          <w:szCs w:val="20"/>
          <w:b w:val="1"/>
          <w:bCs w:val="1"/>
          <w:i w:val="1"/>
          <w:iCs w:val="1"/>
          <w:color w:val="auto"/>
        </w:rPr>
        <w:t xml:space="preserve">Mercury and Air Toxics Standards (“MATS”) — </w:t>
      </w:r>
      <w:r>
        <w:rPr>
          <w:rFonts w:ascii="Arial" w:cs="Arial" w:eastAsia="Arial" w:hAnsi="Arial"/>
          <w:sz w:val="20"/>
          <w:szCs w:val="20"/>
          <w:color w:val="auto"/>
        </w:rPr>
        <w:t>On May 7, 2024, the EPA promulgated a final rule that amends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MATS rule by, among other things, increasing the stringency of the filterable particulate matter standard at coal-burning units. The deadline for complying with this more stringent standard is 2027. Twenty-three states have challenged this rule in the D.C. Circuit. Accordingly, the outcome of this rulemaking is uncertain. The Company anticipates that the new U.S. presidential administration will revisit this rule.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Water</w:t>
      </w:r>
    </w:p>
    <w:p>
      <w:pPr>
        <w:spacing w:after="0" w:line="130" w:lineRule="exact"/>
        <w:rPr>
          <w:sz w:val="20"/>
          <w:szCs w:val="20"/>
          <w:color w:val="auto"/>
        </w:rPr>
      </w:pPr>
    </w:p>
    <w:p>
      <w:pPr>
        <w:jc w:val="both"/>
        <w:ind w:firstLine="445"/>
        <w:spacing w:after="0" w:line="281" w:lineRule="auto"/>
        <w:rPr>
          <w:sz w:val="20"/>
          <w:szCs w:val="20"/>
          <w:color w:val="auto"/>
        </w:rPr>
      </w:pPr>
      <w:r>
        <w:rPr>
          <w:rFonts w:ascii="Arial" w:cs="Arial" w:eastAsia="Arial" w:hAnsi="Arial"/>
          <w:sz w:val="18"/>
          <w:szCs w:val="18"/>
          <w:b w:val="1"/>
          <w:bCs w:val="1"/>
          <w:i w:val="1"/>
          <w:iCs w:val="1"/>
          <w:color w:val="auto"/>
        </w:rPr>
        <w:t xml:space="preserve">ELG </w:t>
      </w:r>
      <w:r>
        <w:rPr>
          <w:rFonts w:ascii="Arial" w:cs="Arial" w:eastAsia="Arial" w:hAnsi="Arial"/>
          <w:sz w:val="18"/>
          <w:szCs w:val="18"/>
          <w:color w:val="auto"/>
        </w:rPr>
        <w:t>— In 2015, the EPA revised the ELG for Steam Electric Generating Facilities, which imposed more stringent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(as individual permits were renewed) for wastewater streams from FGD, fly ash, bottom ash and flue gas mercury control. On September 18, 2017, the EPA promulgated a final rule that, among other things, postponed the compliance dates to preserve the status quo for FGD wastewater and bottom ash transport water by two years to November 2020 until the EPA amended the rule. On October 13, 2020, the EPA amended the 2015 ELG rule by: (i) altering the stringency of certain limits for FGD wastewater; (ii) relaxing the zero-discharge requirement for bottom ash transport water; and (iii) changing several deadlines. In 2021, NRG informed its regulators that the Company intends to comply with the ELG by ceasing combustion of coal by the end of 2028 at its domestic coal units outside of Texas, and installing appropriate controls by the end of 2025 at its two plants that have coal-fired units in Texas. On May 9, 2024, the EPA promulgated a rule that revises the ELG by, among other things, further restricting the discharge of (i) FGD wastewater, (ii) bottom ash transport water, and (iii) combustion residual leachate. The rule was challenged in numerous courts, but the cases have been consolidated in the Eighth Circuit of the U.S. Court of Appeals. The outcome of the legal challenges is uncertain. On February 19, 2025, the DOJ filed a motion asking</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160</w:t>
      </w:r>
    </w:p>
    <w:p>
      <w:pPr>
        <w:sectPr>
          <w:pgSz w:w="11880" w:h="15480" w:orient="portrait"/>
          <w:cols w:equalWidth="0" w:num="1">
            <w:col w:w="10160"/>
          </w:cols>
          <w:pgMar w:left="860" w:top="512" w:right="860" w:bottom="0" w:gutter="0" w:footer="0" w:header="0"/>
          <w:type w:val="continuous"/>
        </w:sectPr>
      </w:pPr>
    </w:p>
    <w:bookmarkStart w:id="162" w:name="page163"/>
    <w:bookmarkEnd w:id="162"/>
    <w:p>
      <w:pPr>
        <w:jc w:val="both"/>
        <w:spacing w:after="0" w:line="277" w:lineRule="auto"/>
        <w:rPr>
          <w:sz w:val="20"/>
          <w:szCs w:val="20"/>
          <w:color w:val="auto"/>
        </w:rPr>
      </w:pPr>
      <w:r>
        <w:rPr>
          <w:rFonts w:ascii="Arial" w:cs="Arial" w:eastAsia="Arial" w:hAnsi="Arial"/>
          <w:sz w:val="20"/>
          <w:szCs w:val="20"/>
          <w:color w:val="auto"/>
        </w:rPr>
        <w:t>the court to hold proceedings in abeyance while the new administration evaluates the rule. The Company anticipates that the new U.S. presidential administration will revisit this rule.</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Byproducts</w:t>
      </w:r>
    </w:p>
    <w:p>
      <w:pPr>
        <w:spacing w:after="0" w:line="134" w:lineRule="exact"/>
        <w:rPr>
          <w:sz w:val="20"/>
          <w:szCs w:val="20"/>
          <w:color w:val="auto"/>
        </w:rPr>
      </w:pPr>
    </w:p>
    <w:p>
      <w:pPr>
        <w:jc w:val="both"/>
        <w:ind w:firstLine="445"/>
        <w:spacing w:after="0" w:line="280" w:lineRule="auto"/>
        <w:rPr>
          <w:sz w:val="20"/>
          <w:szCs w:val="20"/>
          <w:color w:val="auto"/>
        </w:rPr>
      </w:pPr>
      <w:r>
        <w:rPr>
          <w:rFonts w:ascii="Arial" w:cs="Arial" w:eastAsia="Arial" w:hAnsi="Arial"/>
          <w:sz w:val="18"/>
          <w:szCs w:val="18"/>
          <w:color w:val="auto"/>
        </w:rPr>
        <w:t>In 2015, the EPA finalized the rule regulating byproducts of coal combustion (e.g., ash and gypsum) as solid wastes under the RCRA. On August 21, 2018, the D.C. Circuit found, among other things, that the EPA had not adequately regulated unlined ponds and legacy surface impoundments. On August 28, 2020, the EPA finalized "A Holistic Approach to Close Part A: Deadline to Initiate Closure," which amended the April 2015 Rule to address the August 2018 D.C. Circuit decision and extend some of the deadlines. On November 12, 2020, the EPA finalized "A Holistic Approach to Closure Part B: Alternative Demonstration for Unlined Surface Impoundments," which further amended the April 2015 Rule to, among other things, provide procedures for requesting approval to operate existing ash impoundments with an alternate liner. On May 8, 2024, the EPA promulgated a rule that establishes requirements for: (i) inactive (or legacy) surface impoundments at inactive facilities and (ii) CCR management units (regardless of how or when the CCR was placed) at regulated facilities. The rule also creates an obligation to conduct site assessments (at all active and certain inactive facilities) to determine whether CCR management units are present. The rule has been challenged in the D.C. Circuit and the outcome of the legal challenges is uncertain. The Company anticipates that the new U.S. presidential administration will revisit this rule.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25 — </w:t>
      </w:r>
      <w:r>
        <w:rPr>
          <w:rFonts w:ascii="Arial" w:cs="Arial" w:eastAsia="Arial" w:hAnsi="Arial"/>
          <w:sz w:val="20"/>
          <w:szCs w:val="20"/>
          <w:b w:val="1"/>
          <w:bCs w:val="1"/>
          <w:i w:val="1"/>
          <w:iCs w:val="1"/>
          <w:color w:val="auto"/>
        </w:rPr>
        <w:t>Cash Flow Information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Detail of supplemental disclosures of cash flow and non-cash investing and financing information was:</w:t>
      </w: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r>
      <w:tr>
        <w:trPr>
          <w:trHeight w:val="232"/>
        </w:trPr>
        <w:tc>
          <w:tcPr>
            <w:tcW w:w="6340" w:type="dxa"/>
            <w:vAlign w:val="bottom"/>
          </w:tcPr>
          <w:p>
            <w:pPr>
              <w:jc w:val="right"/>
              <w:ind w:right="5384"/>
              <w:spacing w:after="0"/>
              <w:rPr>
                <w:sz w:val="20"/>
                <w:szCs w:val="20"/>
                <w:color w:val="auto"/>
              </w:rPr>
            </w:pPr>
            <w:r>
              <w:rPr>
                <w:rFonts w:ascii="Arial" w:cs="Arial" w:eastAsia="Arial" w:hAnsi="Arial"/>
                <w:sz w:val="16"/>
                <w:szCs w:val="16"/>
                <w:b w:val="1"/>
                <w:bCs w:val="1"/>
                <w:color w:val="auto"/>
                <w:w w:val="93"/>
              </w:rPr>
              <w:t>(In millions)</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2022</w:t>
            </w:r>
          </w:p>
        </w:tc>
      </w:tr>
      <w:tr>
        <w:trPr>
          <w:trHeight w:val="275"/>
        </w:trPr>
        <w:tc>
          <w:tcPr>
            <w:tcW w:w="6340" w:type="dxa"/>
            <w:vAlign w:val="bottom"/>
          </w:tcPr>
          <w:p>
            <w:pPr>
              <w:jc w:val="right"/>
              <w:spacing w:after="0"/>
              <w:rPr>
                <w:sz w:val="20"/>
                <w:szCs w:val="20"/>
                <w:color w:val="auto"/>
              </w:rPr>
            </w:pPr>
            <w:r>
              <w:rPr>
                <w:rFonts w:ascii="Arial" w:cs="Arial" w:eastAsia="Arial" w:hAnsi="Arial"/>
                <w:sz w:val="20"/>
                <w:szCs w:val="20"/>
                <w:color w:val="auto"/>
                <w:w w:val="89"/>
              </w:rPr>
              <w:t xml:space="preserve">Interest paid, net of amount capitalized </w:t>
            </w:r>
            <w:r>
              <w:rPr>
                <w:rFonts w:ascii="Arial" w:cs="Arial" w:eastAsia="Arial" w:hAnsi="Arial"/>
                <w:sz w:val="20"/>
                <w:szCs w:val="20"/>
                <w:color w:val="B4B4B4"/>
                <w:w w:val="89"/>
              </w:rPr>
              <w:t>. . . . . . . . . . . . . . . . . . . . . . . . . . . . . . . .</w:t>
            </w: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626</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548</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383</w:t>
            </w:r>
          </w:p>
        </w:tc>
      </w:tr>
      <w:tr>
        <w:trPr>
          <w:trHeight w:val="297"/>
        </w:trPr>
        <w:tc>
          <w:tcPr>
            <w:tcW w:w="6340" w:type="dxa"/>
            <w:vAlign w:val="bottom"/>
          </w:tcPr>
          <w:p>
            <w:pPr>
              <w:jc w:val="right"/>
              <w:spacing w:after="0"/>
              <w:rPr>
                <w:sz w:val="20"/>
                <w:szCs w:val="20"/>
                <w:color w:val="auto"/>
              </w:rPr>
            </w:pPr>
            <w:r>
              <w:rPr>
                <w:rFonts w:ascii="Arial" w:cs="Arial" w:eastAsia="Arial" w:hAnsi="Arial"/>
                <w:sz w:val="20"/>
                <w:szCs w:val="20"/>
                <w:color w:val="auto"/>
                <w:w w:val="89"/>
              </w:rPr>
              <w:t xml:space="preserve">Income taxes paid, net of refunds  </w:t>
            </w:r>
            <w:r>
              <w:rPr>
                <w:rFonts w:ascii="Arial" w:cs="Arial" w:eastAsia="Arial" w:hAnsi="Arial"/>
                <w:sz w:val="20"/>
                <w:szCs w:val="20"/>
                <w:color w:val="B4B4B4"/>
                <w:w w:val="89"/>
              </w:rPr>
              <w:t>. . . . . . . . . . . . . . . . . . . . . . . . . . . . . . . . . . . .</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182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97"/>
        </w:trPr>
        <w:tc>
          <w:tcPr>
            <w:tcW w:w="6340" w:type="dxa"/>
            <w:vAlign w:val="bottom"/>
          </w:tcPr>
          <w:p>
            <w:pPr>
              <w:jc w:val="right"/>
              <w:ind w:right="2584"/>
              <w:spacing w:after="0"/>
              <w:rPr>
                <w:sz w:val="20"/>
                <w:szCs w:val="20"/>
                <w:color w:val="auto"/>
              </w:rPr>
            </w:pPr>
            <w:r>
              <w:rPr>
                <w:rFonts w:ascii="Arial" w:cs="Arial" w:eastAsia="Arial" w:hAnsi="Arial"/>
                <w:sz w:val="20"/>
                <w:szCs w:val="20"/>
                <w:b w:val="1"/>
                <w:bCs w:val="1"/>
                <w:color w:val="auto"/>
                <w:w w:val="87"/>
              </w:rPr>
              <w:t>Non-cash investing and financing activities: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6340" w:type="dxa"/>
            <w:vAlign w:val="bottom"/>
          </w:tcPr>
          <w:p>
            <w:pPr>
              <w:jc w:val="right"/>
              <w:spacing w:after="0"/>
              <w:rPr>
                <w:sz w:val="20"/>
                <w:szCs w:val="20"/>
                <w:color w:val="auto"/>
              </w:rPr>
            </w:pPr>
            <w:r>
              <w:rPr>
                <w:rFonts w:ascii="Arial" w:cs="Arial" w:eastAsia="Arial" w:hAnsi="Arial"/>
                <w:sz w:val="20"/>
                <w:szCs w:val="20"/>
                <w:color w:val="auto"/>
                <w:w w:val="89"/>
              </w:rPr>
              <w:t xml:space="preserve">Decreases to fixed assets for accrued capital expenditures </w:t>
            </w:r>
            <w:r>
              <w:rPr>
                <w:rFonts w:ascii="Arial" w:cs="Arial" w:eastAsia="Arial" w:hAnsi="Arial"/>
                <w:sz w:val="20"/>
                <w:szCs w:val="20"/>
                <w:color w:val="B4B4B4"/>
                <w:w w:val="89"/>
              </w:rPr>
              <w:t>. . . . . . . . . . . . . . . .</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97"/>
        </w:trPr>
        <w:tc>
          <w:tcPr>
            <w:tcW w:w="6340" w:type="dxa"/>
            <w:vAlign w:val="bottom"/>
          </w:tcPr>
          <w:p>
            <w:pPr>
              <w:jc w:val="right"/>
              <w:spacing w:after="0"/>
              <w:rPr>
                <w:sz w:val="20"/>
                <w:szCs w:val="20"/>
                <w:color w:val="auto"/>
              </w:rPr>
            </w:pPr>
            <w:r>
              <w:rPr>
                <w:rFonts w:ascii="Arial" w:cs="Arial" w:eastAsia="Arial" w:hAnsi="Arial"/>
                <w:sz w:val="20"/>
                <w:szCs w:val="20"/>
                <w:color w:val="auto"/>
                <w:w w:val="89"/>
              </w:rPr>
              <w:t xml:space="preserve">Excise tax accrued on share repurchases </w:t>
            </w:r>
            <w:r>
              <w:rPr>
                <w:rFonts w:ascii="Arial" w:cs="Arial" w:eastAsia="Arial" w:hAnsi="Arial"/>
                <w:sz w:val="20"/>
                <w:szCs w:val="20"/>
                <w:color w:val="B4B4B4"/>
                <w:w w:val="89"/>
              </w:rPr>
              <w:t>. . . . . . . . . . . . . . . . . . . . . . . . . . . . . .</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-947420</wp:posOffset>
            </wp:positionV>
            <wp:extent cx="6456680" cy="9683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76">
                      <a:extLst>
                        <a:ext uri="{28A0092B-C50C-407E-A947-70E740481C1C}"/>
                      </a:extLst>
                    </a:blip>
                    <a:srcRect/>
                    <a:stretch>
                      <a:fillRect/>
                    </a:stretch>
                  </pic:blipFill>
                  <pic:spPr bwMode="auto">
                    <a:xfrm>
                      <a:off x="0" y="0"/>
                      <a:ext cx="6456680" cy="96837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26 — </w:t>
      </w:r>
      <w:r>
        <w:rPr>
          <w:rFonts w:ascii="Arial" w:cs="Arial" w:eastAsia="Arial" w:hAnsi="Arial"/>
          <w:sz w:val="20"/>
          <w:szCs w:val="20"/>
          <w:b w:val="1"/>
          <w:bCs w:val="1"/>
          <w:i w:val="1"/>
          <w:iCs w:val="1"/>
          <w:color w:val="auto"/>
        </w:rPr>
        <w:t>Guarantees</w:t>
      </w:r>
    </w:p>
    <w:p>
      <w:pPr>
        <w:spacing w:after="0" w:line="134" w:lineRule="exact"/>
        <w:rPr>
          <w:sz w:val="20"/>
          <w:szCs w:val="20"/>
          <w:color w:val="auto"/>
        </w:rPr>
      </w:pPr>
    </w:p>
    <w:p>
      <w:pPr>
        <w:jc w:val="both"/>
        <w:ind w:firstLine="445"/>
        <w:spacing w:after="0" w:line="323" w:lineRule="auto"/>
        <w:rPr>
          <w:sz w:val="20"/>
          <w:szCs w:val="20"/>
          <w:color w:val="auto"/>
        </w:rPr>
      </w:pPr>
      <w:r>
        <w:rPr>
          <w:rFonts w:ascii="Arial" w:cs="Arial" w:eastAsia="Arial" w:hAnsi="Arial"/>
          <w:sz w:val="16"/>
          <w:szCs w:val="16"/>
          <w:color w:val="auto"/>
        </w:rPr>
        <w:t>NRG and its subsidiaries enter into various contracts that include indemnification and guarantee provisions as a routine part of the Company's business activities. Examples of these contracts include asset purchases and sale agreements, commodity sale and purchase agreements, retail contracts, joint venture agreements, EPC agreements, operation and maintenance agreements, service agreements, settlement agreements,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The Company is obligated with respect to customer deposits associated with the Company's retail operations. In some cases, NRG's maximum potential liability cannot be estimated, since the underlying agreements contain no limits on potential liability.</w:t>
      </w:r>
    </w:p>
    <w:p>
      <w:pPr>
        <w:spacing w:after="0" w:line="3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20"/>
          <w:szCs w:val="20"/>
          <w:color w:val="auto"/>
        </w:rPr>
        <w:t>The following table summarizes the maximum potential exposures that can be estimated for NRG's guarantees, indemnities, and other contingent liabilities by maturity:</w:t>
      </w:r>
    </w:p>
    <w:p>
      <w:pPr>
        <w:spacing w:after="0" w:line="3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6"/>
                <w:szCs w:val="16"/>
                <w:b w:val="1"/>
                <w:bCs w:val="1"/>
                <w:color w:val="auto"/>
              </w:rPr>
              <w:t>By Remaining Maturity at December 31,</w:t>
            </w: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80" w:type="dxa"/>
            <w:vAlign w:val="bottom"/>
            <w:vMerge w:val="restart"/>
          </w:tcPr>
          <w:p>
            <w:pPr>
              <w:spacing w:after="0"/>
              <w:rPr>
                <w:sz w:val="20"/>
                <w:szCs w:val="20"/>
                <w:color w:val="auto"/>
              </w:rPr>
            </w:pPr>
            <w:r>
              <w:rPr>
                <w:rFonts w:ascii="Arial" w:cs="Arial" w:eastAsia="Arial" w:hAnsi="Arial"/>
                <w:sz w:val="16"/>
                <w:szCs w:val="16"/>
                <w:b w:val="1"/>
                <w:bCs w:val="1"/>
                <w:color w:val="auto"/>
                <w:w w:val="86"/>
              </w:rPr>
              <w:t>Guarantees</w:t>
            </w:r>
          </w:p>
        </w:tc>
        <w:tc>
          <w:tcPr>
            <w:tcW w:w="29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188"/>
              <w:spacing w:after="0" w:line="169" w:lineRule="exact"/>
              <w:rPr>
                <w:sz w:val="20"/>
                <w:szCs w:val="20"/>
                <w:color w:val="auto"/>
              </w:rPr>
            </w:pPr>
            <w:r>
              <w:rPr>
                <w:rFonts w:ascii="Arial" w:cs="Arial" w:eastAsia="Arial" w:hAnsi="Arial"/>
                <w:sz w:val="16"/>
                <w:szCs w:val="16"/>
                <w:b w:val="1"/>
                <w:bCs w:val="1"/>
                <w:color w:val="auto"/>
              </w:rPr>
              <w:t>Under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6"/>
                <w:szCs w:val="16"/>
                <w:b w:val="1"/>
                <w:bCs w:val="1"/>
                <w:color w:val="auto"/>
                <w:w w:val="89"/>
              </w:rPr>
              <w:t>1-3 Years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6"/>
                <w:szCs w:val="16"/>
                <w:b w:val="1"/>
                <w:bCs w:val="1"/>
                <w:color w:val="auto"/>
                <w:w w:val="89"/>
              </w:rPr>
              <w:t>3-5 Years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ind w:left="140"/>
              <w:spacing w:after="0" w:line="169" w:lineRule="exact"/>
              <w:rPr>
                <w:sz w:val="20"/>
                <w:szCs w:val="20"/>
                <w:color w:val="auto"/>
              </w:rPr>
            </w:pPr>
            <w:r>
              <w:rPr>
                <w:rFonts w:ascii="Arial" w:cs="Arial" w:eastAsia="Arial" w:hAnsi="Arial"/>
                <w:sz w:val="16"/>
                <w:szCs w:val="16"/>
                <w:b w:val="1"/>
                <w:bCs w:val="1"/>
                <w:color w:val="auto"/>
              </w:rPr>
              <w:t>Over</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restart"/>
          </w:tcPr>
          <w:p>
            <w:pPr>
              <w:jc w:val="right"/>
              <w:ind w:right="225"/>
              <w:spacing w:after="0"/>
              <w:rPr>
                <w:sz w:val="20"/>
                <w:szCs w:val="20"/>
                <w:color w:val="auto"/>
              </w:rPr>
            </w:pPr>
            <w:r>
              <w:rPr>
                <w:rFonts w:ascii="Arial" w:cs="Arial" w:eastAsia="Arial" w:hAnsi="Arial"/>
                <w:sz w:val="16"/>
                <w:szCs w:val="16"/>
                <w:b w:val="1"/>
                <w:bCs w:val="1"/>
                <w:color w:val="auto"/>
                <w:w w:val="94"/>
              </w:rPr>
              <w:t>Total</w:t>
            </w:r>
          </w:p>
        </w:tc>
        <w:tc>
          <w:tcPr>
            <w:tcW w:w="60" w:type="dxa"/>
            <w:vAlign w:val="bottom"/>
          </w:tcPr>
          <w:p>
            <w:pPr>
              <w:spacing w:after="0"/>
              <w:rPr>
                <w:sz w:val="14"/>
                <w:szCs w:val="14"/>
                <w:color w:val="auto"/>
              </w:rPr>
            </w:pPr>
          </w:p>
        </w:tc>
        <w:tc>
          <w:tcPr>
            <w:tcW w:w="1000" w:type="dxa"/>
            <w:vAlign w:val="bottom"/>
            <w:gridSpan w:val="2"/>
            <w:vMerge w:val="restart"/>
          </w:tcPr>
          <w:p>
            <w:pPr>
              <w:jc w:val="right"/>
              <w:ind w:right="41"/>
              <w:spacing w:after="0"/>
              <w:rPr>
                <w:sz w:val="20"/>
                <w:szCs w:val="20"/>
                <w:color w:val="auto"/>
              </w:rPr>
            </w:pPr>
            <w:r>
              <w:rPr>
                <w:rFonts w:ascii="Arial" w:cs="Arial" w:eastAsia="Arial" w:hAnsi="Arial"/>
                <w:sz w:val="16"/>
                <w:szCs w:val="16"/>
                <w:b w:val="1"/>
                <w:bCs w:val="1"/>
                <w:color w:val="auto"/>
              </w:rPr>
              <w:t>2023 Total</w:t>
            </w:r>
          </w:p>
        </w:tc>
        <w:tc>
          <w:tcPr>
            <w:tcW w:w="0" w:type="dxa"/>
            <w:vAlign w:val="bottom"/>
          </w:tcPr>
          <w:p>
            <w:pPr>
              <w:spacing w:after="0"/>
              <w:rPr>
                <w:sz w:val="1"/>
                <w:szCs w:val="1"/>
                <w:color w:val="auto"/>
              </w:rPr>
            </w:pPr>
          </w:p>
        </w:tc>
      </w:tr>
      <w:tr>
        <w:trPr>
          <w:trHeight w:val="177"/>
        </w:trPr>
        <w:tc>
          <w:tcPr>
            <w:tcW w:w="780" w:type="dxa"/>
            <w:vAlign w:val="bottom"/>
            <w:tcBorders>
              <w:bottom w:val="single" w:sz="8" w:color="auto"/>
            </w:tcBorders>
            <w:vMerge w:val="continue"/>
          </w:tcPr>
          <w:p>
            <w:pPr>
              <w:spacing w:after="0"/>
              <w:rPr>
                <w:sz w:val="14"/>
                <w:szCs w:val="14"/>
                <w:color w:val="auto"/>
              </w:rPr>
            </w:pPr>
          </w:p>
        </w:tc>
        <w:tc>
          <w:tcPr>
            <w:tcW w:w="2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188"/>
              <w:spacing w:after="0" w:line="171" w:lineRule="exact"/>
              <w:rPr>
                <w:sz w:val="20"/>
                <w:szCs w:val="20"/>
                <w:color w:val="auto"/>
              </w:rPr>
            </w:pPr>
            <w:r>
              <w:rPr>
                <w:rFonts w:ascii="Arial" w:cs="Arial" w:eastAsia="Arial" w:hAnsi="Arial"/>
                <w:sz w:val="16"/>
                <w:szCs w:val="16"/>
                <w:b w:val="1"/>
                <w:bCs w:val="1"/>
                <w:color w:val="auto"/>
                <w:w w:val="99"/>
              </w:rPr>
              <w:t>1 Year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ind w:left="60"/>
              <w:spacing w:after="0" w:line="171" w:lineRule="exact"/>
              <w:rPr>
                <w:sz w:val="20"/>
                <w:szCs w:val="20"/>
                <w:color w:val="auto"/>
              </w:rPr>
            </w:pPr>
            <w:r>
              <w:rPr>
                <w:rFonts w:ascii="Arial" w:cs="Arial" w:eastAsia="Arial" w:hAnsi="Arial"/>
                <w:sz w:val="16"/>
                <w:szCs w:val="16"/>
                <w:b w:val="1"/>
                <w:bCs w:val="1"/>
                <w:color w:val="auto"/>
              </w:rPr>
              <w:t>5 Years</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740" w:type="dxa"/>
            <w:vAlign w:val="bottom"/>
            <w:gridSpan w:val="2"/>
            <w:vMerge w:val="restart"/>
          </w:tcPr>
          <w:p>
            <w:pPr>
              <w:spacing w:after="0"/>
              <w:rPr>
                <w:sz w:val="20"/>
                <w:szCs w:val="20"/>
                <w:color w:val="auto"/>
              </w:rPr>
            </w:pPr>
            <w:r>
              <w:rPr>
                <w:rFonts w:ascii="Arial" w:cs="Arial" w:eastAsia="Arial" w:hAnsi="Arial"/>
                <w:sz w:val="20"/>
                <w:szCs w:val="20"/>
                <w:color w:val="auto"/>
              </w:rPr>
              <w:t>Letters of credit and surety bonds</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3740" w:type="dxa"/>
            <w:vAlign w:val="bottom"/>
            <w:gridSpan w:val="2"/>
            <w:vMerge w:val="continue"/>
          </w:tcPr>
          <w:p>
            <w:pPr>
              <w:jc w:val="right"/>
              <w:ind w:right="60"/>
              <w:spacing w:after="0" w:line="200" w:lineRule="exact"/>
              <w:rPr>
                <w:sz w:val="20"/>
                <w:szCs w:val="20"/>
                <w:color w:val="auto"/>
              </w:rPr>
            </w:pPr>
            <w:r>
              <w:rPr>
                <w:rFonts w:ascii="Arial" w:cs="Arial" w:eastAsia="Arial" w:hAnsi="Arial"/>
                <w:sz w:val="20"/>
                <w:szCs w:val="20"/>
                <w:color w:val="B4B4B4"/>
              </w:rPr>
              <w:t>. . . . .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3,996</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181</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11</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4,188</w:t>
            </w:r>
          </w:p>
        </w:tc>
        <w:tc>
          <w:tcPr>
            <w:tcW w:w="38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4,592</w:t>
            </w:r>
          </w:p>
        </w:tc>
        <w:tc>
          <w:tcPr>
            <w:tcW w:w="0" w:type="dxa"/>
            <w:vAlign w:val="bottom"/>
          </w:tcPr>
          <w:p>
            <w:pPr>
              <w:spacing w:after="0"/>
              <w:rPr>
                <w:sz w:val="1"/>
                <w:szCs w:val="1"/>
                <w:color w:val="auto"/>
              </w:rPr>
            </w:pPr>
          </w:p>
        </w:tc>
      </w:tr>
      <w:tr>
        <w:trPr>
          <w:trHeight w:val="282"/>
        </w:trPr>
        <w:tc>
          <w:tcPr>
            <w:tcW w:w="3740" w:type="dxa"/>
            <w:vAlign w:val="bottom"/>
            <w:gridSpan w:val="2"/>
          </w:tcPr>
          <w:p>
            <w:pPr>
              <w:spacing w:after="0"/>
              <w:rPr>
                <w:sz w:val="20"/>
                <w:szCs w:val="20"/>
                <w:color w:val="auto"/>
              </w:rPr>
            </w:pPr>
            <w:r>
              <w:rPr>
                <w:rFonts w:ascii="Arial" w:cs="Arial" w:eastAsia="Arial" w:hAnsi="Arial"/>
                <w:sz w:val="20"/>
                <w:szCs w:val="20"/>
                <w:color w:val="auto"/>
                <w:w w:val="89"/>
              </w:rPr>
              <w:t xml:space="preserve">Asset sales guarantee obligations  </w:t>
            </w:r>
            <w:r>
              <w:rPr>
                <w:rFonts w:ascii="Arial" w:cs="Arial" w:eastAsia="Arial" w:hAnsi="Arial"/>
                <w:sz w:val="20"/>
                <w:szCs w:val="20"/>
                <w:color w:val="B4B4B4"/>
                <w:w w:val="89"/>
              </w:rPr>
              <w:t>. . . . . . . . . .</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53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102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126</w:t>
            </w:r>
          </w:p>
        </w:tc>
        <w:tc>
          <w:tcPr>
            <w:tcW w:w="0" w:type="dxa"/>
            <w:vAlign w:val="bottom"/>
          </w:tcPr>
          <w:p>
            <w:pPr>
              <w:spacing w:after="0"/>
              <w:rPr>
                <w:sz w:val="1"/>
                <w:szCs w:val="1"/>
                <w:color w:val="auto"/>
              </w:rPr>
            </w:pPr>
          </w:p>
        </w:tc>
      </w:tr>
      <w:tr>
        <w:trPr>
          <w:trHeight w:val="284"/>
        </w:trPr>
        <w:tc>
          <w:tcPr>
            <w:tcW w:w="3740" w:type="dxa"/>
            <w:vAlign w:val="bottom"/>
            <w:gridSpan w:val="2"/>
          </w:tcPr>
          <w:p>
            <w:pPr>
              <w:spacing w:after="0"/>
              <w:rPr>
                <w:sz w:val="20"/>
                <w:szCs w:val="20"/>
                <w:color w:val="auto"/>
              </w:rPr>
            </w:pPr>
            <w:r>
              <w:rPr>
                <w:rFonts w:ascii="Arial" w:cs="Arial" w:eastAsia="Arial" w:hAnsi="Arial"/>
                <w:sz w:val="20"/>
                <w:szCs w:val="20"/>
                <w:color w:val="auto"/>
                <w:w w:val="90"/>
              </w:rPr>
              <w:t xml:space="preserve">Other guarantees </w:t>
            </w:r>
            <w:r>
              <w:rPr>
                <w:rFonts w:ascii="Arial" w:cs="Arial" w:eastAsia="Arial" w:hAnsi="Arial"/>
                <w:sz w:val="20"/>
                <w:szCs w:val="20"/>
                <w:color w:val="B4B4B4"/>
                <w:w w:val="90"/>
              </w:rPr>
              <w:t>. . . . . . . . . . . . . . . . . . . . . . .</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20"/>
                <w:szCs w:val="20"/>
                <w:color w:val="auto"/>
              </w:rPr>
              <w:t>27</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42"/>
        </w:trPr>
        <w:tc>
          <w:tcPr>
            <w:tcW w:w="3740" w:type="dxa"/>
            <w:vAlign w:val="bottom"/>
            <w:gridSpan w:val="2"/>
          </w:tcPr>
          <w:p>
            <w:pPr>
              <w:jc w:val="right"/>
              <w:ind w:right="40"/>
              <w:spacing w:after="0"/>
              <w:rPr>
                <w:sz w:val="20"/>
                <w:szCs w:val="20"/>
                <w:color w:val="auto"/>
              </w:rPr>
            </w:pPr>
            <w:r>
              <w:rPr>
                <w:rFonts w:ascii="Arial" w:cs="Arial" w:eastAsia="Arial" w:hAnsi="Arial"/>
                <w:sz w:val="20"/>
                <w:szCs w:val="20"/>
                <w:color w:val="B4B4B4"/>
                <w:w w:val="90"/>
              </w:rPr>
              <w:t>. . . . . . . . . . . . . . . . . . . . . . . .</w:t>
            </w:r>
            <w:r>
              <w:rPr>
                <w:rFonts w:ascii="Arial" w:cs="Arial" w:eastAsia="Arial" w:hAnsi="Arial"/>
                <w:sz w:val="20"/>
                <w:szCs w:val="20"/>
                <w:color w:val="000000"/>
                <w:w w:val="90"/>
              </w:rPr>
              <w:t>Totalguarantees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4,007</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201</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29</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00" w:type="dxa"/>
            <w:vAlign w:val="bottom"/>
          </w:tcPr>
          <w:p>
            <w:pPr>
              <w:ind w:left="520"/>
              <w:spacing w:after="0"/>
              <w:rPr>
                <w:sz w:val="20"/>
                <w:szCs w:val="20"/>
                <w:color w:val="auto"/>
              </w:rPr>
            </w:pPr>
            <w:r>
              <w:rPr>
                <w:rFonts w:ascii="Arial" w:cs="Arial" w:eastAsia="Arial" w:hAnsi="Arial"/>
                <w:sz w:val="20"/>
                <w:szCs w:val="20"/>
                <w:color w:val="auto"/>
              </w:rPr>
              <w:t>80</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4,317</w:t>
            </w:r>
          </w:p>
        </w:tc>
        <w:tc>
          <w:tcPr>
            <w:tcW w:w="38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4,745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-747395</wp:posOffset>
            </wp:positionV>
            <wp:extent cx="6466205" cy="7543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77">
                      <a:extLst>
                        <a:ext uri="{28A0092B-C50C-407E-A947-70E740481C1C}"/>
                      </a:extLst>
                    </a:blip>
                    <a:srcRect/>
                    <a:stretch>
                      <a:fillRect/>
                    </a:stretch>
                  </pic:blipFill>
                  <pic:spPr bwMode="auto">
                    <a:xfrm>
                      <a:off x="0" y="0"/>
                      <a:ext cx="6466205" cy="754380"/>
                    </a:xfrm>
                    <a:prstGeom prst="rect">
                      <a:avLst/>
                    </a:prstGeom>
                    <a:noFill/>
                  </pic:spPr>
                </pic:pic>
              </a:graphicData>
            </a:graphic>
          </wp:anchor>
        </w:drawing>
      </w:r>
    </w:p>
    <w:p>
      <w:pPr>
        <w:spacing w:after="0" w:line="162"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8"/>
          <w:szCs w:val="18"/>
          <w:b w:val="1"/>
          <w:bCs w:val="1"/>
          <w:i w:val="1"/>
          <w:iCs w:val="1"/>
          <w:color w:val="auto"/>
        </w:rPr>
        <w:t xml:space="preserve">Letters of credit and surety bonds </w:t>
      </w:r>
      <w:r>
        <w:rPr>
          <w:rFonts w:ascii="Arial" w:cs="Arial" w:eastAsia="Arial" w:hAnsi="Arial"/>
          <w:sz w:val="18"/>
          <w:szCs w:val="18"/>
          <w:color w:val="auto"/>
        </w:rPr>
        <w:t>— As of December 31, 2024, NRG and its consolidated subsidiaries were contingently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obligated for a total of $4.2 billion under letters of credit and surety bonds. Most of these letters of credit and surety bonds are issued in support of the Company's obligations to perform under commodity agreements and obligations associated with future closure and maintenance of ash sites, as well as for financing or other arrangements. A majority of these letters of credit and surety bonds expire within one year of issuance, and it is typical for the Company to renew them on similar terms.</w:t>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161</w:t>
      </w:r>
    </w:p>
    <w:p>
      <w:pPr>
        <w:sectPr>
          <w:pgSz w:w="11880" w:h="15480" w:orient="portrait"/>
          <w:cols w:equalWidth="0" w:num="1">
            <w:col w:w="10160"/>
          </w:cols>
          <w:pgMar w:left="860" w:top="512" w:right="860" w:bottom="0" w:gutter="0" w:footer="0" w:header="0"/>
          <w:type w:val="continuous"/>
        </w:sectPr>
      </w:pPr>
    </w:p>
    <w:bookmarkStart w:id="163" w:name="page164"/>
    <w:bookmarkEnd w:id="163"/>
    <w:p>
      <w:pPr>
        <w:ind w:left="440"/>
        <w:spacing w:after="0"/>
        <w:rPr>
          <w:sz w:val="20"/>
          <w:szCs w:val="20"/>
          <w:color w:val="auto"/>
        </w:rPr>
      </w:pPr>
      <w:r>
        <w:rPr>
          <w:rFonts w:ascii="Arial" w:cs="Arial" w:eastAsia="Arial" w:hAnsi="Arial"/>
          <w:sz w:val="20"/>
          <w:szCs w:val="20"/>
          <w:color w:val="auto"/>
        </w:rPr>
        <w:t>The material indemnities, within the scope of ASC 460, are as follows:</w:t>
      </w:r>
    </w:p>
    <w:p>
      <w:pPr>
        <w:spacing w:after="0" w:line="123"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8"/>
          <w:szCs w:val="18"/>
          <w:b w:val="1"/>
          <w:bCs w:val="1"/>
          <w:i w:val="1"/>
          <w:iCs w:val="1"/>
          <w:color w:val="auto"/>
        </w:rPr>
        <w:t xml:space="preserve">Asset sales </w:t>
      </w:r>
      <w:r>
        <w:rPr>
          <w:rFonts w:ascii="Arial" w:cs="Arial" w:eastAsia="Arial" w:hAnsi="Arial"/>
          <w:sz w:val="18"/>
          <w:szCs w:val="18"/>
          <w:color w:val="auto"/>
        </w:rPr>
        <w:t>— The purchase and sale agreements which govern NRG's asset or share investments and divestitures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customarily contain guarantees and indemnifications of the transaction to third parties. The contracts indemnify the parties for liabilities incurred as a result of a breach of a representation or warranty by the indemnifying party, changes in tax laws or for pre-existing environmental matters. These obligations generally have a discrete term and are intended to protect the parties against risks that are difficult to predict or estimate at the time of the transaction. In several cases, the contract limits the liability of the indemnifier. NRG has no reason to believe that the Company currently has any material liability relating to such routine indemnification obligations included in the table above, except for the California property tax indemnity for estimated increases in California property taxes of certain solar properties that the Company agreed to indemnify, as part of the agreement to sell NRG Yield and the Renewables Platform. The California property tax indemnity is estimated to be $102 million as of December 31, 2024 and is included in the above table under asset sales guarantee obligations.</w:t>
      </w:r>
    </w:p>
    <w:p>
      <w:pPr>
        <w:spacing w:after="0" w:line="63" w:lineRule="exact"/>
        <w:rPr>
          <w:sz w:val="20"/>
          <w:szCs w:val="20"/>
          <w:color w:val="auto"/>
        </w:rPr>
      </w:pPr>
    </w:p>
    <w:p>
      <w:pPr>
        <w:jc w:val="both"/>
        <w:ind w:firstLine="445"/>
        <w:spacing w:after="0" w:line="307" w:lineRule="auto"/>
        <w:rPr>
          <w:sz w:val="20"/>
          <w:szCs w:val="20"/>
          <w:color w:val="auto"/>
        </w:rPr>
      </w:pPr>
      <w:r>
        <w:rPr>
          <w:rFonts w:ascii="Arial" w:cs="Arial" w:eastAsia="Arial" w:hAnsi="Arial"/>
          <w:sz w:val="18"/>
          <w:szCs w:val="18"/>
          <w:b w:val="1"/>
          <w:bCs w:val="1"/>
          <w:i w:val="1"/>
          <w:iCs w:val="1"/>
          <w:color w:val="auto"/>
        </w:rPr>
        <w:t xml:space="preserve">Other guarantees </w:t>
      </w:r>
      <w:r>
        <w:rPr>
          <w:rFonts w:ascii="Arial" w:cs="Arial" w:eastAsia="Arial" w:hAnsi="Arial"/>
          <w:sz w:val="18"/>
          <w:szCs w:val="18"/>
          <w:color w:val="auto"/>
        </w:rPr>
        <w:t>— NRG has issued other guarantees of obligations including payments under certain agreements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certain of its unconsolidated subsidiaries, payment or performance by fuel providers and payment or reimbursement of credit support and deposits. The Company does not believe that it will be required to perform under these guarantees.</w:t>
      </w:r>
    </w:p>
    <w:p>
      <w:pPr>
        <w:spacing w:after="0" w:line="3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9"/>
          <w:szCs w:val="19"/>
          <w:b w:val="1"/>
          <w:bCs w:val="1"/>
          <w:i w:val="1"/>
          <w:iCs w:val="1"/>
          <w:color w:val="auto"/>
        </w:rPr>
        <w:t xml:space="preserve">Other indemnities </w:t>
      </w:r>
      <w:r>
        <w:rPr>
          <w:rFonts w:ascii="Arial" w:cs="Arial" w:eastAsia="Arial" w:hAnsi="Arial"/>
          <w:sz w:val="19"/>
          <w:szCs w:val="19"/>
          <w:color w:val="auto"/>
        </w:rPr>
        <w:t>— Other indemnifications NRG has provided cover operational, tax, litigation and breaches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representations, warranties and covenants. NRG has also indemnified, on a routine basis in the ordinary course of business, consultants or other vendors who have provided services to the Company. NRG's maximum potential exposure under these indemnifications can range from a specified dollar amount to an indeterminate amount, depending on the nature of the transaction. Total maximum potential exposure under these indemnifications is not estimable due to uncertainty as to whether claims will be made or how they will be resolved. NRG does not have any reason to believe that the Company will be required to make any material payments under these indemnity provisions.</w:t>
      </w:r>
    </w:p>
    <w:p>
      <w:pPr>
        <w:spacing w:after="0" w:line="7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20"/>
          <w:szCs w:val="20"/>
          <w:color w:val="auto"/>
        </w:rPr>
        <w:t>Because many of the guarantees and indemnities NRG issues to third parties and affiliates do not limit the amount or duration of its obligations to perform under them, there exists a risk that the Company may have obligations in excess of the amounts described above. For those guarantees and indemnities that do not limit the Company's liability exposure, it may not be able to estimate what the Company's liability would be, until a claim is made for payment or performance, due to the contingent nature of these contracts.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27 — </w:t>
      </w:r>
      <w:r>
        <w:rPr>
          <w:rFonts w:ascii="Arial" w:cs="Arial" w:eastAsia="Arial" w:hAnsi="Arial"/>
          <w:sz w:val="20"/>
          <w:szCs w:val="20"/>
          <w:b w:val="1"/>
          <w:bCs w:val="1"/>
          <w:i w:val="1"/>
          <w:iCs w:val="1"/>
          <w:color w:val="auto"/>
        </w:rPr>
        <w:t>Jointly Owned Plant</w:t>
      </w:r>
    </w:p>
    <w:p>
      <w:pPr>
        <w:spacing w:after="0" w:line="130" w:lineRule="exact"/>
        <w:rPr>
          <w:sz w:val="20"/>
          <w:szCs w:val="20"/>
          <w:color w:val="auto"/>
        </w:rPr>
      </w:pPr>
    </w:p>
    <w:p>
      <w:pPr>
        <w:jc w:val="both"/>
        <w:ind w:firstLine="445"/>
        <w:spacing w:after="0" w:line="281" w:lineRule="auto"/>
        <w:rPr>
          <w:sz w:val="20"/>
          <w:szCs w:val="20"/>
          <w:color w:val="auto"/>
        </w:rPr>
      </w:pPr>
      <w:r>
        <w:rPr>
          <w:rFonts w:ascii="Arial" w:cs="Arial" w:eastAsia="Arial" w:hAnsi="Arial"/>
          <w:sz w:val="18"/>
          <w:szCs w:val="18"/>
          <w:color w:val="auto"/>
        </w:rPr>
        <w:t>NRG owns an undivided interest in Cedar Bayou. Cedar Bayou is maintained and operated pursuant to its joint ownership participation and operating agreement. NRG is responsible for its subsidiary’s share of operating costs and direct expenses and includes its proportionate share of the facility and related revenues and direct expenses in the jointly-owned plant in the corresponding balance sheet and income statement captions of the Company's consolidated financial statements.</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The following table summarizes NRG's proportionate ownership interest in the Company's jointly-owned facility:</w:t>
      </w:r>
    </w:p>
    <w:p>
      <w:pPr>
        <w:spacing w:after="0" w:line="87"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4300" w:type="dxa"/>
            <w:vAlign w:val="bottom"/>
            <w:gridSpan w:val="2"/>
          </w:tcPr>
          <w:p>
            <w:pPr>
              <w:spacing w:after="0"/>
              <w:rPr>
                <w:sz w:val="20"/>
                <w:szCs w:val="20"/>
                <w:color w:val="auto"/>
              </w:rPr>
            </w:pPr>
            <w:r>
              <w:rPr>
                <w:rFonts w:ascii="Arial" w:cs="Arial" w:eastAsia="Arial" w:hAnsi="Arial"/>
                <w:sz w:val="16"/>
                <w:szCs w:val="16"/>
                <w:b w:val="1"/>
                <w:bCs w:val="1"/>
                <w:color w:val="auto"/>
              </w:rPr>
              <w:t>(In millions unless otherwise stated)</w:t>
            </w: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As of December 31, 2024</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1"/>
              </w:rPr>
              <w:t>Ownership</w:t>
            </w:r>
          </w:p>
        </w:tc>
        <w:tc>
          <w:tcPr>
            <w:tcW w:w="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Property, Plant &amp;</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ind w:left="40"/>
              <w:spacing w:after="0"/>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Construction in</w:t>
            </w:r>
          </w:p>
        </w:tc>
        <w:tc>
          <w:tcPr>
            <w:tcW w:w="0" w:type="dxa"/>
            <w:vAlign w:val="bottom"/>
          </w:tcPr>
          <w:p>
            <w:pPr>
              <w:spacing w:after="0"/>
              <w:rPr>
                <w:sz w:val="1"/>
                <w:szCs w:val="1"/>
                <w:color w:val="auto"/>
              </w:rPr>
            </w:pPr>
          </w:p>
        </w:tc>
      </w:tr>
      <w:tr>
        <w:trPr>
          <w:trHeight w:val="172"/>
        </w:trPr>
        <w:tc>
          <w:tcPr>
            <w:tcW w:w="4300" w:type="dxa"/>
            <w:vAlign w:val="bottom"/>
            <w:gridSpan w:val="2"/>
            <w:vMerge w:val="continue"/>
          </w:tcPr>
          <w:p>
            <w:pPr>
              <w:spacing w:after="0"/>
              <w:rPr>
                <w:sz w:val="14"/>
                <w:szCs w:val="14"/>
                <w:color w:val="auto"/>
              </w:rPr>
            </w:pPr>
          </w:p>
        </w:tc>
        <w:tc>
          <w:tcPr>
            <w:tcW w:w="138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89"/>
              </w:rPr>
              <w:t>Interest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211"/>
              <w:spacing w:after="0" w:line="171" w:lineRule="exact"/>
              <w:rPr>
                <w:sz w:val="20"/>
                <w:szCs w:val="20"/>
                <w:color w:val="auto"/>
              </w:rPr>
            </w:pPr>
            <w:r>
              <w:rPr>
                <w:rFonts w:ascii="Arial" w:cs="Arial" w:eastAsia="Arial" w:hAnsi="Arial"/>
                <w:sz w:val="16"/>
                <w:szCs w:val="16"/>
                <w:b w:val="1"/>
                <w:bCs w:val="1"/>
                <w:color w:val="auto"/>
                <w:w w:val="99"/>
              </w:rPr>
              <w:t>Equipment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ind w:left="60"/>
              <w:spacing w:after="0" w:line="171" w:lineRule="exact"/>
              <w:rPr>
                <w:sz w:val="20"/>
                <w:szCs w:val="20"/>
                <w:color w:val="auto"/>
              </w:rPr>
            </w:pPr>
            <w:r>
              <w:rPr>
                <w:rFonts w:ascii="Arial" w:cs="Arial" w:eastAsia="Arial" w:hAnsi="Arial"/>
                <w:sz w:val="16"/>
                <w:szCs w:val="16"/>
                <w:b w:val="1"/>
                <w:bCs w:val="1"/>
                <w:color w:val="auto"/>
              </w:rPr>
              <w:t>Depreciation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74"/>
              <w:spacing w:after="0" w:line="171" w:lineRule="exact"/>
              <w:rPr>
                <w:sz w:val="20"/>
                <w:szCs w:val="20"/>
                <w:color w:val="auto"/>
              </w:rPr>
            </w:pPr>
            <w:r>
              <w:rPr>
                <w:rFonts w:ascii="Arial" w:cs="Arial" w:eastAsia="Arial" w:hAnsi="Arial"/>
                <w:sz w:val="16"/>
                <w:szCs w:val="16"/>
                <w:b w:val="1"/>
                <w:bCs w:val="1"/>
                <w:color w:val="auto"/>
                <w:w w:val="83"/>
              </w:rPr>
              <w:t>Progress</w:t>
            </w:r>
          </w:p>
        </w:tc>
        <w:tc>
          <w:tcPr>
            <w:tcW w:w="0" w:type="dxa"/>
            <w:vAlign w:val="bottom"/>
          </w:tcPr>
          <w:p>
            <w:pPr>
              <w:spacing w:after="0"/>
              <w:rPr>
                <w:sz w:val="1"/>
                <w:szCs w:val="1"/>
                <w:color w:val="auto"/>
              </w:rPr>
            </w:pPr>
          </w:p>
        </w:tc>
      </w:tr>
      <w:tr>
        <w:trPr>
          <w:trHeight w:val="21"/>
        </w:trPr>
        <w:tc>
          <w:tcPr>
            <w:tcW w:w="166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300" w:type="dxa"/>
            <w:vAlign w:val="bottom"/>
            <w:gridSpan w:val="2"/>
          </w:tcPr>
          <w:p>
            <w:pPr>
              <w:spacing w:after="0"/>
              <w:rPr>
                <w:sz w:val="20"/>
                <w:szCs w:val="20"/>
                <w:color w:val="auto"/>
              </w:rPr>
            </w:pPr>
            <w:r>
              <w:rPr>
                <w:rFonts w:ascii="Arial" w:cs="Arial" w:eastAsia="Arial" w:hAnsi="Arial"/>
                <w:sz w:val="20"/>
                <w:szCs w:val="20"/>
                <w:color w:val="auto"/>
                <w:w w:val="92"/>
              </w:rPr>
              <w:t xml:space="preserve">Cedar Bayou Unit 4, Baytown, TX  </w:t>
            </w:r>
            <w:r>
              <w:rPr>
                <w:rFonts w:ascii="Arial" w:cs="Arial" w:eastAsia="Arial" w:hAnsi="Arial"/>
                <w:sz w:val="20"/>
                <w:szCs w:val="20"/>
                <w:color w:val="B4B4B4"/>
                <w:w w:val="92"/>
              </w:rPr>
              <w:t>. . . . . . . . . . . . . .</w:t>
            </w:r>
          </w:p>
        </w:tc>
        <w:tc>
          <w:tcPr>
            <w:tcW w:w="1380" w:type="dxa"/>
            <w:vAlign w:val="bottom"/>
          </w:tcPr>
          <w:p>
            <w:pPr>
              <w:jc w:val="right"/>
              <w:spacing w:after="0"/>
              <w:rPr>
                <w:sz w:val="20"/>
                <w:szCs w:val="20"/>
                <w:color w:val="auto"/>
              </w:rPr>
            </w:pPr>
            <w:r>
              <w:rPr>
                <w:rFonts w:ascii="Arial" w:cs="Arial" w:eastAsia="Arial" w:hAnsi="Arial"/>
                <w:sz w:val="20"/>
                <w:szCs w:val="20"/>
                <w:color w:val="auto"/>
              </w:rPr>
              <w:t>50.00 %</w:t>
            </w:r>
          </w:p>
        </w:tc>
        <w:tc>
          <w:tcPr>
            <w:tcW w:w="30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222</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(125)</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6437630" cy="2139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78">
                      <a:extLst>
                        <a:ext uri="{28A0092B-C50C-407E-A947-70E740481C1C}"/>
                      </a:extLst>
                    </a:blip>
                    <a:srcRect/>
                    <a:stretch>
                      <a:fillRect/>
                    </a:stretch>
                  </pic:blipFill>
                  <pic:spPr bwMode="auto">
                    <a:xfrm>
                      <a:off x="0" y="0"/>
                      <a:ext cx="6437630" cy="21399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28 — </w:t>
      </w:r>
      <w:r>
        <w:rPr>
          <w:rFonts w:ascii="Arial" w:cs="Arial" w:eastAsia="Arial" w:hAnsi="Arial"/>
          <w:sz w:val="20"/>
          <w:szCs w:val="20"/>
          <w:b w:val="1"/>
          <w:bCs w:val="1"/>
          <w:i w:val="1"/>
          <w:iCs w:val="1"/>
          <w:color w:val="auto"/>
        </w:rPr>
        <w:t>Balance Sheet Components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components of accrued expenses and other current liabilities are as follows:</w:t>
      </w:r>
    </w:p>
    <w:p>
      <w:pPr>
        <w:spacing w:after="0" w:line="100"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Year Ended December 31,</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7640" w:type="dxa"/>
            <w:vAlign w:val="bottom"/>
          </w:tcPr>
          <w:p>
            <w:pPr>
              <w:jc w:val="right"/>
              <w:ind w:right="6725"/>
              <w:spacing w:after="0"/>
              <w:rPr>
                <w:sz w:val="20"/>
                <w:szCs w:val="20"/>
                <w:color w:val="auto"/>
              </w:rPr>
            </w:pPr>
            <w:r>
              <w:rPr>
                <w:rFonts w:ascii="Arial" w:cs="Arial" w:eastAsia="Arial" w:hAnsi="Arial"/>
                <w:sz w:val="16"/>
                <w:szCs w:val="16"/>
                <w:b w:val="1"/>
                <w:bCs w:val="1"/>
                <w:color w:val="auto"/>
                <w:w w:val="89"/>
              </w:rPr>
              <w:t>(In millions)</w:t>
            </w:r>
          </w:p>
        </w:tc>
        <w:tc>
          <w:tcPr>
            <w:tcW w:w="3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8"/>
                <w:szCs w:val="18"/>
                <w:b w:val="1"/>
                <w:bCs w:val="1"/>
                <w:color w:val="auto"/>
              </w:rPr>
              <w:t>2023</w:t>
            </w:r>
          </w:p>
        </w:tc>
      </w:tr>
      <w:tr>
        <w:trPr>
          <w:trHeight w:val="275"/>
        </w:trPr>
        <w:tc>
          <w:tcPr>
            <w:tcW w:w="7640" w:type="dxa"/>
            <w:vAlign w:val="bottom"/>
          </w:tcPr>
          <w:p>
            <w:pPr>
              <w:jc w:val="right"/>
              <w:spacing w:after="0"/>
              <w:rPr>
                <w:sz w:val="20"/>
                <w:szCs w:val="20"/>
                <w:color w:val="auto"/>
              </w:rPr>
            </w:pPr>
            <w:r>
              <w:rPr>
                <w:rFonts w:ascii="Arial" w:cs="Arial" w:eastAsia="Arial" w:hAnsi="Arial"/>
                <w:sz w:val="20"/>
                <w:szCs w:val="20"/>
                <w:color w:val="auto"/>
                <w:w w:val="91"/>
              </w:rPr>
              <w:t xml:space="preserve">Accrued RECs </w:t>
            </w:r>
            <w:r>
              <w:rPr>
                <w:rFonts w:ascii="Arial" w:cs="Arial" w:eastAsia="Arial" w:hAnsi="Arial"/>
                <w:sz w:val="20"/>
                <w:szCs w:val="20"/>
                <w:color w:val="B4B4B4"/>
                <w:w w:val="91"/>
              </w:rPr>
              <w:t>. . . . . . . . . . . . . . . . . . . . . . . . . . . . . . . . . . . . . . . . . . . . . . . . . . . . . . . . . . . . . . .</w:t>
            </w: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477</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435</w:t>
            </w:r>
          </w:p>
        </w:tc>
      </w:tr>
      <w:tr>
        <w:trPr>
          <w:trHeight w:val="297"/>
        </w:trPr>
        <w:tc>
          <w:tcPr>
            <w:tcW w:w="7640" w:type="dxa"/>
            <w:vAlign w:val="bottom"/>
          </w:tcPr>
          <w:p>
            <w:pPr>
              <w:jc w:val="right"/>
              <w:spacing w:after="0"/>
              <w:rPr>
                <w:sz w:val="20"/>
                <w:szCs w:val="20"/>
                <w:color w:val="auto"/>
              </w:rPr>
            </w:pPr>
            <w:r>
              <w:rPr>
                <w:rFonts w:ascii="Arial" w:cs="Arial" w:eastAsia="Arial" w:hAnsi="Arial"/>
                <w:sz w:val="20"/>
                <w:szCs w:val="20"/>
                <w:color w:val="auto"/>
                <w:w w:val="91"/>
              </w:rPr>
              <w:t xml:space="preserve">Accrued compensation and employee benefits </w:t>
            </w:r>
            <w:r>
              <w:rPr>
                <w:rFonts w:ascii="Arial" w:cs="Arial" w:eastAsia="Arial" w:hAnsi="Arial"/>
                <w:sz w:val="20"/>
                <w:szCs w:val="20"/>
                <w:color w:val="B4B4B4"/>
                <w:w w:val="91"/>
              </w:rPr>
              <w:t>. . . . . . . . . . . . . . . . . . . . . . . . . . . . . . . . . . . . .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514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452</w:t>
            </w:r>
          </w:p>
        </w:tc>
      </w:tr>
      <w:tr>
        <w:trPr>
          <w:trHeight w:val="299"/>
        </w:trPr>
        <w:tc>
          <w:tcPr>
            <w:tcW w:w="7640" w:type="dxa"/>
            <w:vAlign w:val="bottom"/>
          </w:tcPr>
          <w:p>
            <w:pPr>
              <w:jc w:val="right"/>
              <w:spacing w:after="0"/>
              <w:rPr>
                <w:sz w:val="20"/>
                <w:szCs w:val="20"/>
                <w:color w:val="auto"/>
              </w:rPr>
            </w:pPr>
            <w:r>
              <w:rPr>
                <w:rFonts w:ascii="Arial" w:cs="Arial" w:eastAsia="Arial" w:hAnsi="Arial"/>
                <w:sz w:val="20"/>
                <w:szCs w:val="20"/>
                <w:color w:val="auto"/>
                <w:w w:val="90"/>
              </w:rPr>
              <w:t xml:space="preserve">Other  </w:t>
            </w:r>
            <w:r>
              <w:rPr>
                <w:rFonts w:ascii="Arial" w:cs="Arial" w:eastAsia="Arial" w:hAnsi="Arial"/>
                <w:sz w:val="20"/>
                <w:szCs w:val="20"/>
                <w:color w:val="B4B4B4"/>
                <w:w w:val="90"/>
              </w:rPr>
              <w:t>. . . . . . . . . . . . . . . . . . . . . . . . . . . . . . . . . . . . . . . . . . . . . . . . . . . . . . . . . . . . . . . . . . . . . .</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1,040</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755</w:t>
            </w:r>
          </w:p>
        </w:tc>
      </w:tr>
      <w:tr>
        <w:trPr>
          <w:trHeight w:val="257"/>
        </w:trPr>
        <w:tc>
          <w:tcPr>
            <w:tcW w:w="7640" w:type="dxa"/>
            <w:vAlign w:val="bottom"/>
          </w:tcPr>
          <w:p>
            <w:pPr>
              <w:jc w:val="right"/>
              <w:spacing w:after="0"/>
              <w:rPr>
                <w:sz w:val="20"/>
                <w:szCs w:val="20"/>
                <w:color w:val="auto"/>
              </w:rPr>
            </w:pPr>
            <w:r>
              <w:rPr>
                <w:rFonts w:ascii="Arial" w:cs="Arial" w:eastAsia="Arial" w:hAnsi="Arial"/>
                <w:sz w:val="20"/>
                <w:szCs w:val="20"/>
                <w:b w:val="1"/>
                <w:bCs w:val="1"/>
                <w:color w:val="auto"/>
                <w:w w:val="90"/>
              </w:rPr>
              <w:t xml:space="preserve">Total accrued expenses and other current liabilities </w:t>
            </w:r>
            <w:r>
              <w:rPr>
                <w:rFonts w:ascii="Arial" w:cs="Arial" w:eastAsia="Arial" w:hAnsi="Arial"/>
                <w:sz w:val="20"/>
                <w:szCs w:val="20"/>
                <w:b w:val="1"/>
                <w:bCs w:val="1"/>
                <w:color w:val="B4B4B4"/>
                <w:w w:val="90"/>
              </w:rPr>
              <w:t>. . . . . . . . . . . . . . . . . . . . . . . . . . . . . . .</w:t>
            </w: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2,031</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1,642</w:t>
            </w:r>
          </w:p>
        </w:tc>
      </w:tr>
      <w:tr>
        <w:trPr>
          <w:trHeight w:val="20"/>
        </w:trPr>
        <w:tc>
          <w:tcPr>
            <w:tcW w:w="7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-785495</wp:posOffset>
            </wp:positionV>
            <wp:extent cx="6475095" cy="7924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79">
                      <a:extLst>
                        <a:ext uri="{28A0092B-C50C-407E-A947-70E740481C1C}"/>
                      </a:extLst>
                    </a:blip>
                    <a:srcRect/>
                    <a:stretch>
                      <a:fillRect/>
                    </a:stretch>
                  </pic:blipFill>
                  <pic:spPr bwMode="auto">
                    <a:xfrm>
                      <a:off x="0" y="0"/>
                      <a:ext cx="6475095" cy="792480"/>
                    </a:xfrm>
                    <a:prstGeom prst="rect">
                      <a:avLst/>
                    </a:prstGeom>
                    <a:noFill/>
                  </pic:spPr>
                </pic:pic>
              </a:graphicData>
            </a:graphic>
          </wp:anchor>
        </w:drawing>
      </w:r>
    </w:p>
    <w:p>
      <w:pPr>
        <w:sectPr>
          <w:pgSz w:w="11880" w:h="15480" w:orient="portrait"/>
          <w:cols w:equalWidth="0" w:num="1">
            <w:col w:w="10160"/>
          </w:cols>
          <w:pgMar w:left="860" w:top="5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162</w:t>
      </w:r>
    </w:p>
    <w:p>
      <w:pPr>
        <w:sectPr>
          <w:pgSz w:w="11880" w:h="15480" w:orient="portrait"/>
          <w:cols w:equalWidth="0" w:num="1">
            <w:col w:w="10160"/>
          </w:cols>
          <w:pgMar w:left="860" w:top="512" w:right="860" w:bottom="0" w:gutter="0" w:footer="0" w:header="0"/>
          <w:type w:val="continuous"/>
        </w:sectPr>
      </w:pPr>
    </w:p>
    <w:bookmarkStart w:id="164" w:name="page165"/>
    <w:bookmarkEnd w:id="164"/>
    <w:p>
      <w:pPr>
        <w:ind w:right="2200" w:firstLine="2192"/>
        <w:spacing w:after="0" w:line="363" w:lineRule="auto"/>
        <w:rPr>
          <w:sz w:val="20"/>
          <w:szCs w:val="20"/>
          <w:color w:val="auto"/>
        </w:rPr>
      </w:pPr>
      <w:r>
        <w:rPr>
          <w:rFonts w:ascii="Arial" w:cs="Arial" w:eastAsia="Arial" w:hAnsi="Arial"/>
          <w:sz w:val="20"/>
          <w:szCs w:val="20"/>
          <w:b w:val="1"/>
          <w:bCs w:val="1"/>
          <w:color w:val="auto"/>
        </w:rPr>
        <w:t xml:space="preserve">SCHEDULE II </w:t>
      </w:r>
      <w:r>
        <w:rPr>
          <w:rFonts w:ascii="Arial" w:cs="Arial" w:eastAsia="Arial" w:hAnsi="Arial"/>
          <w:sz w:val="20"/>
          <w:szCs w:val="20"/>
          <w:color w:val="auto"/>
        </w:rPr>
        <w:t>—</w:t>
      </w:r>
      <w:r>
        <w:rPr>
          <w:rFonts w:ascii="Arial" w:cs="Arial" w:eastAsia="Arial" w:hAnsi="Arial"/>
          <w:sz w:val="20"/>
          <w:szCs w:val="20"/>
          <w:b w:val="1"/>
          <w:bCs w:val="1"/>
          <w:color w:val="auto"/>
        </w:rPr>
        <w:t xml:space="preserve"> VALUATION AND QUALIFYING ACCOUNTS For the Years Ended December 31, 2024, 2023 and 2022</w:t>
      </w:r>
    </w:p>
    <w:tbl>
      <w:tblPr>
        <w:tblLayout w:type="fixed"/>
        <w:tblInd w:w="6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66"/>
              <w:spacing w:after="0" w:line="162" w:lineRule="exact"/>
              <w:rPr>
                <w:sz w:val="20"/>
                <w:szCs w:val="20"/>
                <w:color w:val="auto"/>
              </w:rPr>
            </w:pPr>
            <w:r>
              <w:rPr>
                <w:rFonts w:ascii="Arial" w:cs="Arial" w:eastAsia="Arial" w:hAnsi="Arial"/>
                <w:sz w:val="16"/>
                <w:szCs w:val="16"/>
                <w:b w:val="1"/>
                <w:bCs w:val="1"/>
                <w:color w:val="auto"/>
                <w:w w:val="84"/>
              </w:rPr>
              <w:t>Balance at</w:t>
            </w:r>
          </w:p>
        </w:tc>
        <w:tc>
          <w:tcPr>
            <w:tcW w:w="100" w:type="dxa"/>
            <w:vAlign w:val="bottom"/>
          </w:tcPr>
          <w:p>
            <w:pPr>
              <w:spacing w:after="0"/>
              <w:rPr>
                <w:sz w:val="14"/>
                <w:szCs w:val="14"/>
                <w:color w:val="auto"/>
              </w:rPr>
            </w:pPr>
          </w:p>
        </w:tc>
        <w:tc>
          <w:tcPr>
            <w:tcW w:w="10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9"/>
              </w:rPr>
              <w:t>Charged to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164"/>
              <w:spacing w:after="0"/>
              <w:rPr>
                <w:sz w:val="20"/>
                <w:szCs w:val="20"/>
                <w:color w:val="auto"/>
              </w:rPr>
            </w:pPr>
            <w:r>
              <w:rPr>
                <w:rFonts w:ascii="Arial" w:cs="Arial" w:eastAsia="Arial" w:hAnsi="Arial"/>
                <w:sz w:val="16"/>
                <w:szCs w:val="16"/>
                <w:b w:val="1"/>
                <w:bCs w:val="1"/>
                <w:color w:val="auto"/>
                <w:w w:val="92"/>
              </w:rPr>
              <w:t>Charged to</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104"/>
              <w:spacing w:after="0"/>
              <w:rPr>
                <w:sz w:val="20"/>
                <w:szCs w:val="20"/>
                <w:color w:val="auto"/>
              </w:rPr>
            </w:pPr>
            <w:r>
              <w:rPr>
                <w:rFonts w:ascii="Arial" w:cs="Arial" w:eastAsia="Arial" w:hAnsi="Arial"/>
                <w:sz w:val="16"/>
                <w:szCs w:val="16"/>
                <w:b w:val="1"/>
                <w:bCs w:val="1"/>
                <w:color w:val="auto"/>
                <w:w w:val="89"/>
              </w:rPr>
              <w:t>Balance at</w:t>
            </w:r>
          </w:p>
        </w:tc>
        <w:tc>
          <w:tcPr>
            <w:tcW w:w="0" w:type="dxa"/>
            <w:vAlign w:val="bottom"/>
          </w:tcPr>
          <w:p>
            <w:pPr>
              <w:spacing w:after="0"/>
              <w:rPr>
                <w:sz w:val="1"/>
                <w:szCs w:val="1"/>
                <w:color w:val="auto"/>
              </w:rPr>
            </w:pPr>
          </w:p>
        </w:tc>
      </w:tr>
      <w:tr>
        <w:trPr>
          <w:trHeight w:val="158"/>
        </w:trPr>
        <w:tc>
          <w:tcPr>
            <w:tcW w:w="422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102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4"/>
              </w:rPr>
              <w:t>Beginning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66"/>
              <w:spacing w:after="0" w:line="158" w:lineRule="exact"/>
              <w:rPr>
                <w:sz w:val="20"/>
                <w:szCs w:val="20"/>
                <w:color w:val="auto"/>
              </w:rPr>
            </w:pPr>
            <w:r>
              <w:rPr>
                <w:rFonts w:ascii="Arial" w:cs="Arial" w:eastAsia="Arial" w:hAnsi="Arial"/>
                <w:sz w:val="16"/>
                <w:szCs w:val="16"/>
                <w:b w:val="1"/>
                <w:bCs w:val="1"/>
                <w:color w:val="auto"/>
                <w:w w:val="85"/>
              </w:rPr>
              <w:t>Costs and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vMerge w:val="restart"/>
          </w:tcPr>
          <w:p>
            <w:pPr>
              <w:jc w:val="right"/>
              <w:ind w:right="360"/>
              <w:spacing w:after="0"/>
              <w:rPr>
                <w:sz w:val="20"/>
                <w:szCs w:val="20"/>
                <w:color w:val="auto"/>
              </w:rPr>
            </w:pPr>
            <w:r>
              <w:rPr>
                <w:rFonts w:ascii="Arial" w:cs="Arial" w:eastAsia="Arial" w:hAnsi="Arial"/>
                <w:sz w:val="16"/>
                <w:szCs w:val="16"/>
                <w:b w:val="1"/>
                <w:bCs w:val="1"/>
                <w:color w:val="auto"/>
                <w:w w:val="91"/>
              </w:rPr>
              <w:t>Deductions</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86"/>
              <w:spacing w:after="0"/>
              <w:rPr>
                <w:sz w:val="20"/>
                <w:szCs w:val="20"/>
                <w:color w:val="auto"/>
              </w:rPr>
            </w:pPr>
            <w:r>
              <w:rPr>
                <w:rFonts w:ascii="Arial" w:cs="Arial" w:eastAsia="Arial" w:hAnsi="Arial"/>
                <w:sz w:val="16"/>
                <w:szCs w:val="16"/>
                <w:b w:val="1"/>
                <w:bCs w:val="1"/>
                <w:color w:val="auto"/>
              </w:rPr>
              <w:t>Period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center"/>
              <w:ind w:right="66"/>
              <w:spacing w:after="0"/>
              <w:rPr>
                <w:sz w:val="20"/>
                <w:szCs w:val="20"/>
                <w:color w:val="auto"/>
              </w:rPr>
            </w:pPr>
            <w:r>
              <w:rPr>
                <w:rFonts w:ascii="Arial" w:cs="Arial" w:eastAsia="Arial" w:hAnsi="Arial"/>
                <w:sz w:val="16"/>
                <w:szCs w:val="16"/>
                <w:b w:val="1"/>
                <w:bCs w:val="1"/>
                <w:color w:val="auto"/>
                <w:w w:val="82"/>
              </w:rPr>
              <w:t>Expenses</w:t>
            </w:r>
          </w:p>
        </w:tc>
        <w:tc>
          <w:tcPr>
            <w:tcW w:w="80" w:type="dxa"/>
            <w:vAlign w:val="bottom"/>
          </w:tcPr>
          <w:p>
            <w:pPr>
              <w:spacing w:after="0"/>
              <w:rPr>
                <w:sz w:val="18"/>
                <w:szCs w:val="18"/>
                <w:color w:val="auto"/>
              </w:rPr>
            </w:pPr>
          </w:p>
        </w:tc>
        <w:tc>
          <w:tcPr>
            <w:tcW w:w="126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w w:val="94"/>
              </w:rPr>
              <w:t>Other Accounts</w:t>
            </w:r>
          </w:p>
        </w:tc>
        <w:tc>
          <w:tcPr>
            <w:tcW w:w="10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End of Period</w:t>
            </w:r>
          </w:p>
        </w:tc>
        <w:tc>
          <w:tcPr>
            <w:tcW w:w="0" w:type="dxa"/>
            <w:vAlign w:val="bottom"/>
          </w:tcPr>
          <w:p>
            <w:pPr>
              <w:spacing w:after="0"/>
              <w:rPr>
                <w:sz w:val="1"/>
                <w:szCs w:val="1"/>
                <w:color w:val="auto"/>
              </w:rPr>
            </w:pPr>
          </w:p>
        </w:tc>
      </w:tr>
      <w:tr>
        <w:trPr>
          <w:trHeight w:val="175"/>
        </w:trPr>
        <w:tc>
          <w:tcPr>
            <w:tcW w:w="4220" w:type="dxa"/>
            <w:vAlign w:val="bottom"/>
          </w:tcPr>
          <w:p>
            <w:pPr>
              <w:spacing w:after="0" w:line="175" w:lineRule="exact"/>
              <w:rPr>
                <w:sz w:val="20"/>
                <w:szCs w:val="20"/>
                <w:color w:val="auto"/>
              </w:rPr>
            </w:pPr>
            <w:r>
              <w:rPr>
                <w:rFonts w:ascii="Arial" w:cs="Arial" w:eastAsia="Arial" w:hAnsi="Arial"/>
                <w:sz w:val="20"/>
                <w:szCs w:val="20"/>
                <w:b w:val="1"/>
                <w:bCs w:val="1"/>
                <w:color w:val="auto"/>
              </w:rPr>
              <w:t>Allowance for credit losses, deducted from</w:t>
            </w: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20" w:type="dxa"/>
            <w:vAlign w:val="bottom"/>
          </w:tcPr>
          <w:p>
            <w:pPr>
              <w:ind w:left="180"/>
              <w:spacing w:after="0" w:line="198" w:lineRule="exact"/>
              <w:rPr>
                <w:sz w:val="20"/>
                <w:szCs w:val="20"/>
                <w:color w:val="auto"/>
              </w:rPr>
            </w:pPr>
            <w:r>
              <w:rPr>
                <w:rFonts w:ascii="Arial" w:cs="Arial" w:eastAsia="Arial" w:hAnsi="Arial"/>
                <w:sz w:val="20"/>
                <w:szCs w:val="20"/>
                <w:b w:val="1"/>
                <w:bCs w:val="1"/>
                <w:color w:val="auto"/>
                <w:w w:val="99"/>
              </w:rPr>
              <w:t>accounts receivable and other non-current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220" w:type="dxa"/>
            <w:vAlign w:val="bottom"/>
          </w:tcPr>
          <w:p>
            <w:pPr>
              <w:ind w:left="180"/>
              <w:spacing w:after="0"/>
              <w:rPr>
                <w:sz w:val="20"/>
                <w:szCs w:val="20"/>
                <w:color w:val="auto"/>
              </w:rPr>
            </w:pPr>
            <w:r>
              <w:rPr>
                <w:rFonts w:ascii="Arial" w:cs="Arial" w:eastAsia="Arial" w:hAnsi="Arial"/>
                <w:sz w:val="20"/>
                <w:szCs w:val="20"/>
                <w:b w:val="1"/>
                <w:bCs w:val="1"/>
                <w:color w:val="auto"/>
              </w:rPr>
              <w:t>assets</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3"/>
        </w:trPr>
        <w:tc>
          <w:tcPr>
            <w:tcW w:w="4220" w:type="dxa"/>
            <w:vAlign w:val="bottom"/>
          </w:tcPr>
          <w:p>
            <w:pPr>
              <w:spacing w:after="0"/>
              <w:rPr>
                <w:sz w:val="20"/>
                <w:szCs w:val="20"/>
                <w:color w:val="auto"/>
              </w:rPr>
            </w:pPr>
            <w:r>
              <w:rPr>
                <w:rFonts w:ascii="Arial" w:cs="Arial" w:eastAsia="Arial" w:hAnsi="Arial"/>
                <w:sz w:val="20"/>
                <w:szCs w:val="20"/>
                <w:color w:val="auto"/>
                <w:w w:val="90"/>
              </w:rPr>
              <w:t xml:space="preserve">Year Ended December 31, 2024 </w:t>
            </w:r>
            <w:r>
              <w:rPr>
                <w:rFonts w:ascii="Arial" w:cs="Arial" w:eastAsia="Arial" w:hAnsi="Arial"/>
                <w:sz w:val="20"/>
                <w:szCs w:val="20"/>
                <w:color w:val="B4B4B4"/>
                <w:w w:val="90"/>
              </w:rPr>
              <w:t>.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145</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314</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18</w:t>
            </w:r>
          </w:p>
        </w:tc>
        <w:tc>
          <w:tcPr>
            <w:tcW w:w="40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880" w:type="dxa"/>
            <w:vAlign w:val="bottom"/>
            <w:gridSpan w:val="2"/>
          </w:tcPr>
          <w:p>
            <w:pPr>
              <w:ind w:left="160"/>
              <w:spacing w:after="0"/>
              <w:rPr>
                <w:sz w:val="20"/>
                <w:szCs w:val="20"/>
                <w:color w:val="auto"/>
              </w:rPr>
            </w:pPr>
            <w:r>
              <w:rPr>
                <w:rFonts w:ascii="Arial" w:cs="Arial" w:eastAsia="Arial" w:hAnsi="Arial"/>
                <w:sz w:val="20"/>
                <w:szCs w:val="20"/>
                <w:color w:val="auto"/>
                <w:w w:val="96"/>
              </w:rPr>
              <w:t xml:space="preserve">(325) </w:t>
            </w:r>
            <w:r>
              <w:rPr>
                <w:rFonts w:ascii="Arial" w:cs="Arial" w:eastAsia="Arial" w:hAnsi="Arial"/>
                <w:sz w:val="25"/>
                <w:szCs w:val="25"/>
                <w:color w:val="auto"/>
                <w:w w:val="96"/>
                <w:vertAlign w:val="superscript"/>
              </w:rPr>
              <w:t>(a)</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152</w:t>
            </w:r>
          </w:p>
        </w:tc>
        <w:tc>
          <w:tcPr>
            <w:tcW w:w="0" w:type="dxa"/>
            <w:vAlign w:val="bottom"/>
          </w:tcPr>
          <w:p>
            <w:pPr>
              <w:spacing w:after="0"/>
              <w:rPr>
                <w:sz w:val="1"/>
                <w:szCs w:val="1"/>
                <w:color w:val="auto"/>
              </w:rPr>
            </w:pPr>
          </w:p>
        </w:tc>
      </w:tr>
      <w:tr>
        <w:trPr>
          <w:trHeight w:val="297"/>
        </w:trPr>
        <w:tc>
          <w:tcPr>
            <w:tcW w:w="4220" w:type="dxa"/>
            <w:vAlign w:val="bottom"/>
          </w:tcPr>
          <w:p>
            <w:pPr>
              <w:spacing w:after="0"/>
              <w:rPr>
                <w:sz w:val="20"/>
                <w:szCs w:val="20"/>
                <w:color w:val="auto"/>
              </w:rPr>
            </w:pPr>
            <w:r>
              <w:rPr>
                <w:rFonts w:ascii="Arial" w:cs="Arial" w:eastAsia="Arial" w:hAnsi="Arial"/>
                <w:sz w:val="20"/>
                <w:szCs w:val="20"/>
                <w:color w:val="auto"/>
                <w:w w:val="90"/>
              </w:rPr>
              <w:t xml:space="preserve">Year Ended December 31, 2023 </w:t>
            </w:r>
            <w:r>
              <w:rPr>
                <w:rFonts w:ascii="Arial" w:cs="Arial" w:eastAsia="Arial" w:hAnsi="Arial"/>
                <w:sz w:val="20"/>
                <w:szCs w:val="20"/>
                <w:color w:val="B4B4B4"/>
                <w:w w:val="90"/>
              </w:rPr>
              <w:t>. . . . . . . . . . . . . . . .</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133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251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ind w:left="160"/>
              <w:spacing w:after="0"/>
              <w:rPr>
                <w:sz w:val="20"/>
                <w:szCs w:val="20"/>
                <w:color w:val="auto"/>
              </w:rPr>
            </w:pPr>
            <w:r>
              <w:rPr>
                <w:rFonts w:ascii="Arial" w:cs="Arial" w:eastAsia="Arial" w:hAnsi="Arial"/>
                <w:sz w:val="20"/>
                <w:szCs w:val="20"/>
                <w:color w:val="auto"/>
                <w:w w:val="96"/>
              </w:rPr>
              <w:t xml:space="preserve">(274) </w:t>
            </w:r>
            <w:r>
              <w:rPr>
                <w:rFonts w:ascii="Arial" w:cs="Arial" w:eastAsia="Arial" w:hAnsi="Arial"/>
                <w:sz w:val="25"/>
                <w:szCs w:val="25"/>
                <w:color w:val="auto"/>
                <w:w w:val="96"/>
                <w:vertAlign w:val="superscript"/>
              </w:rPr>
              <w:t>(a)</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145</w:t>
            </w:r>
          </w:p>
        </w:tc>
        <w:tc>
          <w:tcPr>
            <w:tcW w:w="0" w:type="dxa"/>
            <w:vAlign w:val="bottom"/>
          </w:tcPr>
          <w:p>
            <w:pPr>
              <w:spacing w:after="0"/>
              <w:rPr>
                <w:sz w:val="1"/>
                <w:szCs w:val="1"/>
                <w:color w:val="auto"/>
              </w:rPr>
            </w:pPr>
          </w:p>
        </w:tc>
      </w:tr>
      <w:tr>
        <w:trPr>
          <w:trHeight w:val="292"/>
        </w:trPr>
        <w:tc>
          <w:tcPr>
            <w:tcW w:w="4220" w:type="dxa"/>
            <w:vAlign w:val="bottom"/>
          </w:tcPr>
          <w:p>
            <w:pPr>
              <w:spacing w:after="0"/>
              <w:rPr>
                <w:sz w:val="20"/>
                <w:szCs w:val="20"/>
                <w:color w:val="auto"/>
              </w:rPr>
            </w:pPr>
            <w:r>
              <w:rPr>
                <w:rFonts w:ascii="Arial" w:cs="Arial" w:eastAsia="Arial" w:hAnsi="Arial"/>
                <w:sz w:val="20"/>
                <w:szCs w:val="20"/>
                <w:color w:val="auto"/>
                <w:w w:val="90"/>
              </w:rPr>
              <w:t xml:space="preserve">Year Ended December 31, 2022 </w:t>
            </w:r>
            <w:r>
              <w:rPr>
                <w:rFonts w:ascii="Arial" w:cs="Arial" w:eastAsia="Arial" w:hAnsi="Arial"/>
                <w:sz w:val="20"/>
                <w:szCs w:val="20"/>
                <w:color w:val="B4B4B4"/>
                <w:w w:val="90"/>
              </w:rPr>
              <w:t>. . . . . . . . . . . . . . . .</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683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ind w:left="160"/>
              <w:spacing w:after="0"/>
              <w:rPr>
                <w:sz w:val="20"/>
                <w:szCs w:val="20"/>
                <w:color w:val="auto"/>
              </w:rPr>
            </w:pPr>
            <w:r>
              <w:rPr>
                <w:rFonts w:ascii="Arial" w:cs="Arial" w:eastAsia="Arial" w:hAnsi="Arial"/>
                <w:sz w:val="20"/>
                <w:szCs w:val="20"/>
                <w:color w:val="auto"/>
                <w:w w:val="96"/>
              </w:rPr>
              <w:t xml:space="preserve">(561) </w:t>
            </w:r>
            <w:r>
              <w:rPr>
                <w:rFonts w:ascii="Arial" w:cs="Arial" w:eastAsia="Arial" w:hAnsi="Arial"/>
                <w:sz w:val="25"/>
                <w:szCs w:val="25"/>
                <w:color w:val="auto"/>
                <w:w w:val="96"/>
                <w:vertAlign w:val="superscript"/>
              </w:rPr>
              <w:t>(a)</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133</w:t>
            </w:r>
          </w:p>
        </w:tc>
        <w:tc>
          <w:tcPr>
            <w:tcW w:w="0" w:type="dxa"/>
            <w:vAlign w:val="bottom"/>
          </w:tcPr>
          <w:p>
            <w:pPr>
              <w:spacing w:after="0"/>
              <w:rPr>
                <w:sz w:val="1"/>
                <w:szCs w:val="1"/>
                <w:color w:val="auto"/>
              </w:rPr>
            </w:pPr>
          </w:p>
        </w:tc>
      </w:tr>
      <w:tr>
        <w:trPr>
          <w:trHeight w:val="202"/>
        </w:trPr>
        <w:tc>
          <w:tcPr>
            <w:tcW w:w="4220" w:type="dxa"/>
            <w:vAlign w:val="bottom"/>
          </w:tcPr>
          <w:p>
            <w:pPr>
              <w:spacing w:after="0" w:line="203" w:lineRule="exact"/>
              <w:rPr>
                <w:sz w:val="20"/>
                <w:szCs w:val="20"/>
                <w:color w:val="auto"/>
              </w:rPr>
            </w:pPr>
            <w:r>
              <w:rPr>
                <w:rFonts w:ascii="Arial" w:cs="Arial" w:eastAsia="Arial" w:hAnsi="Arial"/>
                <w:sz w:val="20"/>
                <w:szCs w:val="20"/>
                <w:b w:val="1"/>
                <w:bCs w:val="1"/>
                <w:color w:val="auto"/>
                <w:w w:val="93"/>
              </w:rPr>
              <w:t>Income tax valuation allowance, deducted from</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220" w:type="dxa"/>
            <w:vAlign w:val="bottom"/>
          </w:tcPr>
          <w:p>
            <w:pPr>
              <w:ind w:left="180"/>
              <w:spacing w:after="0"/>
              <w:rPr>
                <w:sz w:val="20"/>
                <w:szCs w:val="20"/>
                <w:color w:val="auto"/>
              </w:rPr>
            </w:pPr>
            <w:r>
              <w:rPr>
                <w:rFonts w:ascii="Arial" w:cs="Arial" w:eastAsia="Arial" w:hAnsi="Arial"/>
                <w:sz w:val="20"/>
                <w:szCs w:val="20"/>
                <w:b w:val="1"/>
                <w:bCs w:val="1"/>
                <w:color w:val="auto"/>
              </w:rPr>
              <w:t>deferred tax assets</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4220" w:type="dxa"/>
            <w:vAlign w:val="bottom"/>
          </w:tcPr>
          <w:p>
            <w:pPr>
              <w:spacing w:after="0"/>
              <w:rPr>
                <w:sz w:val="20"/>
                <w:szCs w:val="20"/>
                <w:color w:val="auto"/>
              </w:rPr>
            </w:pPr>
            <w:r>
              <w:rPr>
                <w:rFonts w:ascii="Arial" w:cs="Arial" w:eastAsia="Arial" w:hAnsi="Arial"/>
                <w:sz w:val="20"/>
                <w:szCs w:val="20"/>
                <w:color w:val="auto"/>
                <w:w w:val="90"/>
              </w:rPr>
              <w:t xml:space="preserve">Year Ended December 31, 2024 </w:t>
            </w:r>
            <w:r>
              <w:rPr>
                <w:rFonts w:ascii="Arial" w:cs="Arial" w:eastAsia="Arial" w:hAnsi="Arial"/>
                <w:sz w:val="20"/>
                <w:szCs w:val="20"/>
                <w:color w:val="B4B4B4"/>
                <w:w w:val="90"/>
              </w:rPr>
              <w:t>.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275</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(131)</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144</w:t>
            </w:r>
          </w:p>
        </w:tc>
        <w:tc>
          <w:tcPr>
            <w:tcW w:w="0" w:type="dxa"/>
            <w:vAlign w:val="bottom"/>
          </w:tcPr>
          <w:p>
            <w:pPr>
              <w:spacing w:after="0"/>
              <w:rPr>
                <w:sz w:val="1"/>
                <w:szCs w:val="1"/>
                <w:color w:val="auto"/>
              </w:rPr>
            </w:pPr>
          </w:p>
        </w:tc>
      </w:tr>
      <w:tr>
        <w:trPr>
          <w:trHeight w:val="297"/>
        </w:trPr>
        <w:tc>
          <w:tcPr>
            <w:tcW w:w="4220" w:type="dxa"/>
            <w:vAlign w:val="bottom"/>
          </w:tcPr>
          <w:p>
            <w:pPr>
              <w:spacing w:after="0"/>
              <w:rPr>
                <w:sz w:val="20"/>
                <w:szCs w:val="20"/>
                <w:color w:val="auto"/>
              </w:rPr>
            </w:pPr>
            <w:r>
              <w:rPr>
                <w:rFonts w:ascii="Arial" w:cs="Arial" w:eastAsia="Arial" w:hAnsi="Arial"/>
                <w:sz w:val="20"/>
                <w:szCs w:val="20"/>
                <w:color w:val="auto"/>
                <w:w w:val="90"/>
              </w:rPr>
              <w:t xml:space="preserve">Year Ended December 31, 2023 </w:t>
            </w:r>
            <w:r>
              <w:rPr>
                <w:rFonts w:ascii="Arial" w:cs="Arial" w:eastAsia="Arial" w:hAnsi="Arial"/>
                <w:sz w:val="20"/>
                <w:szCs w:val="20"/>
                <w:color w:val="B4B4B4"/>
                <w:w w:val="90"/>
              </w:rPr>
              <w:t>. . . . . . . . . . . . . . . .</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275</w:t>
            </w:r>
          </w:p>
        </w:tc>
        <w:tc>
          <w:tcPr>
            <w:tcW w:w="0" w:type="dxa"/>
            <w:vAlign w:val="bottom"/>
          </w:tcPr>
          <w:p>
            <w:pPr>
              <w:spacing w:after="0"/>
              <w:rPr>
                <w:sz w:val="1"/>
                <w:szCs w:val="1"/>
                <w:color w:val="auto"/>
              </w:rPr>
            </w:pPr>
          </w:p>
        </w:tc>
      </w:tr>
      <w:tr>
        <w:trPr>
          <w:trHeight w:val="297"/>
        </w:trPr>
        <w:tc>
          <w:tcPr>
            <w:tcW w:w="4220" w:type="dxa"/>
            <w:vAlign w:val="bottom"/>
          </w:tcPr>
          <w:p>
            <w:pPr>
              <w:spacing w:after="0"/>
              <w:rPr>
                <w:sz w:val="20"/>
                <w:szCs w:val="20"/>
                <w:color w:val="auto"/>
              </w:rPr>
            </w:pPr>
            <w:r>
              <w:rPr>
                <w:rFonts w:ascii="Arial" w:cs="Arial" w:eastAsia="Arial" w:hAnsi="Arial"/>
                <w:sz w:val="20"/>
                <w:szCs w:val="20"/>
                <w:color w:val="auto"/>
                <w:w w:val="90"/>
              </w:rPr>
              <w:t xml:space="preserve">Year Ended December 31, 2022 </w:t>
            </w:r>
            <w:r>
              <w:rPr>
                <w:rFonts w:ascii="Arial" w:cs="Arial" w:eastAsia="Arial" w:hAnsi="Arial"/>
                <w:sz w:val="20"/>
                <w:szCs w:val="20"/>
                <w:color w:val="B4B4B4"/>
                <w:w w:val="90"/>
              </w:rPr>
              <w:t>. . . . . . . . . . . . . . . .</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248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-1852295</wp:posOffset>
            </wp:positionV>
            <wp:extent cx="6475095" cy="18738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80">
                      <a:extLst>
                        <a:ext uri="{28A0092B-C50C-407E-A947-70E740481C1C}"/>
                      </a:extLst>
                    </a:blip>
                    <a:srcRect/>
                    <a:stretch>
                      <a:fillRect/>
                    </a:stretch>
                  </pic:blipFill>
                  <pic:spPr bwMode="auto">
                    <a:xfrm>
                      <a:off x="0" y="0"/>
                      <a:ext cx="6475095" cy="1873885"/>
                    </a:xfrm>
                    <a:prstGeom prst="rect">
                      <a:avLst/>
                    </a:prstGeom>
                    <a:noFill/>
                  </pic:spPr>
                </pic:pic>
              </a:graphicData>
            </a:graphic>
          </wp:anchor>
        </w:drawing>
      </w:r>
    </w:p>
    <w:p>
      <w:pPr>
        <w:spacing w:after="0" w:line="42" w:lineRule="exact"/>
        <w:rPr>
          <w:sz w:val="20"/>
          <w:szCs w:val="20"/>
          <w:color w:val="auto"/>
        </w:rPr>
      </w:pPr>
    </w:p>
    <w:p>
      <w:pPr>
        <w:ind w:left="440" w:hanging="439"/>
        <w:spacing w:after="0"/>
        <w:tabs>
          <w:tab w:leader="none" w:pos="4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principally net amounts charged as uncollectible</w:t>
      </w:r>
    </w:p>
    <w:p>
      <w:pPr>
        <w:sectPr>
          <w:pgSz w:w="11880" w:h="15480" w:orient="portrait"/>
          <w:cols w:equalWidth="0" w:num="1">
            <w:col w:w="10160"/>
          </w:cols>
          <w:pgMar w:left="860" w:top="50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163</w:t>
      </w:r>
    </w:p>
    <w:p>
      <w:pPr>
        <w:sectPr>
          <w:pgSz w:w="11880" w:h="15480" w:orient="portrait"/>
          <w:cols w:equalWidth="0" w:num="1">
            <w:col w:w="10160"/>
          </w:cols>
          <w:pgMar w:left="860" w:top="508" w:right="860" w:bottom="0" w:gutter="0" w:footer="0" w:header="0"/>
          <w:type w:val="continuous"/>
        </w:sectPr>
      </w:pPr>
    </w:p>
    <w:bookmarkStart w:id="165" w:name="page166"/>
    <w:bookmarkEnd w:id="165"/>
    <w:p>
      <w:pPr>
        <w:jc w:val="right"/>
        <w:spacing w:after="0"/>
        <w:rPr>
          <w:sz w:val="20"/>
          <w:szCs w:val="20"/>
          <w:color w:val="auto"/>
        </w:rPr>
      </w:pPr>
      <w:r>
        <w:rPr>
          <w:rFonts w:ascii="Arial" w:cs="Arial" w:eastAsia="Arial" w:hAnsi="Arial"/>
          <w:sz w:val="20"/>
          <w:szCs w:val="20"/>
          <w:b w:val="1"/>
          <w:bCs w:val="1"/>
          <w:color w:val="auto"/>
        </w:rPr>
        <w:t>EXHIBIT INDEX</w:t>
      </w:r>
    </w:p>
    <w:p>
      <w:pPr>
        <w:spacing w:after="0" w:line="8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Number</w:t>
        <w:tab/>
        <w:t>Description</w:t>
      </w:r>
    </w:p>
    <w:p>
      <w:pPr>
        <w:spacing w:after="0" w:line="73" w:lineRule="exact"/>
        <w:rPr>
          <w:sz w:val="20"/>
          <w:szCs w:val="20"/>
          <w:color w:val="auto"/>
        </w:rPr>
      </w:pPr>
    </w:p>
    <w:p>
      <w:pPr>
        <w:ind w:left="400"/>
        <w:spacing w:after="0"/>
        <w:tabs>
          <w:tab w:leader="none" w:pos="8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Third Amended Joint Plan of Reorganization of GenOn Energy, Inc.</w:t>
      </w:r>
    </w:p>
    <w:p>
      <w:pPr>
        <w:ind w:left="880"/>
        <w:spacing w:after="0"/>
        <w:rPr>
          <w:sz w:val="20"/>
          <w:szCs w:val="20"/>
          <w:color w:val="auto"/>
        </w:rPr>
      </w:pPr>
      <w:r>
        <w:rPr>
          <w:rFonts w:ascii="Arial" w:cs="Arial" w:eastAsia="Arial" w:hAnsi="Arial"/>
          <w:sz w:val="18"/>
          <w:szCs w:val="18"/>
          <w:color w:val="auto"/>
        </w:rPr>
        <w:t>and its Debtor Affiliates.</w:t>
      </w:r>
    </w:p>
    <w:p>
      <w:pPr>
        <w:spacing w:after="0" w:line="293" w:lineRule="exact"/>
        <w:rPr>
          <w:sz w:val="20"/>
          <w:szCs w:val="20"/>
          <w:color w:val="auto"/>
        </w:rPr>
      </w:pPr>
    </w:p>
    <w:p>
      <w:pPr>
        <w:jc w:val="both"/>
        <w:ind w:left="880" w:right="100" w:hanging="595"/>
        <w:spacing w:after="0" w:line="241" w:lineRule="auto"/>
        <w:tabs>
          <w:tab w:leader="none" w:pos="8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Purchase and Sale Agreement, dated as of February 6, 2018, by and among NRG Energy, Inc. and NRG Repowering Holdings LLC, and GIP III Zephyr Acquisition Partners, L.P.</w:t>
      </w:r>
    </w:p>
    <w:p>
      <w:pPr>
        <w:spacing w:after="0" w:line="109" w:lineRule="exact"/>
        <w:rPr>
          <w:sz w:val="20"/>
          <w:szCs w:val="20"/>
          <w:color w:val="auto"/>
        </w:rPr>
      </w:pPr>
    </w:p>
    <w:p>
      <w:pPr>
        <w:ind w:left="880" w:right="160" w:hanging="506"/>
        <w:spacing w:after="0" w:line="227" w:lineRule="auto"/>
        <w:tabs>
          <w:tab w:leader="none" w:pos="860" w:val="left"/>
        </w:tabs>
        <w:rPr>
          <w:sz w:val="20"/>
          <w:szCs w:val="20"/>
          <w:color w:val="auto"/>
        </w:rPr>
      </w:pPr>
      <w:r>
        <w:rPr>
          <w:rFonts w:ascii="Arial" w:cs="Arial" w:eastAsia="Arial" w:hAnsi="Arial"/>
          <w:sz w:val="18"/>
          <w:szCs w:val="18"/>
          <w:color w:val="auto"/>
        </w:rPr>
        <w:t>2.3^</w:t>
        <w:tab/>
        <w:t>Purchase and Sale Agreement, dated as of February 6, 2018, by and between NRG Energy, Inc., NRG South Central Generating LLC, and Cleco Energy LLC.</w:t>
      </w:r>
    </w:p>
    <w:p>
      <w:pPr>
        <w:spacing w:after="0" w:line="105" w:lineRule="exact"/>
        <w:rPr>
          <w:sz w:val="20"/>
          <w:szCs w:val="20"/>
          <w:color w:val="auto"/>
        </w:rPr>
      </w:pPr>
    </w:p>
    <w:p>
      <w:pPr>
        <w:ind w:left="880" w:right="220" w:hanging="549"/>
        <w:spacing w:after="0" w:line="252" w:lineRule="auto"/>
        <w:tabs>
          <w:tab w:leader="none" w:pos="8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20"/>
          <w:szCs w:val="20"/>
          <w:color w:val="auto"/>
        </w:rPr>
        <w:t>Purchase and Sale Agreement dated as of February 28, 2021 by and between NRG Energy, Inc., and Generation Bridge Acquisition, LLC, as a Purchaser</w:t>
      </w:r>
    </w:p>
    <w:p>
      <w:pPr>
        <w:spacing w:after="0" w:line="33"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Agreement and Plan of Merger dated as of December 6,</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2022, by and among the Company, Merger Sub and Vivint.</w:t>
      </w:r>
    </w:p>
    <w:p>
      <w:pPr>
        <w:spacing w:after="0" w:line="236" w:lineRule="exact"/>
        <w:rPr>
          <w:sz w:val="20"/>
          <w:szCs w:val="20"/>
          <w:color w:val="auto"/>
        </w:rPr>
      </w:pPr>
    </w:p>
    <w:p>
      <w:pPr>
        <w:ind w:left="880" w:right="220" w:hanging="460"/>
        <w:spacing w:after="0" w:line="241" w:lineRule="auto"/>
        <w:tabs>
          <w:tab w:leader="none" w:pos="8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Equity Purchase Agreement, dated May 31, 2023 by and among Constellation Energy Generation, LLC, as Buyer and Texas Genco GP, LLC, Texas Genco LP, LLC, together, Seller.</w:t>
      </w:r>
    </w:p>
    <w:p>
      <w:pPr>
        <w:spacing w:after="0" w:line="109" w:lineRule="exact"/>
        <w:rPr>
          <w:sz w:val="20"/>
          <w:szCs w:val="20"/>
          <w:color w:val="auto"/>
        </w:rPr>
      </w:pPr>
    </w:p>
    <w:p>
      <w:pPr>
        <w:jc w:val="both"/>
        <w:ind w:left="880" w:right="220" w:hanging="460"/>
        <w:spacing w:after="0" w:line="264" w:lineRule="auto"/>
        <w:tabs>
          <w:tab w:leader="none" w:pos="8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Amendment No.1 to Equity Purchase Agreement dated September 29, 2023 by and among Constellation Energy Generation, LLC. as Buyer and Texas Genco GP, LLC, together, Seller</w:t>
      </w:r>
    </w:p>
    <w:p>
      <w:pPr>
        <w:spacing w:after="0" w:line="91" w:lineRule="exact"/>
        <w:rPr>
          <w:sz w:val="20"/>
          <w:szCs w:val="20"/>
          <w:color w:val="auto"/>
        </w:rPr>
      </w:pPr>
    </w:p>
    <w:p>
      <w:pPr>
        <w:ind w:left="880" w:right="180" w:hanging="460"/>
        <w:spacing w:after="0" w:line="264" w:lineRule="auto"/>
        <w:tabs>
          <w:tab w:leader="none" w:pos="8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Amendment No. 2 to Equity Purchase Agreement dated November 1, 2023 by and among Constellation Energy Generation, LLC. as Buyer and Texas Genco GP, LLC, together, Seller</w:t>
      </w:r>
    </w:p>
    <w:p>
      <w:pPr>
        <w:spacing w:after="0" w:line="91" w:lineRule="exact"/>
        <w:rPr>
          <w:sz w:val="20"/>
          <w:szCs w:val="20"/>
          <w:color w:val="auto"/>
        </w:rPr>
      </w:pPr>
    </w:p>
    <w:p>
      <w:pPr>
        <w:ind w:left="880" w:right="180" w:hanging="460"/>
        <w:spacing w:after="0" w:line="264" w:lineRule="auto"/>
        <w:tabs>
          <w:tab w:leader="none" w:pos="86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Amendment No. 3 to Equity Purchase Agreement dated November 1, 2023 by and among Constellation Energy Generation, LLC. as Buyer and Texas Genco GP, LLC, together, Seller</w:t>
      </w:r>
    </w:p>
    <w:p>
      <w:pPr>
        <w:spacing w:after="0" w:line="91"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of Filing</w:t>
      </w:r>
    </w:p>
    <w:p>
      <w:pPr>
        <w:spacing w:after="0" w:line="82"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2.1 to the Registrant's current report on Form 8-K filed on December 18, 2017.</w:t>
      </w:r>
    </w:p>
    <w:p>
      <w:pPr>
        <w:spacing w:after="0" w:line="111"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2.9 to the Registrant's annual report on Form 10-K filed on March 1, 2018.</w:t>
      </w:r>
    </w:p>
    <w:p>
      <w:pPr>
        <w:spacing w:after="0" w:line="11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Incorporated herein by reference to Exhibit 2.10 to the Registrant's annual report on Form 10-K filed on March 1, 2018.</w:t>
      </w:r>
    </w:p>
    <w:p>
      <w:pPr>
        <w:spacing w:after="0" w:line="111"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2.1 to the Registrant's quarterly report on Form 10-Q filed on May 6, 2021.</w:t>
      </w:r>
    </w:p>
    <w:p>
      <w:pPr>
        <w:spacing w:after="0" w:line="170"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2.1 to the Registrant's Current Report on Form 8-K, filed on December 6, 2022.</w:t>
      </w:r>
    </w:p>
    <w:p>
      <w:pPr>
        <w:spacing w:after="0" w:line="186" w:lineRule="exact"/>
        <w:rPr>
          <w:sz w:val="20"/>
          <w:szCs w:val="20"/>
          <w:color w:val="auto"/>
        </w:rPr>
      </w:pPr>
    </w:p>
    <w:p>
      <w:pPr>
        <w:jc w:val="both"/>
        <w:ind w:right="100"/>
        <w:spacing w:after="0" w:line="227" w:lineRule="auto"/>
        <w:rPr>
          <w:sz w:val="20"/>
          <w:szCs w:val="20"/>
          <w:color w:val="auto"/>
        </w:rPr>
      </w:pPr>
      <w:r>
        <w:rPr>
          <w:rFonts w:ascii="Arial" w:cs="Arial" w:eastAsia="Arial" w:hAnsi="Arial"/>
          <w:sz w:val="18"/>
          <w:szCs w:val="18"/>
          <w:color w:val="auto"/>
        </w:rPr>
        <w:t>Incorporated herein by reference to Exhibit 2.1 to the Registrant's current report on Form 8-K filed on June 1, 2023.</w:t>
      </w:r>
    </w:p>
    <w:p>
      <w:pPr>
        <w:spacing w:after="0" w:line="3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2.7 to the Registrant's annual report on Form 10-K filed on February 28, 2024.</w:t>
      </w:r>
    </w:p>
    <w:p>
      <w:pPr>
        <w:spacing w:after="0" w:line="111"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2.8 to the Registrant's annual report on Form 10-K filed on February 28, 2024.</w:t>
      </w:r>
    </w:p>
    <w:p>
      <w:pPr>
        <w:spacing w:after="0" w:line="111"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2.9 to the Registrant's annual report on Form 10-K filed on February 28, 2024.</w:t>
      </w:r>
    </w:p>
    <w:p>
      <w:pPr>
        <w:spacing w:after="0" w:line="111"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3.1 to the Registrant's quarterly report on Form 10-Q filed on May 3, 2012.</w:t>
      </w:r>
    </w:p>
    <w:p>
      <w:pPr>
        <w:spacing w:after="0" w:line="66" w:lineRule="exact"/>
        <w:rPr>
          <w:sz w:val="20"/>
          <w:szCs w:val="20"/>
          <w:color w:val="auto"/>
        </w:rPr>
      </w:pPr>
    </w:p>
    <w:p>
      <w:pPr>
        <w:sectPr>
          <w:pgSz w:w="11880" w:h="15480" w:orient="portrait"/>
          <w:cols w:equalWidth="0" w:num="2">
            <w:col w:w="5880" w:space="140"/>
            <w:col w:w="3900"/>
          </w:cols>
          <w:pgMar w:left="820" w:top="505" w:right="1140" w:bottom="0" w:gutter="0" w:footer="0" w:header="0"/>
        </w:sectPr>
      </w:pPr>
    </w:p>
    <w:p>
      <w:pPr>
        <w:ind w:left="880" w:hanging="460"/>
        <w:spacing w:after="0" w:line="238" w:lineRule="auto"/>
        <w:tabs>
          <w:tab w:leader="none" w:pos="860" w:val="left"/>
        </w:tabs>
        <w:rPr>
          <w:sz w:val="20"/>
          <w:szCs w:val="20"/>
          <w:color w:val="auto"/>
        </w:rPr>
      </w:pPr>
      <w:r>
        <w:rPr>
          <w:rFonts w:ascii="Arial" w:cs="Arial" w:eastAsia="Arial" w:hAnsi="Arial"/>
          <w:sz w:val="18"/>
          <w:szCs w:val="18"/>
          <w:color w:val="auto"/>
        </w:rPr>
        <w:t>3.2</w:t>
        <w:tab/>
        <w:t>Certificate of Amendment to Amended and Restated Certificate of Incorporation.</w:t>
      </w:r>
    </w:p>
    <w:p>
      <w:pPr>
        <w:spacing w:after="0" w:line="20" w:lineRule="exact"/>
        <w:rPr>
          <w:sz w:val="20"/>
          <w:szCs w:val="20"/>
          <w:color w:val="auto"/>
        </w:rPr>
      </w:pPr>
      <w:r>
        <w:rPr>
          <w:sz w:val="20"/>
          <w:szCs w:val="20"/>
          <w:color w:val="auto"/>
        </w:rPr>
        <w:br w:type="column"/>
      </w:r>
    </w:p>
    <w:p>
      <w:pPr>
        <w:ind w:right="100"/>
        <w:spacing w:after="0" w:line="227" w:lineRule="auto"/>
        <w:rPr>
          <w:sz w:val="20"/>
          <w:szCs w:val="20"/>
          <w:color w:val="auto"/>
        </w:rPr>
      </w:pPr>
      <w:r>
        <w:rPr>
          <w:rFonts w:ascii="Arial" w:cs="Arial" w:eastAsia="Arial" w:hAnsi="Arial"/>
          <w:sz w:val="18"/>
          <w:szCs w:val="18"/>
          <w:color w:val="auto"/>
        </w:rPr>
        <w:t>Incorporated herein by reference to Exhibit 3.1 to the Registrant's current report on Form 8-K filed on December 14, 2012.</w:t>
      </w:r>
    </w:p>
    <w:p>
      <w:pPr>
        <w:spacing w:after="0" w:line="42" w:lineRule="exact"/>
        <w:rPr>
          <w:sz w:val="20"/>
          <w:szCs w:val="20"/>
          <w:color w:val="auto"/>
        </w:rPr>
      </w:pPr>
    </w:p>
    <w:p>
      <w:pPr>
        <w:sectPr>
          <w:pgSz w:w="11880" w:h="15480" w:orient="portrait"/>
          <w:cols w:equalWidth="0" w:num="2">
            <w:col w:w="5620" w:space="400"/>
            <w:col w:w="3900"/>
          </w:cols>
          <w:pgMar w:left="820" w:top="505" w:right="1140" w:bottom="0" w:gutter="0" w:footer="0" w:header="0"/>
          <w:type w:val="continuous"/>
        </w:sectPr>
      </w:pPr>
    </w:p>
    <w:p>
      <w:pPr>
        <w:ind w:left="420"/>
        <w:spacing w:after="0"/>
        <w:tabs>
          <w:tab w:leader="none" w:pos="860" w:val="left"/>
          <w:tab w:leader="none" w:pos="6000" w:val="left"/>
        </w:tabs>
        <w:rPr>
          <w:sz w:val="20"/>
          <w:szCs w:val="20"/>
          <w:color w:val="auto"/>
        </w:rPr>
      </w:pPr>
      <w:r>
        <w:rPr>
          <w:rFonts w:ascii="Arial" w:cs="Arial" w:eastAsia="Arial" w:hAnsi="Arial"/>
          <w:sz w:val="18"/>
          <w:szCs w:val="18"/>
          <w:color w:val="auto"/>
        </w:rPr>
        <w:t>3.3</w:t>
        <w:tab/>
        <w:t>Sixth Amended and Restated By-Laws.</w:t>
      </w:r>
      <w:r>
        <w:rPr>
          <w:sz w:val="20"/>
          <w:szCs w:val="20"/>
          <w:color w:val="auto"/>
        </w:rPr>
        <w:tab/>
      </w:r>
      <w:r>
        <w:rPr>
          <w:rFonts w:ascii="Arial" w:cs="Arial" w:eastAsia="Arial" w:hAnsi="Arial"/>
          <w:sz w:val="16"/>
          <w:szCs w:val="16"/>
          <w:color w:val="auto"/>
        </w:rPr>
        <w:t>Incorporated herein by reference to Exhibit 3.2 to the</w:t>
      </w:r>
    </w:p>
    <w:p>
      <w:pPr>
        <w:ind w:left="6020"/>
        <w:spacing w:after="0" w:line="206" w:lineRule="auto"/>
        <w:rPr>
          <w:sz w:val="20"/>
          <w:szCs w:val="20"/>
          <w:color w:val="auto"/>
        </w:rPr>
      </w:pPr>
      <w:r>
        <w:rPr>
          <w:rFonts w:ascii="Arial" w:cs="Arial" w:eastAsia="Arial" w:hAnsi="Arial"/>
          <w:sz w:val="18"/>
          <w:szCs w:val="18"/>
          <w:color w:val="auto"/>
        </w:rPr>
        <w:t>Registrant's current report on Form 8-K filed on</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December 2, 2022.</w:t>
      </w:r>
    </w:p>
    <w:p>
      <w:pPr>
        <w:sectPr>
          <w:pgSz w:w="11880" w:h="15480" w:orient="portrait"/>
          <w:cols w:equalWidth="0" w:num="1">
            <w:col w:w="9920"/>
          </w:cols>
          <w:pgMar w:left="820" w:top="505" w:right="1140" w:bottom="0" w:gutter="0" w:footer="0" w:header="0"/>
          <w:type w:val="continuous"/>
        </w:sectPr>
      </w:pPr>
    </w:p>
    <w:p>
      <w:pPr>
        <w:spacing w:after="0" w:line="129" w:lineRule="exact"/>
        <w:rPr>
          <w:sz w:val="20"/>
          <w:szCs w:val="20"/>
          <w:color w:val="auto"/>
        </w:rPr>
      </w:pPr>
    </w:p>
    <w:p>
      <w:pPr>
        <w:ind w:left="880" w:right="240" w:hanging="460"/>
        <w:spacing w:after="0" w:line="264" w:lineRule="auto"/>
        <w:tabs>
          <w:tab w:leader="none" w:pos="8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Series A Preferred Stock Certificate of Designation filed with the Secretary of the State of Delaware on March 9, 2023.</w:t>
      </w:r>
    </w:p>
    <w:p>
      <w:pPr>
        <w:spacing w:after="0" w:line="283" w:lineRule="exact"/>
        <w:rPr>
          <w:sz w:val="20"/>
          <w:szCs w:val="20"/>
          <w:color w:val="auto"/>
        </w:rPr>
      </w:pPr>
    </w:p>
    <w:p>
      <w:pPr>
        <w:ind w:left="880" w:right="580" w:hanging="482"/>
        <w:spacing w:after="0" w:line="238" w:lineRule="auto"/>
        <w:tabs>
          <w:tab w:leader="none" w:pos="860" w:val="left"/>
        </w:tabs>
        <w:rPr>
          <w:sz w:val="20"/>
          <w:szCs w:val="20"/>
          <w:color w:val="auto"/>
        </w:rPr>
      </w:pPr>
      <w:r>
        <w:rPr>
          <w:rFonts w:ascii="Arial" w:cs="Arial" w:eastAsia="Arial" w:hAnsi="Arial"/>
          <w:sz w:val="18"/>
          <w:szCs w:val="18"/>
          <w:color w:val="auto"/>
        </w:rPr>
        <w:t>4.1</w:t>
        <w:tab/>
        <w:t>Specimen of Certificate representing common stock of NRG Energy, Inc.</w:t>
      </w:r>
    </w:p>
    <w:p>
      <w:pPr>
        <w:spacing w:after="0" w:line="228" w:lineRule="exact"/>
        <w:rPr>
          <w:sz w:val="20"/>
          <w:szCs w:val="20"/>
          <w:color w:val="auto"/>
        </w:rPr>
      </w:pPr>
    </w:p>
    <w:p>
      <w:pPr>
        <w:ind w:left="880" w:right="100" w:hanging="482"/>
        <w:spacing w:after="0" w:line="319" w:lineRule="auto"/>
        <w:tabs>
          <w:tab w:leader="none" w:pos="8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4"/>
          <w:szCs w:val="14"/>
          <w:color w:val="auto"/>
        </w:rPr>
        <w:t>Indenture, dated May 24, 2018, among NRG Energy, Inc., the guarantors named therein and Delaware Trust Company, as trustee, containing Form of 2.750% Convertible Senior Notes due 2048.</w:t>
      </w:r>
    </w:p>
    <w:p>
      <w:pPr>
        <w:spacing w:after="0" w:line="294" w:lineRule="exact"/>
        <w:rPr>
          <w:sz w:val="20"/>
          <w:szCs w:val="20"/>
          <w:color w:val="auto"/>
        </w:rPr>
      </w:pPr>
    </w:p>
    <w:p>
      <w:pPr>
        <w:ind w:left="880" w:right="40" w:hanging="482"/>
        <w:spacing w:after="0" w:line="241" w:lineRule="auto"/>
        <w:tabs>
          <w:tab w:leader="none" w:pos="860" w:val="left"/>
        </w:tabs>
        <w:rPr>
          <w:sz w:val="20"/>
          <w:szCs w:val="20"/>
          <w:color w:val="auto"/>
        </w:rPr>
      </w:pPr>
      <w:r>
        <w:rPr>
          <w:rFonts w:ascii="Arial" w:cs="Arial" w:eastAsia="Arial" w:hAnsi="Arial"/>
          <w:sz w:val="18"/>
          <w:szCs w:val="18"/>
          <w:color w:val="auto"/>
        </w:rPr>
        <w:t>4.3</w:t>
        <w:tab/>
        <w:t>Supplemental Indenture (Settlement Elections - 2.750% Convertible Senior Notes due 2048) dated February 22, 2022, among NRG Energy, Inc., each of its guarantor subsidiaries, and Delaware Trust Company as trustee.</w:t>
      </w:r>
    </w:p>
    <w:p>
      <w:pPr>
        <w:spacing w:after="0" w:line="104" w:lineRule="exact"/>
        <w:rPr>
          <w:sz w:val="20"/>
          <w:szCs w:val="20"/>
          <w:color w:val="auto"/>
        </w:rPr>
      </w:pPr>
    </w:p>
    <w:p>
      <w:pPr>
        <w:ind w:left="880" w:right="280" w:hanging="482"/>
        <w:spacing w:after="0" w:line="257" w:lineRule="auto"/>
        <w:tabs>
          <w:tab w:leader="none" w:pos="8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Base Indenture, dated May 23, 2016, between NRG Energy, Inc. and Delaware Trust Company (as successor in interest to Law Debenture Trust Company of New York), as trustee.</w:t>
      </w:r>
    </w:p>
    <w:p>
      <w:pPr>
        <w:spacing w:after="0" w:line="308" w:lineRule="exact"/>
        <w:rPr>
          <w:sz w:val="20"/>
          <w:szCs w:val="20"/>
          <w:color w:val="auto"/>
        </w:rPr>
      </w:pPr>
    </w:p>
    <w:p>
      <w:pPr>
        <w:ind w:left="880" w:hanging="460"/>
        <w:spacing w:after="0" w:line="222" w:lineRule="auto"/>
        <w:tabs>
          <w:tab w:leader="none" w:pos="860" w:val="left"/>
        </w:tabs>
        <w:rPr>
          <w:sz w:val="20"/>
          <w:szCs w:val="20"/>
          <w:color w:val="auto"/>
        </w:rPr>
      </w:pPr>
      <w:r>
        <w:rPr>
          <w:rFonts w:ascii="Arial" w:cs="Arial" w:eastAsia="Arial" w:hAnsi="Arial"/>
          <w:sz w:val="18"/>
          <w:szCs w:val="18"/>
          <w:color w:val="auto"/>
        </w:rPr>
        <w:t>4.5</w:t>
        <w:tab/>
        <w:t xml:space="preserve">Fourth Supplemental Indenture, dated December 7, 2017, among NRG Energy, Inc., the guarantors named therein and Delaware Trust Company, as trustee, containing Form of 5.750% Senior Notes </w:t>
      </w:r>
      <w:r>
        <w:rPr>
          <w:rFonts w:ascii="Arial" w:cs="Arial" w:eastAsia="Arial" w:hAnsi="Arial"/>
          <w:sz w:val="18"/>
          <w:szCs w:val="18"/>
          <w:u w:val="single" w:color="auto"/>
          <w:color w:val="auto"/>
        </w:rPr>
        <w:t>due 2028.</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3.1 to the Registrant's current report on Form 8-K filed on March 10, 2023.</w:t>
      </w:r>
    </w:p>
    <w:p>
      <w:pPr>
        <w:spacing w:after="0" w:line="12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4.3 to the Registrant's quarterly report on Form 10-Q filed on August 4, 2006.</w:t>
      </w:r>
    </w:p>
    <w:p>
      <w:pPr>
        <w:spacing w:after="0" w:line="51"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4.1 to the Registrant's Current Report on Form 8-K, filed on May 25, 2018.</w:t>
      </w:r>
    </w:p>
    <w:p>
      <w:pPr>
        <w:spacing w:after="0" w:line="348"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Incorporated herein by reference to Exhibit 4.52 to the Registrant's annual report on Form 10-K filed on February 24, 2022.</w:t>
      </w:r>
    </w:p>
    <w:p>
      <w:pPr>
        <w:spacing w:after="0" w:line="348"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Incorporated herein by reference to Exhibit 4.1 to the Registrant's Current Report on Form 8-K filed on May 23, 2016.</w:t>
      </w:r>
    </w:p>
    <w:p>
      <w:pPr>
        <w:spacing w:after="0" w:line="348"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4.2 to the Registrant's Current Report on Form 8-K, filed on December 8, 2017.</w:t>
      </w:r>
    </w:p>
    <w:p>
      <w:pPr>
        <w:spacing w:after="0" w:line="378" w:lineRule="exact"/>
        <w:rPr>
          <w:sz w:val="20"/>
          <w:szCs w:val="20"/>
          <w:color w:val="auto"/>
        </w:rPr>
      </w:pPr>
    </w:p>
    <w:p>
      <w:pPr>
        <w:sectPr>
          <w:pgSz w:w="11880" w:h="15480" w:orient="portrait"/>
          <w:cols w:equalWidth="0" w:num="2">
            <w:col w:w="5780" w:space="240"/>
            <w:col w:w="3900"/>
          </w:cols>
          <w:pgMar w:left="820" w:top="505" w:right="1140" w:bottom="0" w:gutter="0" w:footer="0" w:header="0"/>
          <w:type w:val="continuous"/>
        </w:sectPr>
      </w:pPr>
    </w:p>
    <w:p>
      <w:pPr>
        <w:spacing w:after="0" w:line="319"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164</w:t>
      </w:r>
    </w:p>
    <w:p>
      <w:pPr>
        <w:sectPr>
          <w:pgSz w:w="11880" w:h="15480" w:orient="portrait"/>
          <w:cols w:equalWidth="0" w:num="1">
            <w:col w:w="9920"/>
          </w:cols>
          <w:pgMar w:left="820" w:top="505" w:right="1140" w:bottom="0" w:gutter="0" w:footer="0" w:header="0"/>
          <w:type w:val="continuous"/>
        </w:sectPr>
      </w:pPr>
    </w:p>
    <w:bookmarkStart w:id="166" w:name="page167"/>
    <w:bookmarkEnd w:id="166"/>
    <w:p>
      <w:pPr>
        <w:ind w:left="580" w:right="100" w:hanging="482"/>
        <w:spacing w:after="0" w:line="233" w:lineRule="auto"/>
        <w:tabs>
          <w:tab w:leader="none" w:pos="560" w:val="left"/>
        </w:tabs>
        <w:rPr>
          <w:sz w:val="20"/>
          <w:szCs w:val="20"/>
          <w:color w:val="auto"/>
        </w:rPr>
      </w:pPr>
      <w:r>
        <w:rPr>
          <w:rFonts w:ascii="Arial" w:cs="Arial" w:eastAsia="Arial" w:hAnsi="Arial"/>
          <w:sz w:val="18"/>
          <w:szCs w:val="18"/>
          <w:color w:val="auto"/>
        </w:rPr>
        <w:t>4.6</w:t>
        <w:tab/>
        <w:t>Fifth Supplemental Indenture, dated May 14, 2019, among NRG Energy, Inc., the guarantors named therein and Delaware Trust Company, as trustee, containing Form of 5.250% Senior Notes due 2029.</w:t>
      </w:r>
    </w:p>
    <w:p>
      <w:pPr>
        <w:spacing w:after="0" w:line="132" w:lineRule="exact"/>
        <w:rPr>
          <w:sz w:val="20"/>
          <w:szCs w:val="20"/>
          <w:color w:val="auto"/>
        </w:rPr>
      </w:pPr>
    </w:p>
    <w:p>
      <w:pPr>
        <w:ind w:left="580" w:right="260" w:hanging="482"/>
        <w:spacing w:after="0" w:line="227" w:lineRule="auto"/>
        <w:tabs>
          <w:tab w:leader="none" w:pos="560" w:val="left"/>
        </w:tabs>
        <w:rPr>
          <w:sz w:val="20"/>
          <w:szCs w:val="20"/>
          <w:color w:val="auto"/>
        </w:rPr>
      </w:pPr>
      <w:r>
        <w:rPr>
          <w:rFonts w:ascii="Arial" w:cs="Arial" w:eastAsia="Arial" w:hAnsi="Arial"/>
          <w:sz w:val="18"/>
          <w:szCs w:val="18"/>
          <w:color w:val="auto"/>
        </w:rPr>
        <w:t>4.7</w:t>
        <w:tab/>
        <w:t>Base Indenture, dated December 2, 2020, between NRG Energy, Inc. and Deutsche Bank Trust Company Americas, as trustee, pertaining to the Secured Notes.</w:t>
      </w:r>
    </w:p>
    <w:p>
      <w:pPr>
        <w:spacing w:after="0" w:line="140" w:lineRule="exact"/>
        <w:rPr>
          <w:sz w:val="20"/>
          <w:szCs w:val="20"/>
          <w:color w:val="auto"/>
        </w:rPr>
      </w:pPr>
    </w:p>
    <w:p>
      <w:pPr>
        <w:ind w:left="580" w:hanging="482"/>
        <w:spacing w:after="0" w:line="253" w:lineRule="auto"/>
        <w:tabs>
          <w:tab w:leader="none" w:pos="5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Supplemental Indenture, dated December 2, 2020, among NRG Energy, Inc., the guarantors named therein and Deutsche Bank Trust Company Americas, as trustee, containing Form of 3.375% Senior Notes due 2029 and Form of 3.625% Senior Notes due 2031.</w:t>
      </w:r>
    </w:p>
    <w:p>
      <w:pPr>
        <w:spacing w:after="0" w:line="100" w:lineRule="exact"/>
        <w:rPr>
          <w:sz w:val="20"/>
          <w:szCs w:val="20"/>
          <w:color w:val="auto"/>
        </w:rPr>
      </w:pPr>
    </w:p>
    <w:p>
      <w:pPr>
        <w:ind w:left="580" w:hanging="482"/>
        <w:spacing w:after="0" w:line="222" w:lineRule="auto"/>
        <w:tabs>
          <w:tab w:leader="none" w:pos="560" w:val="left"/>
        </w:tabs>
        <w:rPr>
          <w:sz w:val="20"/>
          <w:szCs w:val="20"/>
          <w:color w:val="auto"/>
        </w:rPr>
      </w:pPr>
      <w:r>
        <w:rPr>
          <w:rFonts w:ascii="Arial" w:cs="Arial" w:eastAsia="Arial" w:hAnsi="Arial"/>
          <w:sz w:val="18"/>
          <w:szCs w:val="18"/>
          <w:color w:val="auto"/>
        </w:rPr>
        <w:t>4.9</w:t>
        <w:tab/>
        <w:t>Second Supplemental Indenture, dated August 23, 2021, among NRG Energy, Inc., the guarantors named therein and Deutsche Bank Trust Company Americas, as trustee, containing Form of 3.875% Senior Notes due 2032.</w:t>
      </w:r>
    </w:p>
    <w:p>
      <w:pPr>
        <w:spacing w:after="0" w:line="51" w:lineRule="exact"/>
        <w:rPr>
          <w:sz w:val="20"/>
          <w:szCs w:val="20"/>
          <w:color w:val="auto"/>
        </w:rPr>
      </w:pPr>
    </w:p>
    <w:p>
      <w:pPr>
        <w:jc w:val="both"/>
        <w:ind w:left="580" w:right="20" w:hanging="549"/>
        <w:spacing w:after="0" w:line="227" w:lineRule="auto"/>
        <w:tabs>
          <w:tab w:leader="none" w:pos="560" w:val="left"/>
        </w:tabs>
        <w:rPr>
          <w:sz w:val="20"/>
          <w:szCs w:val="20"/>
          <w:color w:val="auto"/>
        </w:rPr>
      </w:pPr>
      <w:r>
        <w:rPr>
          <w:rFonts w:ascii="Arial" w:cs="Arial" w:eastAsia="Arial" w:hAnsi="Arial"/>
          <w:sz w:val="18"/>
          <w:szCs w:val="18"/>
          <w:color w:val="auto"/>
        </w:rPr>
        <w:t>4.10</w:t>
        <w:tab/>
        <w:t>Base Indenture, dated October 30, 2024, between NRG Energy, Inc. and Deutsche Bank Trust Company Americas, as trustee, pertaining to the Notes.</w:t>
      </w:r>
    </w:p>
    <w:p>
      <w:pPr>
        <w:spacing w:after="0" w:line="125" w:lineRule="exact"/>
        <w:rPr>
          <w:sz w:val="20"/>
          <w:szCs w:val="20"/>
          <w:color w:val="auto"/>
        </w:rPr>
      </w:pPr>
    </w:p>
    <w:p>
      <w:pPr>
        <w:ind w:left="580" w:hanging="549"/>
        <w:spacing w:after="0" w:line="232" w:lineRule="auto"/>
        <w:tabs>
          <w:tab w:leader="none" w:pos="5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7"/>
          <w:szCs w:val="17"/>
          <w:color w:val="auto"/>
        </w:rPr>
        <w:t>Supplemental Indenture, dated October 30, 2024, among NRG Energy, Inc., the guarantors named therein and Deutsche Bank Trust Company Americas, as trustee, containing Form 5.75% Senior Note due 2029, Form of 6.00% Senior Notes due 2033 and Form of 6.25% Senior Notes due 2034.</w:t>
      </w:r>
    </w:p>
    <w:p>
      <w:pPr>
        <w:spacing w:after="0" w:line="65" w:lineRule="exact"/>
        <w:rPr>
          <w:sz w:val="20"/>
          <w:szCs w:val="20"/>
          <w:color w:val="auto"/>
        </w:rPr>
      </w:pPr>
    </w:p>
    <w:p>
      <w:pPr>
        <w:ind w:left="580" w:right="260" w:hanging="571"/>
        <w:spacing w:after="0" w:line="250" w:lineRule="auto"/>
        <w:tabs>
          <w:tab w:leader="none" w:pos="560" w:val="left"/>
        </w:tabs>
        <w:rPr>
          <w:sz w:val="20"/>
          <w:szCs w:val="20"/>
          <w:color w:val="auto"/>
        </w:rPr>
      </w:pPr>
      <w:r>
        <w:rPr>
          <w:rFonts w:ascii="Arial" w:cs="Arial" w:eastAsia="Arial" w:hAnsi="Arial"/>
          <w:sz w:val="18"/>
          <w:szCs w:val="18"/>
          <w:color w:val="auto"/>
        </w:rPr>
        <w:t>4.12</w:t>
        <w:tab/>
        <w:t>Base Indenture, dated May 28, 2019, between NRG Energy, Inc. and Delaware Trust Company, as trustee</w:t>
      </w:r>
    </w:p>
    <w:p>
      <w:pPr>
        <w:spacing w:after="0" w:line="207" w:lineRule="exact"/>
        <w:rPr>
          <w:sz w:val="20"/>
          <w:szCs w:val="20"/>
          <w:color w:val="auto"/>
        </w:rPr>
      </w:pPr>
    </w:p>
    <w:p>
      <w:pPr>
        <w:ind w:left="580" w:right="20" w:hanging="571"/>
        <w:spacing w:after="0" w:line="230" w:lineRule="auto"/>
        <w:tabs>
          <w:tab w:leader="none" w:pos="560" w:val="left"/>
        </w:tabs>
        <w:rPr>
          <w:sz w:val="20"/>
          <w:szCs w:val="20"/>
          <w:color w:val="auto"/>
        </w:rPr>
      </w:pPr>
      <w:r>
        <w:rPr>
          <w:rFonts w:ascii="Arial" w:cs="Arial" w:eastAsia="Arial" w:hAnsi="Arial"/>
          <w:sz w:val="18"/>
          <w:szCs w:val="18"/>
          <w:color w:val="auto"/>
        </w:rPr>
        <w:t>4.13</w:t>
        <w:tab/>
        <w:t>Supplemental Indenture, dated May 28, 2019, among NRG Energy, Inc., the guarantors named therein and Delaware Trust Company, as trustee, containing Form 3.750% Senior Secured First Lien Notes due 2024 and Form of 4.450% Senior Secured First Lien Notes due 2029</w:t>
      </w:r>
    </w:p>
    <w:p>
      <w:pPr>
        <w:spacing w:after="0" w:line="77" w:lineRule="exact"/>
        <w:rPr>
          <w:sz w:val="20"/>
          <w:szCs w:val="20"/>
          <w:color w:val="auto"/>
        </w:rPr>
      </w:pPr>
    </w:p>
    <w:p>
      <w:pPr>
        <w:ind w:left="580" w:right="260" w:hanging="571"/>
        <w:spacing w:after="0" w:line="227" w:lineRule="auto"/>
        <w:tabs>
          <w:tab w:leader="none" w:pos="560" w:val="left"/>
        </w:tabs>
        <w:rPr>
          <w:sz w:val="20"/>
          <w:szCs w:val="20"/>
          <w:color w:val="auto"/>
        </w:rPr>
      </w:pPr>
      <w:r>
        <w:rPr>
          <w:rFonts w:ascii="Arial" w:cs="Arial" w:eastAsia="Arial" w:hAnsi="Arial"/>
          <w:sz w:val="18"/>
          <w:szCs w:val="18"/>
          <w:color w:val="auto"/>
        </w:rPr>
        <w:t>4.14</w:t>
        <w:tab/>
        <w:t>Base Indenture, dated December 2, 2020, between NRG Energy, Inc. and Deutsche Bank Trust Company Americas, as trustee, pertaining to the Unsecured Notes.</w:t>
      </w:r>
    </w:p>
    <w:p>
      <w:pPr>
        <w:spacing w:after="0" w:line="125" w:lineRule="exact"/>
        <w:rPr>
          <w:sz w:val="20"/>
          <w:szCs w:val="20"/>
          <w:color w:val="auto"/>
        </w:rPr>
      </w:pPr>
    </w:p>
    <w:p>
      <w:pPr>
        <w:ind w:left="580" w:hanging="571"/>
        <w:spacing w:after="0" w:line="232" w:lineRule="auto"/>
        <w:tabs>
          <w:tab w:leader="none" w:pos="56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7"/>
          <w:szCs w:val="17"/>
          <w:color w:val="auto"/>
        </w:rPr>
        <w:t>Supplemental Indenture, dated December 2, 2020, among NRG Energy, Inc., the guarantors named therein and Deutsche Bank Trust Company Americas, as trustee, containing Form of 2.000% Senior Secured First Lien Notes due 2025 and Form of 2.450% Senior Secured First Lien Notes due 2027</w:t>
      </w:r>
    </w:p>
    <w:p>
      <w:pPr>
        <w:spacing w:after="0" w:line="41" w:lineRule="exact"/>
        <w:rPr>
          <w:sz w:val="20"/>
          <w:szCs w:val="20"/>
          <w:color w:val="auto"/>
        </w:rPr>
      </w:pPr>
    </w:p>
    <w:p>
      <w:pPr>
        <w:jc w:val="center"/>
        <w:spacing w:after="0"/>
        <w:tabs>
          <w:tab w:leader="none" w:pos="24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Supplemental Indenture, dated March 9, 2023, among NRG Energy,</w:t>
      </w:r>
    </w:p>
    <w:p>
      <w:pPr>
        <w:ind w:left="580" w:right="80"/>
        <w:spacing w:after="0" w:line="219" w:lineRule="auto"/>
        <w:rPr>
          <w:sz w:val="20"/>
          <w:szCs w:val="20"/>
          <w:color w:val="auto"/>
        </w:rPr>
      </w:pPr>
      <w:r>
        <w:rPr>
          <w:rFonts w:ascii="Arial" w:cs="Arial" w:eastAsia="Arial" w:hAnsi="Arial"/>
          <w:sz w:val="18"/>
          <w:szCs w:val="18"/>
          <w:color w:val="auto"/>
        </w:rPr>
        <w:t>Inc., the guarantors named therein and Deutsche Bank Trust Company Americas, as trustee, containing Form of 7.000% Senior Secured First Lien Notes Due 2033</w:t>
      </w:r>
    </w:p>
    <w:p>
      <w:pPr>
        <w:spacing w:after="0" w:line="67" w:lineRule="exact"/>
        <w:rPr>
          <w:sz w:val="20"/>
          <w:szCs w:val="20"/>
          <w:color w:val="auto"/>
        </w:rPr>
      </w:pPr>
    </w:p>
    <w:p>
      <w:pPr>
        <w:jc w:val="both"/>
        <w:ind w:left="580" w:right="40" w:hanging="571"/>
        <w:spacing w:after="0" w:line="264" w:lineRule="auto"/>
        <w:tabs>
          <w:tab w:leader="none" w:pos="56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color w:val="auto"/>
        </w:rPr>
        <w:t>Base Indenture, dated August 29, 2023, between NRG Energy, Inc. and Deutsche Bank Trust Company Americas, as trustee, pertaining to the Alexander Funding Trust II Pre-Capitalized Trust Securities.</w:t>
      </w:r>
    </w:p>
    <w:p>
      <w:pPr>
        <w:spacing w:after="0" w:line="91" w:lineRule="exact"/>
        <w:rPr>
          <w:sz w:val="20"/>
          <w:szCs w:val="20"/>
          <w:color w:val="auto"/>
        </w:rPr>
      </w:pPr>
    </w:p>
    <w:p>
      <w:pPr>
        <w:ind w:left="580" w:hanging="571"/>
        <w:spacing w:after="0" w:line="235" w:lineRule="auto"/>
        <w:tabs>
          <w:tab w:leader="none" w:pos="56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7"/>
          <w:szCs w:val="17"/>
          <w:color w:val="auto"/>
        </w:rPr>
        <w:t>Supplemental Indenture, dated August 29, 2023, among NRG Energy, Inc., the guarantors named therein and Deutsche Bank Trust Company Americas, as trustee, containing Form 7.467% Senior Secured First Lien Notes due 2028.</w:t>
      </w:r>
    </w:p>
    <w:p>
      <w:pPr>
        <w:spacing w:after="0" w:line="51" w:lineRule="exact"/>
        <w:rPr>
          <w:sz w:val="20"/>
          <w:szCs w:val="20"/>
          <w:color w:val="auto"/>
        </w:rPr>
      </w:pPr>
    </w:p>
    <w:p>
      <w:pPr>
        <w:ind w:left="580" w:right="200" w:hanging="571"/>
        <w:spacing w:after="0" w:line="264" w:lineRule="auto"/>
        <w:tabs>
          <w:tab w:leader="none" w:pos="56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7"/>
          <w:szCs w:val="17"/>
          <w:color w:val="auto"/>
        </w:rPr>
        <w:t>Description of NRG Energy, Inc. securities registered pursuant to section 12 of the Securities Exchange Act of 1934</w:t>
      </w:r>
    </w:p>
    <w:p>
      <w:pPr>
        <w:spacing w:after="0" w:line="209" w:lineRule="exact"/>
        <w:rPr>
          <w:sz w:val="20"/>
          <w:szCs w:val="20"/>
          <w:color w:val="auto"/>
        </w:rPr>
      </w:pPr>
    </w:p>
    <w:p>
      <w:pPr>
        <w:ind w:left="580" w:hanging="600"/>
        <w:spacing w:after="0" w:line="238" w:lineRule="auto"/>
        <w:tabs>
          <w:tab w:leader="none" w:pos="560" w:val="left"/>
        </w:tabs>
        <w:rPr>
          <w:sz w:val="20"/>
          <w:szCs w:val="20"/>
          <w:color w:val="auto"/>
        </w:rPr>
      </w:pPr>
      <w:r>
        <w:rPr>
          <w:rFonts w:ascii="Arial" w:cs="Arial" w:eastAsia="Arial" w:hAnsi="Arial"/>
          <w:sz w:val="18"/>
          <w:szCs w:val="18"/>
          <w:color w:val="auto"/>
        </w:rPr>
        <w:t>10.1*</w:t>
        <w:tab/>
        <w:t>The NRG Energy, Inc. Amended and Restated Long-Term Incentive Plan</w:t>
      </w:r>
    </w:p>
    <w:p>
      <w:pPr>
        <w:spacing w:after="0" w:line="228" w:lineRule="exact"/>
        <w:rPr>
          <w:sz w:val="20"/>
          <w:szCs w:val="20"/>
          <w:color w:val="auto"/>
        </w:rPr>
      </w:pPr>
    </w:p>
    <w:p>
      <w:pPr>
        <w:ind w:left="580" w:right="260" w:hanging="600"/>
        <w:spacing w:after="0" w:line="238" w:lineRule="auto"/>
        <w:tabs>
          <w:tab w:leader="none" w:pos="560" w:val="left"/>
        </w:tabs>
        <w:rPr>
          <w:sz w:val="20"/>
          <w:szCs w:val="20"/>
          <w:color w:val="auto"/>
        </w:rPr>
      </w:pPr>
      <w:r>
        <w:rPr>
          <w:rFonts w:ascii="Arial" w:cs="Arial" w:eastAsia="Arial" w:hAnsi="Arial"/>
          <w:sz w:val="18"/>
          <w:szCs w:val="18"/>
          <w:color w:val="auto"/>
        </w:rPr>
        <w:t>10.2*</w:t>
        <w:tab/>
        <w:t>Form of NRG Energy, Inc. Long-Term Incentive Plan Restricted Stock Unit Agreement.</w:t>
      </w:r>
    </w:p>
    <w:p>
      <w:pPr>
        <w:spacing w:after="0" w:line="228" w:lineRule="exact"/>
        <w:rPr>
          <w:sz w:val="20"/>
          <w:szCs w:val="20"/>
          <w:color w:val="auto"/>
        </w:rPr>
      </w:pPr>
    </w:p>
    <w:p>
      <w:pPr>
        <w:ind w:left="580" w:right="340" w:hanging="600"/>
        <w:spacing w:after="0" w:line="238" w:lineRule="auto"/>
        <w:tabs>
          <w:tab w:leader="none" w:pos="560" w:val="left"/>
        </w:tabs>
        <w:rPr>
          <w:sz w:val="20"/>
          <w:szCs w:val="20"/>
          <w:color w:val="auto"/>
        </w:rPr>
      </w:pPr>
      <w:r>
        <w:rPr>
          <w:rFonts w:ascii="Arial" w:cs="Arial" w:eastAsia="Arial" w:hAnsi="Arial"/>
          <w:sz w:val="18"/>
          <w:szCs w:val="18"/>
          <w:color w:val="auto"/>
        </w:rPr>
        <w:t>10.3*</w:t>
        <w:tab/>
        <w:t>Form of NRG Energy, Inc. Long-Term Incentive Plan Deferred Stock Unit Agreement for Directors.</w:t>
      </w:r>
    </w:p>
    <w:p>
      <w:pPr>
        <w:spacing w:after="0" w:line="20" w:lineRule="exact"/>
        <w:rPr>
          <w:sz w:val="20"/>
          <w:szCs w:val="20"/>
          <w:color w:val="auto"/>
        </w:rPr>
      </w:pPr>
      <w:r>
        <w:rPr>
          <w:sz w:val="20"/>
          <w:szCs w:val="20"/>
          <w:color w:val="auto"/>
        </w:rPr>
        <w:br w:type="column"/>
      </w:r>
    </w:p>
    <w:p>
      <w:pPr>
        <w:spacing w:after="0" w:line="227" w:lineRule="auto"/>
        <w:rPr>
          <w:sz w:val="20"/>
          <w:szCs w:val="20"/>
          <w:color w:val="auto"/>
        </w:rPr>
      </w:pPr>
      <w:r>
        <w:rPr>
          <w:rFonts w:ascii="Arial" w:cs="Arial" w:eastAsia="Arial" w:hAnsi="Arial"/>
          <w:sz w:val="18"/>
          <w:szCs w:val="18"/>
          <w:color w:val="auto"/>
        </w:rPr>
        <w:t>Incorporated herein by reference to Exhibit 4.2 to the Registrant's Current Report on Form 8-K filed on May 16, 2019.</w:t>
      </w:r>
    </w:p>
    <w:p>
      <w:pPr>
        <w:spacing w:after="0" w:line="348"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4.1 to the Registrant's Current Report on Form 8-K, filed on December 4, 2020.</w:t>
      </w:r>
    </w:p>
    <w:p>
      <w:pPr>
        <w:spacing w:after="0" w:line="140"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4.6 to the Registrant's Current Report on Form 8-K, filed on December 4, 2020.</w:t>
      </w:r>
    </w:p>
    <w:p>
      <w:pPr>
        <w:spacing w:after="0" w:line="289"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4.2 to the Registrant's Current Report on Form 8-K, filed on August 23, 2021.</w:t>
      </w:r>
    </w:p>
    <w:p>
      <w:pPr>
        <w:spacing w:after="0" w:line="229"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4.1 to the Registrant's current report on Form 8-K filed on November 1, 2024.</w:t>
      </w:r>
    </w:p>
    <w:p>
      <w:pPr>
        <w:spacing w:after="0" w:line="12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4.2 to the Registrant's current report on Form 8-K filed on November 1, 2024.</w:t>
      </w:r>
    </w:p>
    <w:p>
      <w:pPr>
        <w:spacing w:after="0" w:line="200" w:lineRule="exact"/>
        <w:rPr>
          <w:sz w:val="20"/>
          <w:szCs w:val="20"/>
          <w:color w:val="auto"/>
        </w:rPr>
      </w:pPr>
    </w:p>
    <w:p>
      <w:pPr>
        <w:spacing w:after="0" w:line="22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Incorporated herein by reference to Exhibit 4.1 to the Registrant's Current Report on Form 8-K filed on May 30, 2019.</w:t>
      </w:r>
    </w:p>
    <w:p>
      <w:pPr>
        <w:spacing w:after="0" w:line="51"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Incorporated herein by reference to Exhibit 4.2 to the Registrant's Current Report on Form 8-K filed on May 30, 2019.</w:t>
      </w:r>
    </w:p>
    <w:p>
      <w:pPr>
        <w:spacing w:after="0" w:line="200" w:lineRule="exact"/>
        <w:rPr>
          <w:sz w:val="20"/>
          <w:szCs w:val="20"/>
          <w:color w:val="auto"/>
        </w:rPr>
      </w:pPr>
    </w:p>
    <w:p>
      <w:pPr>
        <w:spacing w:after="0" w:line="282"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4.5 to the Registrant's Current Report on Form 8-K, filed on December 4, 2020.</w:t>
      </w:r>
    </w:p>
    <w:p>
      <w:pPr>
        <w:spacing w:after="0" w:line="12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4.2 to the Registrant's Current Report on Form 8-K, filed on December 4, 2020.</w:t>
      </w:r>
    </w:p>
    <w:p>
      <w:pPr>
        <w:spacing w:after="0" w:line="200" w:lineRule="exact"/>
        <w:rPr>
          <w:sz w:val="20"/>
          <w:szCs w:val="20"/>
          <w:color w:val="auto"/>
        </w:rPr>
      </w:pPr>
    </w:p>
    <w:p>
      <w:pPr>
        <w:spacing w:after="0" w:line="208"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4.2 to the Registrant's current report on Form 8-K filed on March 10, 2023.</w:t>
      </w:r>
    </w:p>
    <w:p>
      <w:pPr>
        <w:spacing w:after="0" w:line="244"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4.4 to the Registrant's current report on Form 8-K filed on August 29, 2023.</w:t>
      </w:r>
    </w:p>
    <w:p>
      <w:pPr>
        <w:spacing w:after="0" w:line="111"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Incorporated herein by reference to Exhibit 4.5 to the Registrant's current report on Form 8-K filed on August 29, 2023.</w:t>
      </w:r>
    </w:p>
    <w:p>
      <w:pPr>
        <w:spacing w:after="0" w:line="229"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Incorporated herein by reference to Exhibit 4.15 to the Registrant's Annual Report on Form 10-K, filed on February 27, 2020.</w:t>
      </w:r>
    </w:p>
    <w:p>
      <w:pPr>
        <w:spacing w:after="0" w:line="5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Incorporated herein by reference to Exhibit 10.3 to the Registrant's quarterly report on Form 10-Q filed on August 8, 2024.</w:t>
      </w:r>
    </w:p>
    <w:p>
      <w:pPr>
        <w:spacing w:after="0" w:line="51" w:lineRule="exact"/>
        <w:rPr>
          <w:sz w:val="20"/>
          <w:szCs w:val="20"/>
          <w:color w:val="auto"/>
        </w:rPr>
      </w:pPr>
    </w:p>
    <w:p>
      <w:pPr>
        <w:jc w:val="both"/>
        <w:ind w:right="160"/>
        <w:spacing w:after="0" w:line="227" w:lineRule="auto"/>
        <w:rPr>
          <w:sz w:val="20"/>
          <w:szCs w:val="20"/>
          <w:color w:val="auto"/>
        </w:rPr>
      </w:pPr>
      <w:r>
        <w:rPr>
          <w:rFonts w:ascii="Arial" w:cs="Arial" w:eastAsia="Arial" w:hAnsi="Arial"/>
          <w:sz w:val="18"/>
          <w:szCs w:val="18"/>
          <w:color w:val="auto"/>
        </w:rPr>
        <w:t>Incorporated herein by reference to Exhibit 10.24 to the Registrant's annual report on Form 10-K filed on February 28, 2024.</w:t>
      </w:r>
    </w:p>
    <w:p>
      <w:pPr>
        <w:spacing w:after="0" w:line="51" w:lineRule="exact"/>
        <w:rPr>
          <w:sz w:val="20"/>
          <w:szCs w:val="20"/>
          <w:color w:val="auto"/>
        </w:rPr>
      </w:pPr>
    </w:p>
    <w:p>
      <w:pPr>
        <w:jc w:val="both"/>
        <w:ind w:right="160"/>
        <w:spacing w:after="0" w:line="227" w:lineRule="auto"/>
        <w:rPr>
          <w:sz w:val="20"/>
          <w:szCs w:val="20"/>
          <w:color w:val="auto"/>
        </w:rPr>
      </w:pPr>
      <w:r>
        <w:rPr>
          <w:rFonts w:ascii="Arial" w:cs="Arial" w:eastAsia="Arial" w:hAnsi="Arial"/>
          <w:sz w:val="18"/>
          <w:szCs w:val="18"/>
          <w:color w:val="auto"/>
        </w:rPr>
        <w:t>Incorporated herein by reference to Exhibit 10.15 to the Registrant's annual report on Form 10-K filed on March 30, 2005.</w:t>
      </w:r>
    </w:p>
    <w:p>
      <w:pPr>
        <w:spacing w:after="0" w:line="200" w:lineRule="exact"/>
        <w:rPr>
          <w:sz w:val="20"/>
          <w:szCs w:val="20"/>
          <w:color w:val="auto"/>
        </w:rPr>
      </w:pPr>
    </w:p>
    <w:p>
      <w:pPr>
        <w:sectPr>
          <w:pgSz w:w="11880" w:h="15480" w:orient="portrait"/>
          <w:cols w:equalWidth="0" w:num="2">
            <w:col w:w="5460" w:space="260"/>
            <w:col w:w="3900"/>
          </w:cols>
          <w:pgMar w:left="1120" w:top="593"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165</w:t>
      </w:r>
    </w:p>
    <w:p>
      <w:pPr>
        <w:sectPr>
          <w:pgSz w:w="11880" w:h="15480" w:orient="portrait"/>
          <w:cols w:equalWidth="0" w:num="1">
            <w:col w:w="9620"/>
          </w:cols>
          <w:pgMar w:left="1120" w:top="593" w:right="1140" w:bottom="0" w:gutter="0" w:footer="0" w:header="0"/>
          <w:type w:val="continuous"/>
        </w:sectPr>
      </w:pPr>
    </w:p>
    <w:bookmarkStart w:id="167" w:name="page168"/>
    <w:bookmarkEnd w:id="167"/>
    <w:p>
      <w:pPr>
        <w:ind w:left="700" w:right="360" w:hanging="600"/>
        <w:spacing w:after="0" w:line="264" w:lineRule="auto"/>
        <w:tabs>
          <w:tab w:leader="none" w:pos="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Form of NRG Energy, Inc. Long-Term Incentive Plan Relative Performance Stock Unit Agreement for Officers.</w:t>
      </w:r>
    </w:p>
    <w:p>
      <w:pPr>
        <w:spacing w:after="0" w:line="209" w:lineRule="exact"/>
        <w:rPr>
          <w:sz w:val="20"/>
          <w:szCs w:val="20"/>
          <w:color w:val="auto"/>
        </w:rPr>
      </w:pPr>
    </w:p>
    <w:p>
      <w:pPr>
        <w:jc w:val="right"/>
        <w:ind w:left="100" w:right="340"/>
        <w:spacing w:after="0" w:line="264" w:lineRule="auto"/>
        <w:rPr>
          <w:sz w:val="20"/>
          <w:szCs w:val="20"/>
          <w:color w:val="auto"/>
        </w:rPr>
      </w:pPr>
      <w:r>
        <w:rPr>
          <w:rFonts w:ascii="Arial" w:cs="Arial" w:eastAsia="Arial" w:hAnsi="Arial"/>
          <w:sz w:val="17"/>
          <w:szCs w:val="17"/>
          <w:color w:val="auto"/>
        </w:rPr>
        <w:t>10.5*  Form of NRG Energy, Inc. Long-Term Incentive Plan Relative Performance Stock Unit Agreement for Senior Vice Presidents.</w:t>
      </w:r>
    </w:p>
    <w:p>
      <w:pPr>
        <w:spacing w:after="0" w:line="209" w:lineRule="exact"/>
        <w:rPr>
          <w:sz w:val="20"/>
          <w:szCs w:val="20"/>
          <w:color w:val="auto"/>
        </w:rPr>
      </w:pPr>
    </w:p>
    <w:p>
      <w:pPr>
        <w:ind w:left="700" w:right="140" w:hanging="600"/>
        <w:spacing w:after="0" w:line="296" w:lineRule="auto"/>
        <w:tabs>
          <w:tab w:leader="none" w:pos="6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NRG Energy, Inc. Long-Term Incentive Plan Relative Performance Stock Unit Agreement for Executive Vice Presidents</w:t>
      </w:r>
    </w:p>
    <w:p>
      <w:pPr>
        <w:spacing w:after="0" w:line="185" w:lineRule="exact"/>
        <w:rPr>
          <w:sz w:val="20"/>
          <w:szCs w:val="20"/>
          <w:color w:val="auto"/>
        </w:rPr>
      </w:pPr>
    </w:p>
    <w:p>
      <w:pPr>
        <w:jc w:val="right"/>
        <w:ind w:left="100" w:right="340"/>
        <w:spacing w:after="0" w:line="264" w:lineRule="auto"/>
        <w:rPr>
          <w:sz w:val="20"/>
          <w:szCs w:val="20"/>
          <w:color w:val="auto"/>
        </w:rPr>
      </w:pPr>
      <w:r>
        <w:rPr>
          <w:rFonts w:ascii="Arial" w:cs="Arial" w:eastAsia="Arial" w:hAnsi="Arial"/>
          <w:sz w:val="17"/>
          <w:szCs w:val="17"/>
          <w:color w:val="auto"/>
        </w:rPr>
        <w:t>10.7*  Form of NRG Energy, Inc. Long-Term Incentive Plan Relative Performance Stock Unit Agreement for Senior Vice Presidents.</w:t>
      </w:r>
    </w:p>
    <w:p>
      <w:pPr>
        <w:spacing w:after="0" w:line="209" w:lineRule="exact"/>
        <w:rPr>
          <w:sz w:val="20"/>
          <w:szCs w:val="20"/>
          <w:color w:val="auto"/>
        </w:rPr>
      </w:pPr>
    </w:p>
    <w:p>
      <w:pPr>
        <w:jc w:val="right"/>
        <w:ind w:left="100" w:right="340"/>
        <w:spacing w:after="0" w:line="264" w:lineRule="auto"/>
        <w:rPr>
          <w:sz w:val="20"/>
          <w:szCs w:val="20"/>
          <w:color w:val="auto"/>
        </w:rPr>
      </w:pPr>
      <w:r>
        <w:rPr>
          <w:rFonts w:ascii="Arial" w:cs="Arial" w:eastAsia="Arial" w:hAnsi="Arial"/>
          <w:sz w:val="17"/>
          <w:szCs w:val="17"/>
          <w:color w:val="auto"/>
        </w:rPr>
        <w:t>10.8*  Form of NRG Energy, Inc. Long-Term Incentive Plan Relative Performance Stock Unit Agreement for Senior Vice Presidents.</w:t>
      </w:r>
    </w:p>
    <w:p>
      <w:pPr>
        <w:spacing w:after="0" w:line="209" w:lineRule="exact"/>
        <w:rPr>
          <w:sz w:val="20"/>
          <w:szCs w:val="20"/>
          <w:color w:val="auto"/>
        </w:rPr>
      </w:pPr>
    </w:p>
    <w:p>
      <w:pPr>
        <w:jc w:val="center"/>
        <w:ind w:right="420"/>
        <w:spacing w:after="0" w:line="238" w:lineRule="auto"/>
        <w:rPr>
          <w:sz w:val="20"/>
          <w:szCs w:val="20"/>
          <w:color w:val="auto"/>
        </w:rPr>
      </w:pPr>
      <w:r>
        <w:rPr>
          <w:rFonts w:ascii="Arial" w:cs="Arial" w:eastAsia="Arial" w:hAnsi="Arial"/>
          <w:sz w:val="18"/>
          <w:szCs w:val="18"/>
          <w:color w:val="auto"/>
        </w:rPr>
        <w:t>10.9*  Restricted Stock Unit Agreement, dated December 15, 2023, between NRG Energy, Inc. and Lawrence S. Coben</w:t>
      </w:r>
    </w:p>
    <w:p>
      <w:pPr>
        <w:spacing w:after="0" w:line="228" w:lineRule="exact"/>
        <w:rPr>
          <w:sz w:val="20"/>
          <w:szCs w:val="20"/>
          <w:color w:val="auto"/>
        </w:rPr>
      </w:pPr>
    </w:p>
    <w:p>
      <w:pPr>
        <w:ind w:left="700" w:hanging="690"/>
        <w:spacing w:after="0" w:line="238" w:lineRule="auto"/>
        <w:tabs>
          <w:tab w:leader="none" w:pos="680" w:val="left"/>
        </w:tabs>
        <w:rPr>
          <w:sz w:val="20"/>
          <w:szCs w:val="20"/>
          <w:color w:val="auto"/>
        </w:rPr>
      </w:pPr>
      <w:r>
        <w:rPr>
          <w:rFonts w:ascii="Arial" w:cs="Arial" w:eastAsia="Arial" w:hAnsi="Arial"/>
          <w:sz w:val="18"/>
          <w:szCs w:val="18"/>
          <w:color w:val="auto"/>
        </w:rPr>
        <w:t>10.10*</w:t>
        <w:tab/>
        <w:t>Relative Performance Stock Unit Agreement, dated August 1, 2024, between NRG Energy, Inc. and Lawrence S. Coben</w:t>
      </w:r>
    </w:p>
    <w:p>
      <w:pPr>
        <w:spacing w:after="0" w:line="228" w:lineRule="exact"/>
        <w:rPr>
          <w:sz w:val="20"/>
          <w:szCs w:val="20"/>
          <w:color w:val="auto"/>
        </w:rPr>
      </w:pPr>
    </w:p>
    <w:p>
      <w:pPr>
        <w:ind w:left="700" w:right="240" w:hanging="690"/>
        <w:spacing w:after="0" w:line="264" w:lineRule="auto"/>
        <w:tabs>
          <w:tab w:leader="none" w:pos="6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Form of NRG Energy, Inc. Long-Term Incentive Plan Restricted Stock Unit Agreement for Chief Executive Officer</w:t>
      </w:r>
    </w:p>
    <w:p>
      <w:pPr>
        <w:spacing w:after="0" w:line="209" w:lineRule="exact"/>
        <w:rPr>
          <w:sz w:val="20"/>
          <w:szCs w:val="20"/>
          <w:color w:val="auto"/>
        </w:rPr>
      </w:pPr>
    </w:p>
    <w:p>
      <w:pPr>
        <w:ind w:left="700" w:right="300" w:hanging="690"/>
        <w:spacing w:after="0" w:line="296" w:lineRule="auto"/>
        <w:tabs>
          <w:tab w:leader="none" w:pos="6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Form of NRG Energy, Inc. Long-Term Incentive Plan Relative Performance Stock Unit Agreement for Chief Executive Officer</w:t>
      </w:r>
    </w:p>
    <w:p>
      <w:pPr>
        <w:spacing w:after="0" w:line="185" w:lineRule="exact"/>
        <w:rPr>
          <w:sz w:val="20"/>
          <w:szCs w:val="20"/>
          <w:color w:val="auto"/>
        </w:rPr>
      </w:pPr>
    </w:p>
    <w:p>
      <w:pPr>
        <w:ind w:left="700" w:right="160" w:hanging="690"/>
        <w:spacing w:after="0" w:line="227" w:lineRule="auto"/>
        <w:tabs>
          <w:tab w:leader="none" w:pos="680" w:val="left"/>
        </w:tabs>
        <w:rPr>
          <w:sz w:val="20"/>
          <w:szCs w:val="20"/>
          <w:color w:val="auto"/>
        </w:rPr>
      </w:pPr>
      <w:r>
        <w:rPr>
          <w:rFonts w:ascii="Arial" w:cs="Arial" w:eastAsia="Arial" w:hAnsi="Arial"/>
          <w:sz w:val="18"/>
          <w:szCs w:val="18"/>
          <w:color w:val="auto"/>
        </w:rPr>
        <w:t>10.13*</w:t>
        <w:tab/>
        <w:t>NRG Energy, Inc., 2020 Omnibus Incentive Plan (Legacy Vivint) (formerly known as the Vivint Smart Home, Inc. Long-Term Incentive Plan)</w:t>
      </w:r>
    </w:p>
    <w:p>
      <w:pPr>
        <w:spacing w:after="0" w:line="200" w:lineRule="exact"/>
        <w:rPr>
          <w:sz w:val="20"/>
          <w:szCs w:val="20"/>
          <w:color w:val="auto"/>
        </w:rPr>
      </w:pPr>
    </w:p>
    <w:p>
      <w:pPr>
        <w:spacing w:after="0" w:line="208" w:lineRule="exact"/>
        <w:rPr>
          <w:sz w:val="20"/>
          <w:szCs w:val="20"/>
          <w:color w:val="auto"/>
        </w:rPr>
      </w:pPr>
    </w:p>
    <w:p>
      <w:pPr>
        <w:ind w:left="700" w:right="280" w:hanging="690"/>
        <w:spacing w:after="0" w:line="238" w:lineRule="auto"/>
        <w:tabs>
          <w:tab w:leader="none" w:pos="680" w:val="left"/>
        </w:tabs>
        <w:rPr>
          <w:sz w:val="20"/>
          <w:szCs w:val="20"/>
          <w:color w:val="auto"/>
        </w:rPr>
      </w:pPr>
      <w:r>
        <w:rPr>
          <w:rFonts w:ascii="Arial" w:cs="Arial" w:eastAsia="Arial" w:hAnsi="Arial"/>
          <w:sz w:val="18"/>
          <w:szCs w:val="18"/>
          <w:color w:val="auto"/>
        </w:rPr>
        <w:t>10.14*</w:t>
        <w:tab/>
        <w:t>Amendment to NRG Energy, Inc. 2020 Omnibus Incentive Plan (Legacy Vivint)</w:t>
      </w:r>
    </w:p>
    <w:p>
      <w:pPr>
        <w:spacing w:after="0" w:line="228" w:lineRule="exact"/>
        <w:rPr>
          <w:sz w:val="20"/>
          <w:szCs w:val="20"/>
          <w:color w:val="auto"/>
        </w:rPr>
      </w:pPr>
    </w:p>
    <w:p>
      <w:pPr>
        <w:jc w:val="both"/>
        <w:ind w:left="700" w:right="80" w:hanging="690"/>
        <w:spacing w:after="0" w:line="238" w:lineRule="auto"/>
        <w:tabs>
          <w:tab w:leader="none" w:pos="680" w:val="left"/>
        </w:tabs>
        <w:rPr>
          <w:sz w:val="20"/>
          <w:szCs w:val="20"/>
          <w:color w:val="auto"/>
        </w:rPr>
      </w:pPr>
      <w:r>
        <w:rPr>
          <w:rFonts w:ascii="Arial" w:cs="Arial" w:eastAsia="Arial" w:hAnsi="Arial"/>
          <w:sz w:val="18"/>
          <w:szCs w:val="18"/>
          <w:color w:val="auto"/>
        </w:rPr>
        <w:t>10.15*</w:t>
        <w:tab/>
        <w:t>Second Amendment to NRG Energy, Inc. 2020 Omnibus Incentive Plan (Legacy Vivint)</w:t>
      </w:r>
    </w:p>
    <w:p>
      <w:pPr>
        <w:spacing w:after="0" w:line="228" w:lineRule="exact"/>
        <w:rPr>
          <w:sz w:val="20"/>
          <w:szCs w:val="20"/>
          <w:color w:val="auto"/>
        </w:rPr>
      </w:pPr>
    </w:p>
    <w:p>
      <w:pPr>
        <w:jc w:val="both"/>
        <w:ind w:left="700" w:right="100" w:hanging="690"/>
        <w:spacing w:after="0" w:line="296" w:lineRule="auto"/>
        <w:tabs>
          <w:tab w:leader="none" w:pos="6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Form of NRG Inc. , 2020 Omnibus Incentive Plan (Legacy Vivint) Relative Performance Stock Unit Agreement and Notice of Grant</w:t>
      </w:r>
    </w:p>
    <w:p>
      <w:pPr>
        <w:spacing w:after="0" w:line="185" w:lineRule="exact"/>
        <w:rPr>
          <w:sz w:val="20"/>
          <w:szCs w:val="20"/>
          <w:color w:val="auto"/>
        </w:rPr>
      </w:pPr>
    </w:p>
    <w:p>
      <w:pPr>
        <w:jc w:val="both"/>
        <w:ind w:left="700" w:right="100" w:hanging="690"/>
        <w:spacing w:after="0" w:line="296" w:lineRule="auto"/>
        <w:tabs>
          <w:tab w:leader="none" w:pos="6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Form of NRG Energy Inc., 2020 Omnibus Incentive Plan (Legacy Vivint) Restricted Stock Unit Agreement and Notice of Grant</w:t>
      </w:r>
    </w:p>
    <w:p>
      <w:pPr>
        <w:spacing w:after="0" w:line="185" w:lineRule="exact"/>
        <w:rPr>
          <w:sz w:val="20"/>
          <w:szCs w:val="20"/>
          <w:color w:val="auto"/>
        </w:rPr>
      </w:pPr>
    </w:p>
    <w:p>
      <w:pPr>
        <w:jc w:val="both"/>
        <w:ind w:left="700" w:right="80" w:hanging="690"/>
        <w:spacing w:after="0" w:line="227" w:lineRule="auto"/>
        <w:tabs>
          <w:tab w:leader="none" w:pos="680" w:val="left"/>
        </w:tabs>
        <w:rPr>
          <w:sz w:val="20"/>
          <w:szCs w:val="20"/>
          <w:color w:val="auto"/>
        </w:rPr>
      </w:pPr>
      <w:r>
        <w:rPr>
          <w:rFonts w:ascii="Arial" w:cs="Arial" w:eastAsia="Arial" w:hAnsi="Arial"/>
          <w:sz w:val="18"/>
          <w:szCs w:val="18"/>
          <w:color w:val="auto"/>
        </w:rPr>
        <w:t>10.18*</w:t>
        <w:tab/>
        <w:t>Form of NRG Energy Inc., 2020 Omnibus Incentive Plan (Legacy Vivint) Relative Performance Stock Unit Agreement and Notice of Grant</w:t>
      </w:r>
    </w:p>
    <w:p>
      <w:pPr>
        <w:spacing w:after="0" w:line="51" w:lineRule="exact"/>
        <w:rPr>
          <w:sz w:val="20"/>
          <w:szCs w:val="20"/>
          <w:color w:val="auto"/>
        </w:rPr>
      </w:pPr>
    </w:p>
    <w:p>
      <w:pPr>
        <w:ind w:left="700" w:right="140" w:hanging="690"/>
        <w:spacing w:after="0" w:line="296" w:lineRule="auto"/>
        <w:tabs>
          <w:tab w:leader="none" w:pos="6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Form of NRG Energy Inc., 2020 Omnibus Incentive Plan (Legacy Vivint) Restricted Stock Unit Agreement and Notice of Grant</w:t>
      </w:r>
    </w:p>
    <w:p>
      <w:pPr>
        <w:spacing w:after="0" w:line="185" w:lineRule="exact"/>
        <w:rPr>
          <w:sz w:val="20"/>
          <w:szCs w:val="20"/>
          <w:color w:val="auto"/>
        </w:rPr>
      </w:pPr>
    </w:p>
    <w:p>
      <w:pPr>
        <w:ind w:left="700" w:right="740" w:hanging="690"/>
        <w:spacing w:after="0" w:line="238" w:lineRule="auto"/>
        <w:tabs>
          <w:tab w:leader="none" w:pos="680" w:val="left"/>
        </w:tabs>
        <w:rPr>
          <w:sz w:val="20"/>
          <w:szCs w:val="20"/>
          <w:color w:val="auto"/>
        </w:rPr>
      </w:pPr>
      <w:r>
        <w:rPr>
          <w:rFonts w:ascii="Arial" w:cs="Arial" w:eastAsia="Arial" w:hAnsi="Arial"/>
          <w:sz w:val="18"/>
          <w:szCs w:val="18"/>
          <w:color w:val="auto"/>
        </w:rPr>
        <w:t>10.20*</w:t>
        <w:tab/>
        <w:t>Second Amended and Restated Annual Incentive Plan for Designated Corporate Officers.</w:t>
      </w:r>
    </w:p>
    <w:p>
      <w:pPr>
        <w:spacing w:after="0" w:line="228" w:lineRule="exact"/>
        <w:rPr>
          <w:sz w:val="20"/>
          <w:szCs w:val="20"/>
          <w:color w:val="auto"/>
        </w:rPr>
      </w:pPr>
    </w:p>
    <w:p>
      <w:pPr>
        <w:ind w:left="700" w:right="260" w:hanging="690"/>
        <w:spacing w:after="0" w:line="264" w:lineRule="auto"/>
        <w:tabs>
          <w:tab w:leader="none" w:pos="6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NRG Energy, Inc. Amended and Restated Executive Change-in-Control and General Severance Plan for Tier IA and Tier IIA Executives (Amended and Restated Effective January 1, 2024).</w:t>
      </w:r>
    </w:p>
    <w:p>
      <w:pPr>
        <w:spacing w:after="0" w:line="21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4"/>
          <w:szCs w:val="14"/>
          <w:color w:val="auto"/>
        </w:rPr>
        <w:t>Amended and Restated Employee Stock Purchase Plan</w:t>
      </w:r>
    </w:p>
    <w:p>
      <w:pPr>
        <w:spacing w:after="0" w:line="200" w:lineRule="exact"/>
        <w:rPr>
          <w:sz w:val="20"/>
          <w:szCs w:val="20"/>
          <w:color w:val="auto"/>
        </w:rPr>
      </w:pPr>
    </w:p>
    <w:p>
      <w:pPr>
        <w:spacing w:after="0" w:line="232" w:lineRule="exact"/>
        <w:rPr>
          <w:sz w:val="20"/>
          <w:szCs w:val="20"/>
          <w:color w:val="auto"/>
        </w:rPr>
      </w:pPr>
    </w:p>
    <w:p>
      <w:pPr>
        <w:ind w:left="700" w:right="280" w:hanging="690"/>
        <w:spacing w:after="0" w:line="238" w:lineRule="auto"/>
        <w:tabs>
          <w:tab w:leader="none" w:pos="680" w:val="left"/>
        </w:tabs>
        <w:rPr>
          <w:sz w:val="20"/>
          <w:szCs w:val="20"/>
          <w:color w:val="auto"/>
        </w:rPr>
      </w:pPr>
      <w:r>
        <w:rPr>
          <w:rFonts w:ascii="Arial" w:cs="Arial" w:eastAsia="Arial" w:hAnsi="Arial"/>
          <w:sz w:val="18"/>
          <w:szCs w:val="18"/>
          <w:color w:val="auto"/>
        </w:rPr>
        <w:t>10.23*</w:t>
        <w:tab/>
        <w:t>Retention letter, dated December 6, 2022, between Vivint Smart Home, Inc. and Rasesh Patel.</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4"/>
          <w:szCs w:val="14"/>
          <w:color w:val="auto"/>
        </w:rPr>
        <w:t>Amended and Restated Employment Agreement, dated June 20,</w:t>
      </w:r>
    </w:p>
    <w:p>
      <w:pPr>
        <w:ind w:left="700"/>
        <w:spacing w:after="0"/>
        <w:rPr>
          <w:sz w:val="20"/>
          <w:szCs w:val="20"/>
          <w:color w:val="auto"/>
        </w:rPr>
      </w:pPr>
      <w:r>
        <w:rPr>
          <w:rFonts w:ascii="Arial" w:cs="Arial" w:eastAsia="Arial" w:hAnsi="Arial"/>
          <w:sz w:val="18"/>
          <w:szCs w:val="18"/>
          <w:color w:val="auto"/>
        </w:rPr>
        <w:t>2022, between Vivint Smart Home, Inc. and Rasesh Patel</w:t>
      </w:r>
    </w:p>
    <w:p>
      <w:pPr>
        <w:spacing w:after="0" w:line="20" w:lineRule="exact"/>
        <w:rPr>
          <w:sz w:val="20"/>
          <w:szCs w:val="20"/>
          <w:color w:val="auto"/>
        </w:rPr>
      </w:pPr>
      <w:r>
        <w:rPr>
          <w:sz w:val="20"/>
          <w:szCs w:val="20"/>
          <w:color w:val="auto"/>
        </w:rPr>
        <w:br w:type="column"/>
      </w:r>
    </w:p>
    <w:p>
      <w:pPr>
        <w:jc w:val="both"/>
        <w:ind w:right="160"/>
        <w:spacing w:after="0" w:line="227" w:lineRule="auto"/>
        <w:rPr>
          <w:sz w:val="20"/>
          <w:szCs w:val="20"/>
          <w:color w:val="auto"/>
        </w:rPr>
      </w:pPr>
      <w:r>
        <w:rPr>
          <w:rFonts w:ascii="Arial" w:cs="Arial" w:eastAsia="Arial" w:hAnsi="Arial"/>
          <w:sz w:val="18"/>
          <w:szCs w:val="18"/>
          <w:color w:val="auto"/>
        </w:rPr>
        <w:t>Incorporated herein by reference to Exhibit 10.73 to the Registrant's annual report on Form 10-K filed on March 1, 2018.</w:t>
      </w:r>
    </w:p>
    <w:p>
      <w:pPr>
        <w:spacing w:after="0" w:line="51" w:lineRule="exact"/>
        <w:rPr>
          <w:sz w:val="20"/>
          <w:szCs w:val="20"/>
          <w:color w:val="auto"/>
        </w:rPr>
      </w:pPr>
    </w:p>
    <w:p>
      <w:pPr>
        <w:jc w:val="both"/>
        <w:ind w:right="160"/>
        <w:spacing w:after="0" w:line="227" w:lineRule="auto"/>
        <w:rPr>
          <w:sz w:val="20"/>
          <w:szCs w:val="20"/>
          <w:color w:val="auto"/>
        </w:rPr>
      </w:pPr>
      <w:r>
        <w:rPr>
          <w:rFonts w:ascii="Arial" w:cs="Arial" w:eastAsia="Arial" w:hAnsi="Arial"/>
          <w:sz w:val="18"/>
          <w:szCs w:val="18"/>
          <w:color w:val="auto"/>
        </w:rPr>
        <w:t>Incorporated herein by reference to Exhibit 10.74 to the Registrant's annual report on Form 10-K filed on March 1, 2018.</w:t>
      </w:r>
    </w:p>
    <w:p>
      <w:pPr>
        <w:spacing w:after="0" w:line="51" w:lineRule="exact"/>
        <w:rPr>
          <w:sz w:val="20"/>
          <w:szCs w:val="20"/>
          <w:color w:val="auto"/>
        </w:rPr>
      </w:pPr>
    </w:p>
    <w:p>
      <w:pPr>
        <w:jc w:val="both"/>
        <w:ind w:right="160"/>
        <w:spacing w:after="0" w:line="227" w:lineRule="auto"/>
        <w:rPr>
          <w:sz w:val="20"/>
          <w:szCs w:val="20"/>
          <w:color w:val="auto"/>
        </w:rPr>
      </w:pPr>
      <w:r>
        <w:rPr>
          <w:rFonts w:ascii="Arial" w:cs="Arial" w:eastAsia="Arial" w:hAnsi="Arial"/>
          <w:sz w:val="18"/>
          <w:szCs w:val="18"/>
          <w:color w:val="auto"/>
        </w:rPr>
        <w:t>Incorporated herein by reference to Exhibit 10.22 to the Registrant's annual report on Form 10-K filed on February 24, 2022.</w:t>
      </w:r>
    </w:p>
    <w:p>
      <w:pPr>
        <w:spacing w:after="0" w:line="51" w:lineRule="exact"/>
        <w:rPr>
          <w:sz w:val="20"/>
          <w:szCs w:val="20"/>
          <w:color w:val="auto"/>
        </w:rPr>
      </w:pPr>
    </w:p>
    <w:p>
      <w:pPr>
        <w:jc w:val="both"/>
        <w:ind w:right="160"/>
        <w:spacing w:after="0" w:line="227" w:lineRule="auto"/>
        <w:rPr>
          <w:sz w:val="20"/>
          <w:szCs w:val="20"/>
          <w:color w:val="auto"/>
        </w:rPr>
      </w:pPr>
      <w:r>
        <w:rPr>
          <w:rFonts w:ascii="Arial" w:cs="Arial" w:eastAsia="Arial" w:hAnsi="Arial"/>
          <w:sz w:val="18"/>
          <w:szCs w:val="18"/>
          <w:color w:val="auto"/>
        </w:rPr>
        <w:t>Incorporated herein by reference to Exhibit 10.23 to the Registrant's annual report on Form 10-K filed on February 24, 2022.</w:t>
      </w:r>
    </w:p>
    <w:p>
      <w:pPr>
        <w:spacing w:after="0" w:line="51" w:lineRule="exact"/>
        <w:rPr>
          <w:sz w:val="20"/>
          <w:szCs w:val="20"/>
          <w:color w:val="auto"/>
        </w:rPr>
      </w:pPr>
    </w:p>
    <w:p>
      <w:pPr>
        <w:jc w:val="both"/>
        <w:ind w:right="160"/>
        <w:spacing w:after="0" w:line="227" w:lineRule="auto"/>
        <w:rPr>
          <w:sz w:val="20"/>
          <w:szCs w:val="20"/>
          <w:color w:val="auto"/>
        </w:rPr>
      </w:pPr>
      <w:r>
        <w:rPr>
          <w:rFonts w:ascii="Arial" w:cs="Arial" w:eastAsia="Arial" w:hAnsi="Arial"/>
          <w:sz w:val="18"/>
          <w:szCs w:val="18"/>
          <w:color w:val="auto"/>
        </w:rPr>
        <w:t>Incorporated herein by reference to Exhibit 10.23 to the Registrant's annual report on Form 10-K filed on February 28, 2024.</w:t>
      </w:r>
    </w:p>
    <w:p>
      <w:pPr>
        <w:spacing w:after="0" w:line="51" w:lineRule="exact"/>
        <w:rPr>
          <w:sz w:val="20"/>
          <w:szCs w:val="20"/>
          <w:color w:val="auto"/>
        </w:rPr>
      </w:pPr>
    </w:p>
    <w:p>
      <w:pPr>
        <w:jc w:val="both"/>
        <w:ind w:right="160"/>
        <w:spacing w:after="0" w:line="227" w:lineRule="auto"/>
        <w:rPr>
          <w:sz w:val="20"/>
          <w:szCs w:val="20"/>
          <w:color w:val="auto"/>
        </w:rPr>
      </w:pPr>
      <w:r>
        <w:rPr>
          <w:rFonts w:ascii="Arial" w:cs="Arial" w:eastAsia="Arial" w:hAnsi="Arial"/>
          <w:sz w:val="18"/>
          <w:szCs w:val="18"/>
          <w:color w:val="auto"/>
        </w:rPr>
        <w:t>Incorporated herein by reference to Exhibit 10.25 to the Registrant's annual report on Form 10-K filed on February 28, 2024.</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32"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Incorporated herein by reference to Exhibit 4.4 to Vivint Smart Home's Post-Effective Amendment on Form S-8 to Registration Statement on Form S-4 filed with the Securities and Exchange Commission on March 24, 2020</w:t>
      </w:r>
    </w:p>
    <w:p>
      <w:pPr>
        <w:spacing w:after="0" w:line="5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Incorporated herein by reference to Exhibit 10.1 to the Registrant's quarterly report on Form 10-Q filed on August 8, 2023.</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32"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Incorporated herein by reference to Exhibit 10.2 to the Registrant's quarterly report on Form 10-Q filed on May 4, 2023.</w:t>
      </w:r>
    </w:p>
    <w:p>
      <w:pPr>
        <w:spacing w:after="0" w:line="5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Incorporated herein by reference to Exhibit 10.3 to the Registrant's quarterly report on Form 10-Q filed on May 4, 2023.</w:t>
      </w:r>
    </w:p>
    <w:p>
      <w:pPr>
        <w:spacing w:after="0" w:line="51" w:lineRule="exact"/>
        <w:rPr>
          <w:sz w:val="20"/>
          <w:szCs w:val="20"/>
          <w:color w:val="auto"/>
        </w:rPr>
      </w:pPr>
    </w:p>
    <w:p>
      <w:pPr>
        <w:jc w:val="both"/>
        <w:ind w:right="160"/>
        <w:spacing w:after="0" w:line="227" w:lineRule="auto"/>
        <w:rPr>
          <w:sz w:val="20"/>
          <w:szCs w:val="20"/>
          <w:color w:val="auto"/>
        </w:rPr>
      </w:pPr>
      <w:r>
        <w:rPr>
          <w:rFonts w:ascii="Arial" w:cs="Arial" w:eastAsia="Arial" w:hAnsi="Arial"/>
          <w:sz w:val="18"/>
          <w:szCs w:val="18"/>
          <w:color w:val="auto"/>
        </w:rPr>
        <w:t>Incorporated herein by reference to Exhibit 10.29 to the Registrant's annual report on Form 10-K filed on February 28, 2024.</w:t>
      </w:r>
    </w:p>
    <w:p>
      <w:pPr>
        <w:spacing w:after="0" w:line="51" w:lineRule="exact"/>
        <w:rPr>
          <w:sz w:val="20"/>
          <w:szCs w:val="20"/>
          <w:color w:val="auto"/>
        </w:rPr>
      </w:pPr>
    </w:p>
    <w:p>
      <w:pPr>
        <w:jc w:val="both"/>
        <w:ind w:right="160"/>
        <w:spacing w:after="0" w:line="227" w:lineRule="auto"/>
        <w:rPr>
          <w:sz w:val="20"/>
          <w:szCs w:val="20"/>
          <w:color w:val="auto"/>
        </w:rPr>
      </w:pPr>
      <w:r>
        <w:rPr>
          <w:rFonts w:ascii="Arial" w:cs="Arial" w:eastAsia="Arial" w:hAnsi="Arial"/>
          <w:sz w:val="18"/>
          <w:szCs w:val="18"/>
          <w:color w:val="auto"/>
        </w:rPr>
        <w:t>Incorporated herein by reference to Exhibit 10.30 to the Registrant's annual report on Form 10-K filed on February 28, 2024.</w:t>
      </w:r>
    </w:p>
    <w:p>
      <w:pPr>
        <w:spacing w:after="0" w:line="51" w:lineRule="exact"/>
        <w:rPr>
          <w:sz w:val="20"/>
          <w:szCs w:val="20"/>
          <w:color w:val="auto"/>
        </w:rPr>
      </w:pPr>
    </w:p>
    <w:p>
      <w:pPr>
        <w:jc w:val="both"/>
        <w:ind w:right="20"/>
        <w:spacing w:after="0" w:line="227" w:lineRule="auto"/>
        <w:rPr>
          <w:sz w:val="20"/>
          <w:szCs w:val="20"/>
          <w:color w:val="auto"/>
        </w:rPr>
      </w:pPr>
      <w:r>
        <w:rPr>
          <w:rFonts w:ascii="Arial" w:cs="Arial" w:eastAsia="Arial" w:hAnsi="Arial"/>
          <w:sz w:val="18"/>
          <w:szCs w:val="18"/>
          <w:color w:val="auto"/>
        </w:rPr>
        <w:t>Incorporated herein by reference to Exhibit 10.1 to the Registrant's current report on Form 8-K filed on May 7, 2015.</w:t>
      </w:r>
    </w:p>
    <w:p>
      <w:pPr>
        <w:spacing w:after="0" w:line="51" w:lineRule="exact"/>
        <w:rPr>
          <w:sz w:val="20"/>
          <w:szCs w:val="20"/>
          <w:color w:val="auto"/>
        </w:rPr>
      </w:pPr>
    </w:p>
    <w:p>
      <w:pPr>
        <w:jc w:val="both"/>
        <w:ind w:right="160"/>
        <w:spacing w:after="0" w:line="227" w:lineRule="auto"/>
        <w:rPr>
          <w:sz w:val="20"/>
          <w:szCs w:val="20"/>
          <w:color w:val="auto"/>
        </w:rPr>
      </w:pPr>
      <w:r>
        <w:rPr>
          <w:rFonts w:ascii="Arial" w:cs="Arial" w:eastAsia="Arial" w:hAnsi="Arial"/>
          <w:sz w:val="18"/>
          <w:szCs w:val="18"/>
          <w:color w:val="auto"/>
        </w:rPr>
        <w:t>Incorporated herein by reference to Exhibit 10.10 to the Registrant's annual report on Form 10-K filed on February 28, 2024.</w:t>
      </w:r>
    </w:p>
    <w:p>
      <w:pPr>
        <w:spacing w:after="0" w:line="229" w:lineRule="exact"/>
        <w:rPr>
          <w:sz w:val="20"/>
          <w:szCs w:val="20"/>
          <w:color w:val="auto"/>
        </w:rPr>
      </w:pPr>
    </w:p>
    <w:p>
      <w:pPr>
        <w:jc w:val="both"/>
        <w:ind w:right="20"/>
        <w:spacing w:after="0" w:line="227" w:lineRule="auto"/>
        <w:rPr>
          <w:sz w:val="20"/>
          <w:szCs w:val="20"/>
          <w:color w:val="auto"/>
        </w:rPr>
      </w:pPr>
      <w:r>
        <w:rPr>
          <w:rFonts w:ascii="Arial" w:cs="Arial" w:eastAsia="Arial" w:hAnsi="Arial"/>
          <w:sz w:val="18"/>
          <w:szCs w:val="18"/>
          <w:color w:val="auto"/>
        </w:rPr>
        <w:t>Incorporated herein by reference to Exhibit 10.1 to the Registrant's current report on Form 8-K filed on May 2, 2023.</w:t>
      </w:r>
    </w:p>
    <w:p>
      <w:pPr>
        <w:spacing w:after="0" w:line="5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Incorporated herein by reference to Exhibit 10.45 to Vivint Smart Home, Inc.'s Annual Report on Form 10-K for the annual period ended December 31, 2022.</w:t>
      </w:r>
    </w:p>
    <w:p>
      <w:pPr>
        <w:spacing w:after="0" w:line="31" w:lineRule="exact"/>
        <w:rPr>
          <w:sz w:val="20"/>
          <w:szCs w:val="20"/>
          <w:color w:val="auto"/>
        </w:rPr>
      </w:pPr>
    </w:p>
    <w:p>
      <w:pPr>
        <w:jc w:val="both"/>
        <w:ind w:right="220"/>
        <w:spacing w:after="0" w:line="241" w:lineRule="auto"/>
        <w:rPr>
          <w:sz w:val="20"/>
          <w:szCs w:val="20"/>
          <w:color w:val="auto"/>
        </w:rPr>
      </w:pPr>
      <w:r>
        <w:rPr>
          <w:rFonts w:ascii="Arial" w:cs="Arial" w:eastAsia="Arial" w:hAnsi="Arial"/>
          <w:sz w:val="17"/>
          <w:szCs w:val="17"/>
          <w:color w:val="auto"/>
        </w:rPr>
        <w:t>Incorporated by reference to Exhibit 10.5 to Vivint Smart Home, Inc.'s Quarterly Report on Form 10-Q for the quarter ended June 30, 2022</w:t>
      </w:r>
    </w:p>
    <w:p>
      <w:pPr>
        <w:spacing w:after="0" w:line="200" w:lineRule="exact"/>
        <w:rPr>
          <w:sz w:val="20"/>
          <w:szCs w:val="20"/>
          <w:color w:val="auto"/>
        </w:rPr>
      </w:pPr>
    </w:p>
    <w:p>
      <w:pPr>
        <w:sectPr>
          <w:pgSz w:w="11880" w:h="15480" w:orient="portrait"/>
          <w:cols w:equalWidth="0" w:num="2">
            <w:col w:w="5560" w:space="280"/>
            <w:col w:w="3900"/>
          </w:cols>
          <w:pgMar w:left="1000" w:top="593" w:right="1140" w:bottom="0" w:gutter="0" w:footer="0" w:header="0"/>
        </w:sect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166</w:t>
      </w:r>
    </w:p>
    <w:p>
      <w:pPr>
        <w:sectPr>
          <w:pgSz w:w="11880" w:h="15480" w:orient="portrait"/>
          <w:cols w:equalWidth="0" w:num="1">
            <w:col w:w="9740"/>
          </w:cols>
          <w:pgMar w:left="1000" w:top="593" w:right="1140" w:bottom="0" w:gutter="0" w:footer="0" w:header="0"/>
          <w:type w:val="continuous"/>
        </w:sectPr>
      </w:pPr>
    </w:p>
    <w:bookmarkStart w:id="168" w:name="page169"/>
    <w:bookmarkEnd w:id="168"/>
    <w:tbl>
      <w:tblPr>
        <w:tblLayout w:type="fixed"/>
        <w:tblInd w:w="0" w:type="dxa"/>
        <w:tblCellMar>
          <w:top w:w="0" w:type="dxa"/>
          <w:left w:w="0" w:type="dxa"/>
          <w:bottom w:w="0" w:type="dxa"/>
          <w:right w:w="0" w:type="dxa"/>
        </w:tblCellMar>
      </w:tblPr>
      <w:tr>
        <w:trPr>
          <w:trHeight w:val="207"/>
        </w:trPr>
        <w:tc>
          <w:tcPr>
            <w:tcW w:w="600" w:type="dxa"/>
            <w:vAlign w:val="bottom"/>
          </w:tcPr>
          <w:p>
            <w:pPr>
              <w:jc w:val="center"/>
              <w:ind w:right="11"/>
              <w:spacing w:after="0"/>
              <w:rPr>
                <w:sz w:val="20"/>
                <w:szCs w:val="20"/>
                <w:color w:val="auto"/>
              </w:rPr>
            </w:pPr>
            <w:r>
              <w:rPr>
                <w:rFonts w:ascii="Arial" w:cs="Arial" w:eastAsia="Arial" w:hAnsi="Arial"/>
                <w:sz w:val="18"/>
                <w:szCs w:val="18"/>
                <w:color w:val="auto"/>
                <w:w w:val="95"/>
              </w:rPr>
              <w:t>10.25*</w:t>
            </w:r>
          </w:p>
        </w:tc>
        <w:tc>
          <w:tcPr>
            <w:tcW w:w="5000" w:type="dxa"/>
            <w:vAlign w:val="bottom"/>
          </w:tcPr>
          <w:p>
            <w:pPr>
              <w:ind w:left="100"/>
              <w:spacing w:after="0"/>
              <w:rPr>
                <w:sz w:val="20"/>
                <w:szCs w:val="20"/>
                <w:color w:val="auto"/>
              </w:rPr>
            </w:pPr>
            <w:r>
              <w:rPr>
                <w:rFonts w:ascii="Arial" w:cs="Arial" w:eastAsia="Arial" w:hAnsi="Arial"/>
                <w:sz w:val="18"/>
                <w:szCs w:val="18"/>
                <w:color w:val="auto"/>
                <w:w w:val="96"/>
              </w:rPr>
              <w:t>Employment Agreement, dated August 1, 2024 by and between</w:t>
            </w:r>
          </w:p>
        </w:tc>
        <w:tc>
          <w:tcPr>
            <w:tcW w:w="0" w:type="dxa"/>
            <w:vAlign w:val="bottom"/>
          </w:tcPr>
          <w:p>
            <w:pPr>
              <w:spacing w:after="0"/>
              <w:rPr>
                <w:sz w:val="1"/>
                <w:szCs w:val="1"/>
                <w:color w:val="auto"/>
              </w:rPr>
            </w:pPr>
          </w:p>
        </w:tc>
      </w:tr>
      <w:tr>
        <w:trPr>
          <w:trHeight w:val="233"/>
        </w:trPr>
        <w:tc>
          <w:tcPr>
            <w:tcW w:w="6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NRG Energy, Inc. and Lawrence S. Coben</w:t>
            </w:r>
          </w:p>
        </w:tc>
        <w:tc>
          <w:tcPr>
            <w:tcW w:w="0" w:type="dxa"/>
            <w:vAlign w:val="bottom"/>
          </w:tcPr>
          <w:p>
            <w:pPr>
              <w:spacing w:after="0"/>
              <w:rPr>
                <w:sz w:val="1"/>
                <w:szCs w:val="1"/>
                <w:color w:val="auto"/>
              </w:rPr>
            </w:pPr>
          </w:p>
        </w:tc>
      </w:tr>
      <w:tr>
        <w:trPr>
          <w:trHeight w:val="406"/>
        </w:trPr>
        <w:tc>
          <w:tcPr>
            <w:tcW w:w="600" w:type="dxa"/>
            <w:vAlign w:val="bottom"/>
          </w:tcPr>
          <w:p>
            <w:pPr>
              <w:jc w:val="center"/>
              <w:ind w:right="31"/>
              <w:spacing w:after="0"/>
              <w:rPr>
                <w:sz w:val="20"/>
                <w:szCs w:val="20"/>
                <w:color w:val="auto"/>
              </w:rPr>
            </w:pPr>
            <w:r>
              <w:rPr>
                <w:rFonts w:ascii="Arial" w:cs="Arial" w:eastAsia="Arial" w:hAnsi="Arial"/>
                <w:sz w:val="18"/>
                <w:szCs w:val="18"/>
                <w:color w:val="auto"/>
                <w:w w:val="88"/>
              </w:rPr>
              <w:t>10.26</w:t>
            </w:r>
          </w:p>
        </w:tc>
        <w:tc>
          <w:tcPr>
            <w:tcW w:w="5000" w:type="dxa"/>
            <w:vAlign w:val="bottom"/>
          </w:tcPr>
          <w:p>
            <w:pPr>
              <w:ind w:left="100"/>
              <w:spacing w:after="0"/>
              <w:rPr>
                <w:sz w:val="20"/>
                <w:szCs w:val="20"/>
                <w:color w:val="auto"/>
              </w:rPr>
            </w:pPr>
            <w:r>
              <w:rPr>
                <w:rFonts w:ascii="Arial" w:cs="Arial" w:eastAsia="Arial" w:hAnsi="Arial"/>
                <w:sz w:val="18"/>
                <w:szCs w:val="18"/>
                <w:color w:val="auto"/>
                <w:w w:val="90"/>
              </w:rPr>
              <w:t>Second Amended and Restated Credit Agreement, dated as of July</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rPr>
              <w:t>9, 2021, among APX Group Holdings, Inc., as Holdings, APX</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1"/>
              </w:rPr>
              <w:t>Group, Inc., as the borrower, the guarantors party hereto from time</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2"/>
              </w:rPr>
              <w:t>to time, Bank of America, N.A., as administrative agent, swing line</w:t>
            </w:r>
          </w:p>
        </w:tc>
        <w:tc>
          <w:tcPr>
            <w:tcW w:w="0" w:type="dxa"/>
            <w:vAlign w:val="bottom"/>
          </w:tcPr>
          <w:p>
            <w:pPr>
              <w:spacing w:after="0"/>
              <w:rPr>
                <w:sz w:val="1"/>
                <w:szCs w:val="1"/>
                <w:color w:val="auto"/>
              </w:rPr>
            </w:pPr>
          </w:p>
        </w:tc>
      </w:tr>
      <w:tr>
        <w:trPr>
          <w:trHeight w:val="233"/>
        </w:trPr>
        <w:tc>
          <w:tcPr>
            <w:tcW w:w="6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lender and an L/C issuer.</w:t>
            </w:r>
          </w:p>
        </w:tc>
        <w:tc>
          <w:tcPr>
            <w:tcW w:w="0" w:type="dxa"/>
            <w:vAlign w:val="bottom"/>
          </w:tcPr>
          <w:p>
            <w:pPr>
              <w:spacing w:after="0"/>
              <w:rPr>
                <w:sz w:val="1"/>
                <w:szCs w:val="1"/>
                <w:color w:val="auto"/>
              </w:rPr>
            </w:pPr>
          </w:p>
        </w:tc>
      </w:tr>
      <w:tr>
        <w:trPr>
          <w:trHeight w:val="228"/>
        </w:trPr>
        <w:tc>
          <w:tcPr>
            <w:tcW w:w="600" w:type="dxa"/>
            <w:vAlign w:val="bottom"/>
          </w:tcPr>
          <w:p>
            <w:pPr>
              <w:jc w:val="center"/>
              <w:ind w:right="31"/>
              <w:spacing w:after="0"/>
              <w:rPr>
                <w:sz w:val="20"/>
                <w:szCs w:val="20"/>
                <w:color w:val="auto"/>
              </w:rPr>
            </w:pPr>
            <w:r>
              <w:rPr>
                <w:rFonts w:ascii="Arial" w:cs="Arial" w:eastAsia="Arial" w:hAnsi="Arial"/>
                <w:sz w:val="18"/>
                <w:szCs w:val="18"/>
                <w:color w:val="auto"/>
                <w:w w:val="88"/>
              </w:rPr>
              <w:t>10.27</w:t>
            </w:r>
          </w:p>
        </w:tc>
        <w:tc>
          <w:tcPr>
            <w:tcW w:w="5000" w:type="dxa"/>
            <w:vAlign w:val="bottom"/>
          </w:tcPr>
          <w:p>
            <w:pPr>
              <w:ind w:left="100"/>
              <w:spacing w:after="0"/>
              <w:rPr>
                <w:sz w:val="20"/>
                <w:szCs w:val="20"/>
                <w:color w:val="auto"/>
              </w:rPr>
            </w:pPr>
            <w:r>
              <w:rPr>
                <w:rFonts w:ascii="Arial" w:cs="Arial" w:eastAsia="Arial" w:hAnsi="Arial"/>
                <w:sz w:val="18"/>
                <w:szCs w:val="18"/>
                <w:color w:val="auto"/>
                <w:w w:val="96"/>
              </w:rPr>
              <w:t>Amendment No.1 to the Second Amended and Restated Credit</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1"/>
              </w:rPr>
              <w:t>Agreement, dated as of June 9, 2023, by and between AXP Group,</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3"/>
              </w:rPr>
              <w:t>Inc. as borrower and the Bank of America, N.A., as administrative</w:t>
            </w:r>
          </w:p>
        </w:tc>
        <w:tc>
          <w:tcPr>
            <w:tcW w:w="0" w:type="dxa"/>
            <w:vAlign w:val="bottom"/>
          </w:tcPr>
          <w:p>
            <w:pPr>
              <w:spacing w:after="0"/>
              <w:rPr>
                <w:sz w:val="1"/>
                <w:szCs w:val="1"/>
                <w:color w:val="auto"/>
              </w:rPr>
            </w:pPr>
          </w:p>
        </w:tc>
      </w:tr>
      <w:tr>
        <w:trPr>
          <w:trHeight w:val="233"/>
        </w:trPr>
        <w:tc>
          <w:tcPr>
            <w:tcW w:w="6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agent.</w:t>
            </w:r>
          </w:p>
        </w:tc>
        <w:tc>
          <w:tcPr>
            <w:tcW w:w="0" w:type="dxa"/>
            <w:vAlign w:val="bottom"/>
          </w:tcPr>
          <w:p>
            <w:pPr>
              <w:spacing w:after="0"/>
              <w:rPr>
                <w:sz w:val="1"/>
                <w:szCs w:val="1"/>
                <w:color w:val="auto"/>
              </w:rPr>
            </w:pPr>
          </w:p>
        </w:tc>
      </w:tr>
      <w:tr>
        <w:trPr>
          <w:trHeight w:val="363"/>
        </w:trPr>
        <w:tc>
          <w:tcPr>
            <w:tcW w:w="60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5000" w:type="dxa"/>
            <w:vAlign w:val="bottom"/>
          </w:tcPr>
          <w:p>
            <w:pPr>
              <w:ind w:left="100"/>
              <w:spacing w:after="0"/>
              <w:rPr>
                <w:sz w:val="20"/>
                <w:szCs w:val="20"/>
                <w:color w:val="auto"/>
              </w:rPr>
            </w:pPr>
            <w:r>
              <w:rPr>
                <w:rFonts w:ascii="Arial" w:cs="Arial" w:eastAsia="Arial" w:hAnsi="Arial"/>
                <w:sz w:val="18"/>
                <w:szCs w:val="18"/>
                <w:color w:val="auto"/>
                <w:w w:val="96"/>
              </w:rPr>
              <w:t>Amendment No. 2 to the Second Amended and Restated Credit</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6"/>
              </w:rPr>
              <w:t>Agreement, dated as of April 10, 2024, by and between, among</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5"/>
              </w:rPr>
              <w:t>others, APX Group, Inc., as borrower, Bank of America, N.A., as</w:t>
            </w:r>
          </w:p>
        </w:tc>
        <w:tc>
          <w:tcPr>
            <w:tcW w:w="0" w:type="dxa"/>
            <w:vAlign w:val="bottom"/>
          </w:tcPr>
          <w:p>
            <w:pPr>
              <w:spacing w:after="0"/>
              <w:rPr>
                <w:sz w:val="1"/>
                <w:szCs w:val="1"/>
                <w:color w:val="auto"/>
              </w:rPr>
            </w:pPr>
          </w:p>
        </w:tc>
      </w:tr>
      <w:tr>
        <w:trPr>
          <w:trHeight w:val="233"/>
        </w:trPr>
        <w:tc>
          <w:tcPr>
            <w:tcW w:w="6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w w:val="94"/>
              </w:rPr>
              <w:t>administrative agent and certain financial institutions, as lenders.</w:t>
            </w:r>
          </w:p>
        </w:tc>
        <w:tc>
          <w:tcPr>
            <w:tcW w:w="0" w:type="dxa"/>
            <w:vAlign w:val="bottom"/>
          </w:tcPr>
          <w:p>
            <w:pPr>
              <w:spacing w:after="0"/>
              <w:rPr>
                <w:sz w:val="1"/>
                <w:szCs w:val="1"/>
                <w:color w:val="auto"/>
              </w:rPr>
            </w:pPr>
          </w:p>
        </w:tc>
      </w:tr>
      <w:tr>
        <w:trPr>
          <w:trHeight w:val="211"/>
        </w:trPr>
        <w:tc>
          <w:tcPr>
            <w:tcW w:w="600" w:type="dxa"/>
            <w:vAlign w:val="bottom"/>
          </w:tcPr>
          <w:p>
            <w:pPr>
              <w:jc w:val="center"/>
              <w:ind w:right="31"/>
              <w:spacing w:after="0"/>
              <w:rPr>
                <w:sz w:val="20"/>
                <w:szCs w:val="20"/>
                <w:color w:val="auto"/>
              </w:rPr>
            </w:pPr>
            <w:r>
              <w:rPr>
                <w:rFonts w:ascii="Arial" w:cs="Arial" w:eastAsia="Arial" w:hAnsi="Arial"/>
                <w:sz w:val="18"/>
                <w:szCs w:val="18"/>
                <w:color w:val="auto"/>
                <w:w w:val="88"/>
              </w:rPr>
              <w:t>10.29</w:t>
            </w:r>
          </w:p>
        </w:tc>
        <w:tc>
          <w:tcPr>
            <w:tcW w:w="5000" w:type="dxa"/>
            <w:vAlign w:val="bottom"/>
          </w:tcPr>
          <w:p>
            <w:pPr>
              <w:ind w:left="100"/>
              <w:spacing w:after="0"/>
              <w:rPr>
                <w:sz w:val="20"/>
                <w:szCs w:val="20"/>
                <w:color w:val="auto"/>
              </w:rPr>
            </w:pPr>
            <w:r>
              <w:rPr>
                <w:rFonts w:ascii="Arial" w:cs="Arial" w:eastAsia="Arial" w:hAnsi="Arial"/>
                <w:sz w:val="18"/>
                <w:szCs w:val="18"/>
                <w:color w:val="auto"/>
              </w:rPr>
              <w:t>Sixth Amendment to Second Amended and Restated Credit</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6"/>
              </w:rPr>
              <w:t>Agreement, dated as of February 14, 2023, by and among NRG</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2"/>
              </w:rPr>
              <w:t>Energy, Inc., its subsidiaries party thereto, the lenders and issuing</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2"/>
              </w:rPr>
              <w:t>banks party thereto, Citicorp North America, Inc., as administrative</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7"/>
              </w:rPr>
              <w:t>agent and collateral agent, and Deutsche Bank Trust Company</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89"/>
              </w:rPr>
              <w:t>Americas, as collateral trustee, and included as Exhibit A-2 thereto a</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0"/>
              </w:rPr>
              <w:t>clean conformed copy of the Second Amended and Restated Credit</w:t>
            </w:r>
          </w:p>
        </w:tc>
        <w:tc>
          <w:tcPr>
            <w:tcW w:w="0" w:type="dxa"/>
            <w:vAlign w:val="bottom"/>
          </w:tcPr>
          <w:p>
            <w:pPr>
              <w:spacing w:after="0"/>
              <w:rPr>
                <w:sz w:val="1"/>
                <w:szCs w:val="1"/>
                <w:color w:val="auto"/>
              </w:rPr>
            </w:pPr>
          </w:p>
        </w:tc>
      </w:tr>
      <w:tr>
        <w:trPr>
          <w:trHeight w:val="233"/>
        </w:trPr>
        <w:tc>
          <w:tcPr>
            <w:tcW w:w="6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302"/>
        </w:trPr>
        <w:tc>
          <w:tcPr>
            <w:tcW w:w="600" w:type="dxa"/>
            <w:vAlign w:val="bottom"/>
          </w:tcPr>
          <w:p>
            <w:pPr>
              <w:jc w:val="center"/>
              <w:ind w:right="31"/>
              <w:spacing w:after="0"/>
              <w:rPr>
                <w:sz w:val="20"/>
                <w:szCs w:val="20"/>
                <w:color w:val="auto"/>
              </w:rPr>
            </w:pPr>
            <w:r>
              <w:rPr>
                <w:rFonts w:ascii="Arial" w:cs="Arial" w:eastAsia="Arial" w:hAnsi="Arial"/>
                <w:sz w:val="18"/>
                <w:szCs w:val="18"/>
                <w:color w:val="auto"/>
                <w:w w:val="88"/>
              </w:rPr>
              <w:t>10.30</w:t>
            </w:r>
          </w:p>
        </w:tc>
        <w:tc>
          <w:tcPr>
            <w:tcW w:w="5000" w:type="dxa"/>
            <w:vAlign w:val="bottom"/>
          </w:tcPr>
          <w:p>
            <w:pPr>
              <w:ind w:left="100"/>
              <w:spacing w:after="0"/>
              <w:rPr>
                <w:sz w:val="20"/>
                <w:szCs w:val="20"/>
                <w:color w:val="auto"/>
              </w:rPr>
            </w:pPr>
            <w:r>
              <w:rPr>
                <w:rFonts w:ascii="Arial" w:cs="Arial" w:eastAsia="Arial" w:hAnsi="Arial"/>
                <w:sz w:val="18"/>
                <w:szCs w:val="18"/>
                <w:color w:val="auto"/>
                <w:w w:val="97"/>
              </w:rPr>
              <w:t>Seventh Amendment to Second Amended and Restated Credit</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rPr>
              <w:t>Agreement, dated as of March 13, 2023, by and among NRG</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2"/>
              </w:rPr>
              <w:t>Energy, Inc., its subsidiaries party thereto, the lenders and issuing</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2"/>
              </w:rPr>
              <w:t>banks party thereto, Citicorp North America, Inc., as administrative</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7"/>
              </w:rPr>
              <w:t>agent and collateral agent, and Deutsche Bank Trust Company</w:t>
            </w:r>
          </w:p>
        </w:tc>
        <w:tc>
          <w:tcPr>
            <w:tcW w:w="0" w:type="dxa"/>
            <w:vAlign w:val="bottom"/>
          </w:tcPr>
          <w:p>
            <w:pPr>
              <w:spacing w:after="0"/>
              <w:rPr>
                <w:sz w:val="1"/>
                <w:szCs w:val="1"/>
                <w:color w:val="auto"/>
              </w:rPr>
            </w:pPr>
          </w:p>
        </w:tc>
      </w:tr>
      <w:tr>
        <w:trPr>
          <w:trHeight w:val="233"/>
        </w:trPr>
        <w:tc>
          <w:tcPr>
            <w:tcW w:w="6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Americas, as collateral trustee.</w:t>
            </w:r>
          </w:p>
        </w:tc>
        <w:tc>
          <w:tcPr>
            <w:tcW w:w="0" w:type="dxa"/>
            <w:vAlign w:val="bottom"/>
          </w:tcPr>
          <w:p>
            <w:pPr>
              <w:spacing w:after="0"/>
              <w:rPr>
                <w:sz w:val="1"/>
                <w:szCs w:val="1"/>
                <w:color w:val="auto"/>
              </w:rPr>
            </w:pPr>
          </w:p>
        </w:tc>
      </w:tr>
      <w:tr>
        <w:trPr>
          <w:trHeight w:val="257"/>
        </w:trPr>
        <w:tc>
          <w:tcPr>
            <w:tcW w:w="60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5000" w:type="dxa"/>
            <w:vAlign w:val="bottom"/>
          </w:tcPr>
          <w:p>
            <w:pPr>
              <w:ind w:left="100"/>
              <w:spacing w:after="0"/>
              <w:rPr>
                <w:sz w:val="20"/>
                <w:szCs w:val="20"/>
                <w:color w:val="auto"/>
              </w:rPr>
            </w:pPr>
            <w:r>
              <w:rPr>
                <w:rFonts w:ascii="Arial" w:cs="Arial" w:eastAsia="Arial" w:hAnsi="Arial"/>
                <w:sz w:val="18"/>
                <w:szCs w:val="18"/>
                <w:color w:val="auto"/>
              </w:rPr>
              <w:t>Eighth Amendment to Second Amended and Restated Credit</w:t>
            </w:r>
          </w:p>
        </w:tc>
        <w:tc>
          <w:tcPr>
            <w:tcW w:w="0" w:type="dxa"/>
            <w:vAlign w:val="bottom"/>
          </w:tcPr>
          <w:p>
            <w:pPr>
              <w:spacing w:after="0"/>
              <w:rPr>
                <w:sz w:val="1"/>
                <w:szCs w:val="1"/>
                <w:color w:val="auto"/>
              </w:rPr>
            </w:pPr>
          </w:p>
        </w:tc>
      </w:tr>
      <w:tr>
        <w:trPr>
          <w:trHeight w:val="165"/>
        </w:trPr>
        <w:tc>
          <w:tcPr>
            <w:tcW w:w="600" w:type="dxa"/>
            <w:vAlign w:val="bottom"/>
          </w:tcPr>
          <w:p>
            <w:pPr>
              <w:spacing w:after="0"/>
              <w:rPr>
                <w:sz w:val="14"/>
                <w:szCs w:val="14"/>
                <w:color w:val="auto"/>
              </w:rPr>
            </w:pPr>
          </w:p>
        </w:tc>
        <w:tc>
          <w:tcPr>
            <w:tcW w:w="5000" w:type="dxa"/>
            <w:vAlign w:val="bottom"/>
          </w:tcPr>
          <w:p>
            <w:pPr>
              <w:ind w:left="100"/>
              <w:spacing w:after="0" w:line="165" w:lineRule="exact"/>
              <w:rPr>
                <w:sz w:val="20"/>
                <w:szCs w:val="20"/>
                <w:color w:val="auto"/>
              </w:rPr>
            </w:pPr>
            <w:r>
              <w:rPr>
                <w:rFonts w:ascii="Arial" w:cs="Arial" w:eastAsia="Arial" w:hAnsi="Arial"/>
                <w:sz w:val="18"/>
                <w:szCs w:val="18"/>
                <w:color w:val="auto"/>
                <w:w w:val="90"/>
              </w:rPr>
              <w:t>Agreement, dated as of April 16, 2024, by and among NRG Energy,</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3"/>
              </w:rPr>
              <w:t>Inc., its subsidiaries party thereto, Citicorp North America, Inc., as</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4"/>
              </w:rPr>
              <w:t>administrative agent and as collateral agent, and certain financial</w:t>
            </w:r>
          </w:p>
        </w:tc>
        <w:tc>
          <w:tcPr>
            <w:tcW w:w="0" w:type="dxa"/>
            <w:vAlign w:val="bottom"/>
          </w:tcPr>
          <w:p>
            <w:pPr>
              <w:spacing w:after="0"/>
              <w:rPr>
                <w:sz w:val="1"/>
                <w:szCs w:val="1"/>
                <w:color w:val="auto"/>
              </w:rPr>
            </w:pPr>
          </w:p>
        </w:tc>
      </w:tr>
      <w:tr>
        <w:trPr>
          <w:trHeight w:val="233"/>
        </w:trPr>
        <w:tc>
          <w:tcPr>
            <w:tcW w:w="6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institutions, as lenders.</w:t>
            </w:r>
          </w:p>
        </w:tc>
        <w:tc>
          <w:tcPr>
            <w:tcW w:w="0" w:type="dxa"/>
            <w:vAlign w:val="bottom"/>
          </w:tcPr>
          <w:p>
            <w:pPr>
              <w:spacing w:after="0"/>
              <w:rPr>
                <w:sz w:val="1"/>
                <w:szCs w:val="1"/>
                <w:color w:val="auto"/>
              </w:rPr>
            </w:pPr>
          </w:p>
        </w:tc>
      </w:tr>
      <w:tr>
        <w:trPr>
          <w:trHeight w:val="265"/>
        </w:trPr>
        <w:tc>
          <w:tcPr>
            <w:tcW w:w="60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5000" w:type="dxa"/>
            <w:vAlign w:val="bottom"/>
            <w:vMerge w:val="restart"/>
          </w:tcPr>
          <w:p>
            <w:pPr>
              <w:ind w:left="100"/>
              <w:spacing w:after="0"/>
              <w:rPr>
                <w:sz w:val="20"/>
                <w:szCs w:val="20"/>
                <w:color w:val="auto"/>
              </w:rPr>
            </w:pPr>
            <w:r>
              <w:rPr>
                <w:rFonts w:ascii="Arial" w:cs="Arial" w:eastAsia="Arial" w:hAnsi="Arial"/>
                <w:sz w:val="18"/>
                <w:szCs w:val="18"/>
                <w:color w:val="auto"/>
              </w:rPr>
              <w:t>Ninth Amendment to Second Amended and Restated Credit</w:t>
            </w:r>
          </w:p>
        </w:tc>
        <w:tc>
          <w:tcPr>
            <w:tcW w:w="0" w:type="dxa"/>
            <w:vAlign w:val="bottom"/>
          </w:tcPr>
          <w:p>
            <w:pPr>
              <w:spacing w:after="0"/>
              <w:rPr>
                <w:sz w:val="1"/>
                <w:szCs w:val="1"/>
                <w:color w:val="auto"/>
              </w:rPr>
            </w:pPr>
          </w:p>
        </w:tc>
      </w:tr>
      <w:tr>
        <w:trPr>
          <w:trHeight w:val="51"/>
        </w:trPr>
        <w:tc>
          <w:tcPr>
            <w:tcW w:w="600" w:type="dxa"/>
            <w:vAlign w:val="bottom"/>
          </w:tcPr>
          <w:p>
            <w:pPr>
              <w:spacing w:after="0"/>
              <w:rPr>
                <w:sz w:val="4"/>
                <w:szCs w:val="4"/>
                <w:color w:val="auto"/>
              </w:rPr>
            </w:pPr>
          </w:p>
        </w:tc>
        <w:tc>
          <w:tcPr>
            <w:tcW w:w="5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0"/>
              </w:rPr>
              <w:t>Agreement, dated as of April 22, 2024, by and among NRG Energy,</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3"/>
              </w:rPr>
              <w:t>Inc., its subsidiaries party thereto, the consenting revolving lender</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5"/>
              </w:rPr>
              <w:t>party thereto, and Citicorp North America, Inc., as administrative</w:t>
            </w:r>
          </w:p>
        </w:tc>
        <w:tc>
          <w:tcPr>
            <w:tcW w:w="0" w:type="dxa"/>
            <w:vAlign w:val="bottom"/>
          </w:tcPr>
          <w:p>
            <w:pPr>
              <w:spacing w:after="0"/>
              <w:rPr>
                <w:sz w:val="1"/>
                <w:szCs w:val="1"/>
                <w:color w:val="auto"/>
              </w:rPr>
            </w:pPr>
          </w:p>
        </w:tc>
      </w:tr>
      <w:tr>
        <w:trPr>
          <w:trHeight w:val="233"/>
        </w:trPr>
        <w:tc>
          <w:tcPr>
            <w:tcW w:w="6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agent and collateral agent.</w:t>
            </w:r>
          </w:p>
        </w:tc>
        <w:tc>
          <w:tcPr>
            <w:tcW w:w="0" w:type="dxa"/>
            <w:vAlign w:val="bottom"/>
          </w:tcPr>
          <w:p>
            <w:pPr>
              <w:spacing w:after="0"/>
              <w:rPr>
                <w:sz w:val="1"/>
                <w:szCs w:val="1"/>
                <w:color w:val="auto"/>
              </w:rPr>
            </w:pPr>
          </w:p>
        </w:tc>
      </w:tr>
      <w:tr>
        <w:trPr>
          <w:trHeight w:val="265"/>
        </w:trPr>
        <w:tc>
          <w:tcPr>
            <w:tcW w:w="60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5000" w:type="dxa"/>
            <w:vAlign w:val="bottom"/>
            <w:vMerge w:val="restart"/>
          </w:tcPr>
          <w:p>
            <w:pPr>
              <w:ind w:left="100"/>
              <w:spacing w:after="0"/>
              <w:rPr>
                <w:sz w:val="20"/>
                <w:szCs w:val="20"/>
                <w:color w:val="auto"/>
              </w:rPr>
            </w:pPr>
            <w:r>
              <w:rPr>
                <w:rFonts w:ascii="Arial" w:cs="Arial" w:eastAsia="Arial" w:hAnsi="Arial"/>
                <w:sz w:val="18"/>
                <w:szCs w:val="18"/>
                <w:color w:val="auto"/>
              </w:rPr>
              <w:t>Tenth Amendment to Second Amended and Restated Credit</w:t>
            </w:r>
          </w:p>
        </w:tc>
        <w:tc>
          <w:tcPr>
            <w:tcW w:w="0" w:type="dxa"/>
            <w:vAlign w:val="bottom"/>
          </w:tcPr>
          <w:p>
            <w:pPr>
              <w:spacing w:after="0"/>
              <w:rPr>
                <w:sz w:val="1"/>
                <w:szCs w:val="1"/>
                <w:color w:val="auto"/>
              </w:rPr>
            </w:pPr>
          </w:p>
        </w:tc>
      </w:tr>
      <w:tr>
        <w:trPr>
          <w:trHeight w:val="36"/>
        </w:trPr>
        <w:tc>
          <w:tcPr>
            <w:tcW w:w="600" w:type="dxa"/>
            <w:vAlign w:val="bottom"/>
          </w:tcPr>
          <w:p>
            <w:pPr>
              <w:spacing w:after="0"/>
              <w:rPr>
                <w:sz w:val="3"/>
                <w:szCs w:val="3"/>
                <w:color w:val="auto"/>
              </w:rPr>
            </w:pPr>
          </w:p>
        </w:tc>
        <w:tc>
          <w:tcPr>
            <w:tcW w:w="5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7"/>
              </w:rPr>
              <w:t>Agreement, dated as of October 30, 2024, by and among NRG</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3"/>
              </w:rPr>
              <w:t>Energy, Inc., Citicorp North America, Inc., as administrative agent</w:t>
            </w:r>
          </w:p>
        </w:tc>
        <w:tc>
          <w:tcPr>
            <w:tcW w:w="0" w:type="dxa"/>
            <w:vAlign w:val="bottom"/>
          </w:tcPr>
          <w:p>
            <w:pPr>
              <w:spacing w:after="0"/>
              <w:rPr>
                <w:sz w:val="1"/>
                <w:szCs w:val="1"/>
                <w:color w:val="auto"/>
              </w:rPr>
            </w:pPr>
          </w:p>
        </w:tc>
      </w:tr>
      <w:tr>
        <w:trPr>
          <w:trHeight w:val="233"/>
        </w:trPr>
        <w:tc>
          <w:tcPr>
            <w:tcW w:w="6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w w:val="90"/>
              </w:rPr>
              <w:t>and as collateral agent, and certain financial institutions, as lenders.</w:t>
            </w:r>
          </w:p>
        </w:tc>
        <w:tc>
          <w:tcPr>
            <w:tcW w:w="0" w:type="dxa"/>
            <w:vAlign w:val="bottom"/>
          </w:tcPr>
          <w:p>
            <w:pPr>
              <w:spacing w:after="0"/>
              <w:rPr>
                <w:sz w:val="1"/>
                <w:szCs w:val="1"/>
                <w:color w:val="auto"/>
              </w:rPr>
            </w:pPr>
          </w:p>
        </w:tc>
      </w:tr>
      <w:tr>
        <w:trPr>
          <w:trHeight w:val="287"/>
        </w:trPr>
        <w:tc>
          <w:tcPr>
            <w:tcW w:w="60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5000" w:type="dxa"/>
            <w:vAlign w:val="bottom"/>
          </w:tcPr>
          <w:p>
            <w:pPr>
              <w:ind w:left="100"/>
              <w:spacing w:after="0"/>
              <w:rPr>
                <w:sz w:val="20"/>
                <w:szCs w:val="20"/>
                <w:color w:val="auto"/>
              </w:rPr>
            </w:pPr>
            <w:r>
              <w:rPr>
                <w:rFonts w:ascii="Arial" w:cs="Arial" w:eastAsia="Arial" w:hAnsi="Arial"/>
                <w:sz w:val="18"/>
                <w:szCs w:val="18"/>
                <w:color w:val="auto"/>
                <w:w w:val="96"/>
              </w:rPr>
              <w:t>Eleventh Amendment to Second Amended and Restated Credit</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7"/>
              </w:rPr>
              <w:t>Agreement, dated as of October 30, 2024, by and among NRG</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3"/>
              </w:rPr>
              <w:t>Energy, Inc., Citicorp North America, Inc., as administrative agent</w:t>
            </w:r>
          </w:p>
        </w:tc>
        <w:tc>
          <w:tcPr>
            <w:tcW w:w="0" w:type="dxa"/>
            <w:vAlign w:val="bottom"/>
          </w:tcPr>
          <w:p>
            <w:pPr>
              <w:spacing w:after="0"/>
              <w:rPr>
                <w:sz w:val="1"/>
                <w:szCs w:val="1"/>
                <w:color w:val="auto"/>
              </w:rPr>
            </w:pPr>
          </w:p>
        </w:tc>
      </w:tr>
      <w:tr>
        <w:trPr>
          <w:trHeight w:val="233"/>
        </w:trPr>
        <w:tc>
          <w:tcPr>
            <w:tcW w:w="6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w w:val="90"/>
              </w:rPr>
              <w:t>and as collateral agent, and certain financial institutions, as lenders.</w:t>
            </w:r>
          </w:p>
        </w:tc>
        <w:tc>
          <w:tcPr>
            <w:tcW w:w="0" w:type="dxa"/>
            <w:vAlign w:val="bottom"/>
          </w:tcPr>
          <w:p>
            <w:pPr>
              <w:spacing w:after="0"/>
              <w:rPr>
                <w:sz w:val="1"/>
                <w:szCs w:val="1"/>
                <w:color w:val="auto"/>
              </w:rPr>
            </w:pPr>
          </w:p>
        </w:tc>
      </w:tr>
      <w:tr>
        <w:trPr>
          <w:trHeight w:val="242"/>
        </w:trPr>
        <w:tc>
          <w:tcPr>
            <w:tcW w:w="60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5000" w:type="dxa"/>
            <w:vAlign w:val="bottom"/>
          </w:tcPr>
          <w:p>
            <w:pPr>
              <w:ind w:left="100"/>
              <w:spacing w:after="0"/>
              <w:rPr>
                <w:sz w:val="20"/>
                <w:szCs w:val="20"/>
                <w:color w:val="auto"/>
              </w:rPr>
            </w:pPr>
            <w:r>
              <w:rPr>
                <w:rFonts w:ascii="Arial" w:cs="Arial" w:eastAsia="Arial" w:hAnsi="Arial"/>
                <w:sz w:val="18"/>
                <w:szCs w:val="18"/>
                <w:color w:val="auto"/>
                <w:w w:val="97"/>
              </w:rPr>
              <w:t>Thirteen Amendment to Second Amended and Restated Credit</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3"/>
              </w:rPr>
              <w:t>Agreement, dated as of December 20, 2024, by and among NRG</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rPr>
              <w:t>Energy, Inc., AXP Group and Citicorp North America, Inc., as</w:t>
            </w:r>
          </w:p>
        </w:tc>
        <w:tc>
          <w:tcPr>
            <w:tcW w:w="0" w:type="dxa"/>
            <w:vAlign w:val="bottom"/>
          </w:tcPr>
          <w:p>
            <w:pPr>
              <w:spacing w:after="0"/>
              <w:rPr>
                <w:sz w:val="1"/>
                <w:szCs w:val="1"/>
                <w:color w:val="auto"/>
              </w:rPr>
            </w:pPr>
          </w:p>
        </w:tc>
      </w:tr>
      <w:tr>
        <w:trPr>
          <w:trHeight w:val="233"/>
        </w:trPr>
        <w:tc>
          <w:tcPr>
            <w:tcW w:w="6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administrative agent.</w:t>
            </w:r>
          </w:p>
        </w:tc>
        <w:tc>
          <w:tcPr>
            <w:tcW w:w="0" w:type="dxa"/>
            <w:vAlign w:val="bottom"/>
          </w:tcPr>
          <w:p>
            <w:pPr>
              <w:spacing w:after="0"/>
              <w:rPr>
                <w:sz w:val="1"/>
                <w:szCs w:val="1"/>
                <w:color w:val="auto"/>
              </w:rPr>
            </w:pPr>
          </w:p>
        </w:tc>
      </w:tr>
      <w:tr>
        <w:trPr>
          <w:trHeight w:val="211"/>
        </w:trPr>
        <w:tc>
          <w:tcPr>
            <w:tcW w:w="600" w:type="dxa"/>
            <w:vAlign w:val="bottom"/>
          </w:tcPr>
          <w:p>
            <w:pPr>
              <w:jc w:val="center"/>
              <w:ind w:right="31"/>
              <w:spacing w:after="0"/>
              <w:rPr>
                <w:sz w:val="20"/>
                <w:szCs w:val="20"/>
                <w:color w:val="auto"/>
              </w:rPr>
            </w:pPr>
            <w:r>
              <w:rPr>
                <w:rFonts w:ascii="Arial" w:cs="Arial" w:eastAsia="Arial" w:hAnsi="Arial"/>
                <w:sz w:val="18"/>
                <w:szCs w:val="18"/>
                <w:color w:val="auto"/>
                <w:w w:val="88"/>
              </w:rPr>
              <w:t>10.36</w:t>
            </w:r>
          </w:p>
        </w:tc>
        <w:tc>
          <w:tcPr>
            <w:tcW w:w="5000" w:type="dxa"/>
            <w:vAlign w:val="bottom"/>
          </w:tcPr>
          <w:p>
            <w:pPr>
              <w:ind w:left="100"/>
              <w:spacing w:after="0"/>
              <w:rPr>
                <w:sz w:val="20"/>
                <w:szCs w:val="20"/>
                <w:color w:val="auto"/>
              </w:rPr>
            </w:pPr>
            <w:r>
              <w:rPr>
                <w:rFonts w:ascii="Arial" w:cs="Arial" w:eastAsia="Arial" w:hAnsi="Arial"/>
                <w:sz w:val="18"/>
                <w:szCs w:val="18"/>
                <w:color w:val="auto"/>
                <w:w w:val="96"/>
              </w:rPr>
              <w:t>Receivables Sale Agreement, dated as of September 22, 2020,</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0"/>
              </w:rPr>
              <w:t>among the Originators from time to time parties thereto, NRG Retail</w:t>
            </w:r>
          </w:p>
        </w:tc>
        <w:tc>
          <w:tcPr>
            <w:tcW w:w="0" w:type="dxa"/>
            <w:vAlign w:val="bottom"/>
          </w:tcPr>
          <w:p>
            <w:pPr>
              <w:spacing w:after="0"/>
              <w:rPr>
                <w:sz w:val="1"/>
                <w:szCs w:val="1"/>
                <w:color w:val="auto"/>
              </w:rPr>
            </w:pPr>
          </w:p>
        </w:tc>
      </w:tr>
      <w:tr>
        <w:trPr>
          <w:trHeight w:val="233"/>
        </w:trPr>
        <w:tc>
          <w:tcPr>
            <w:tcW w:w="6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LLC, as Servicer, and NRG Receivables LLC.</w:t>
            </w:r>
          </w:p>
        </w:tc>
        <w:tc>
          <w:tcPr>
            <w:tcW w:w="0" w:type="dxa"/>
            <w:vAlign w:val="bottom"/>
          </w:tcPr>
          <w:p>
            <w:pPr>
              <w:spacing w:after="0"/>
              <w:rPr>
                <w:sz w:val="1"/>
                <w:szCs w:val="1"/>
                <w:color w:val="auto"/>
              </w:rPr>
            </w:pPr>
          </w:p>
        </w:tc>
      </w:tr>
      <w:tr>
        <w:trPr>
          <w:trHeight w:val="317"/>
        </w:trPr>
        <w:tc>
          <w:tcPr>
            <w:tcW w:w="600" w:type="dxa"/>
            <w:vAlign w:val="bottom"/>
          </w:tcPr>
          <w:p>
            <w:pPr>
              <w:jc w:val="center"/>
              <w:ind w:right="31"/>
              <w:spacing w:after="0"/>
              <w:rPr>
                <w:sz w:val="20"/>
                <w:szCs w:val="20"/>
                <w:color w:val="auto"/>
              </w:rPr>
            </w:pPr>
            <w:r>
              <w:rPr>
                <w:rFonts w:ascii="Arial" w:cs="Arial" w:eastAsia="Arial" w:hAnsi="Arial"/>
                <w:sz w:val="18"/>
                <w:szCs w:val="18"/>
                <w:color w:val="auto"/>
                <w:w w:val="88"/>
              </w:rPr>
              <w:t>10.37</w:t>
            </w:r>
          </w:p>
        </w:tc>
        <w:tc>
          <w:tcPr>
            <w:tcW w:w="5000" w:type="dxa"/>
            <w:vAlign w:val="bottom"/>
          </w:tcPr>
          <w:p>
            <w:pPr>
              <w:ind w:left="100"/>
              <w:spacing w:after="0"/>
              <w:rPr>
                <w:sz w:val="20"/>
                <w:szCs w:val="20"/>
                <w:color w:val="auto"/>
              </w:rPr>
            </w:pPr>
            <w:r>
              <w:rPr>
                <w:rFonts w:ascii="Arial" w:cs="Arial" w:eastAsia="Arial" w:hAnsi="Arial"/>
                <w:sz w:val="18"/>
                <w:szCs w:val="18"/>
                <w:color w:val="auto"/>
                <w:w w:val="92"/>
              </w:rPr>
              <w:t>Amendment No. 3 to Receivables Loan and Servicing Agreement,</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5"/>
              </w:rPr>
              <w:t>dated as of June 22, 2023, among NRG Retail LLC, as Servicer,</w:t>
            </w:r>
          </w:p>
        </w:tc>
        <w:tc>
          <w:tcPr>
            <w:tcW w:w="0" w:type="dxa"/>
            <w:vAlign w:val="bottom"/>
          </w:tcPr>
          <w:p>
            <w:pPr>
              <w:spacing w:after="0"/>
              <w:rPr>
                <w:sz w:val="1"/>
                <w:szCs w:val="1"/>
                <w:color w:val="auto"/>
              </w:rPr>
            </w:pPr>
          </w:p>
        </w:tc>
      </w:tr>
      <w:tr>
        <w:trPr>
          <w:trHeight w:val="198"/>
        </w:trPr>
        <w:tc>
          <w:tcPr>
            <w:tcW w:w="600" w:type="dxa"/>
            <w:vAlign w:val="bottom"/>
          </w:tcPr>
          <w:p>
            <w:pPr>
              <w:spacing w:after="0"/>
              <w:rPr>
                <w:sz w:val="17"/>
                <w:szCs w:val="17"/>
                <w:color w:val="auto"/>
              </w:rPr>
            </w:pPr>
          </w:p>
        </w:tc>
        <w:tc>
          <w:tcPr>
            <w:tcW w:w="5000" w:type="dxa"/>
            <w:vAlign w:val="bottom"/>
          </w:tcPr>
          <w:p>
            <w:pPr>
              <w:ind w:left="100"/>
              <w:spacing w:after="0" w:line="198" w:lineRule="exact"/>
              <w:rPr>
                <w:sz w:val="20"/>
                <w:szCs w:val="20"/>
                <w:color w:val="auto"/>
              </w:rPr>
            </w:pPr>
            <w:r>
              <w:rPr>
                <w:rFonts w:ascii="Arial" w:cs="Arial" w:eastAsia="Arial" w:hAnsi="Arial"/>
                <w:sz w:val="18"/>
                <w:szCs w:val="18"/>
                <w:color w:val="auto"/>
              </w:rPr>
              <w:t>NRG Receivables LLC, as Borrower, NRG Energy, Inc., as</w:t>
            </w:r>
          </w:p>
        </w:tc>
        <w:tc>
          <w:tcPr>
            <w:tcW w:w="0" w:type="dxa"/>
            <w:vAlign w:val="bottom"/>
          </w:tcPr>
          <w:p>
            <w:pPr>
              <w:spacing w:after="0"/>
              <w:rPr>
                <w:sz w:val="1"/>
                <w:szCs w:val="1"/>
                <w:color w:val="auto"/>
              </w:rPr>
            </w:pPr>
          </w:p>
        </w:tc>
      </w:tr>
    </w:tbl>
    <w:p>
      <w:pPr>
        <w:ind w:left="700" w:right="120"/>
        <w:spacing w:after="0" w:line="214" w:lineRule="auto"/>
        <w:rPr>
          <w:sz w:val="20"/>
          <w:szCs w:val="20"/>
          <w:color w:val="auto"/>
        </w:rPr>
      </w:pPr>
      <w:r>
        <w:rPr>
          <w:rFonts w:ascii="Arial" w:cs="Arial" w:eastAsia="Arial" w:hAnsi="Arial"/>
          <w:sz w:val="18"/>
          <w:szCs w:val="18"/>
          <w:color w:val="auto"/>
        </w:rPr>
        <w:t>Performance Guarantor, the Conduit Lenders, Committed Lenders, Facility Agents and LC Issuers party thereto, and Royal Bank of Canada, as administrative Agent, and included as Exhibit A-2 thereto a clean, conformed copy of the Receivables Loan and Servicing Agreement.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Incorporated herein by reference to Exhibit 10.1 to the Registrant's current report on Form 8-K filed on August 1, 2024.</w:t>
      </w:r>
    </w:p>
    <w:p>
      <w:pPr>
        <w:spacing w:after="0" w:line="51"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Incorporated herein by reference to Exhibit 10.2 to Vivint Smart Home, Inc.'s Current Report on Form 8-K filed on July 12, 2021.</w:t>
      </w:r>
    </w:p>
    <w:p>
      <w:pPr>
        <w:spacing w:after="0" w:line="200" w:lineRule="exact"/>
        <w:rPr>
          <w:sz w:val="20"/>
          <w:szCs w:val="20"/>
          <w:color w:val="auto"/>
        </w:rPr>
      </w:pPr>
    </w:p>
    <w:p>
      <w:pPr>
        <w:spacing w:after="0" w:line="208"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Incorporated herein by reference to Exhibit 4.1 to the Registrant's quarterly report on Form 10-Q filed on August 8, 2023.</w:t>
      </w:r>
    </w:p>
    <w:p>
      <w:pPr>
        <w:spacing w:after="0" w:line="289"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Incorporated herein by reference to Exhibit 10.3 to the Registrant's quarterly report on Form 10-Q filed on May 7, 2024.</w:t>
      </w:r>
    </w:p>
    <w:p>
      <w:pPr>
        <w:spacing w:after="0" w:line="289"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Incorporated herein by reference to Exhibit 10.1 to the Registrant's current report on Form 8-K filed on February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Incorporated herein by reference to Exhibit 4.2 to the Registrant's quarterly report on Form 10-Q filed on May 4, 2023.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Incorporated herein by reference to Exhibit 10.1 to the Registrant's current report on Form 8-K filed on April 17, 2024.</w:t>
      </w:r>
    </w:p>
    <w:p>
      <w:pPr>
        <w:spacing w:after="0" w:line="378"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Incorporated herein by reference to Exhibit 10.2 to the Registrant's quarterly report on Form 10-Q filed on May 7, 2024.</w:t>
      </w:r>
    </w:p>
    <w:p>
      <w:pPr>
        <w:spacing w:after="0" w:line="200" w:lineRule="exact"/>
        <w:rPr>
          <w:sz w:val="20"/>
          <w:szCs w:val="20"/>
          <w:color w:val="auto"/>
        </w:rPr>
      </w:pPr>
    </w:p>
    <w:p>
      <w:pPr>
        <w:spacing w:after="0" w:line="29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Incorporated herein by reference to Exhibit 10.1 to the Registrant's current report on Form 8-K filed on November 1, 2024.</w:t>
      </w:r>
    </w:p>
    <w:p>
      <w:pPr>
        <w:spacing w:after="0" w:line="30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Incorporated herein by reference to Exhibit 10.2 to the Registrant's current report on Form 8-K filed on November 1, 2024.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Incorporated herein by reference to Exhibit 10.1 to the Registrant’s Current Report on Form 8-K filed on September 22, 2020.</w:t>
      </w:r>
    </w:p>
    <w:p>
      <w:pPr>
        <w:spacing w:after="0" w:line="14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Incorporated herein by reference to Exhibit 10.1 to the Registrant's current report on Form 8-K filed on June 27, 2023.</w:t>
      </w:r>
    </w:p>
    <w:p>
      <w:pPr>
        <w:spacing w:after="0" w:line="1090" w:lineRule="exact"/>
        <w:rPr>
          <w:sz w:val="20"/>
          <w:szCs w:val="20"/>
          <w:color w:val="auto"/>
        </w:rPr>
      </w:pPr>
    </w:p>
    <w:p>
      <w:pPr>
        <w:sectPr>
          <w:pgSz w:w="11880" w:h="15480" w:orient="portrait"/>
          <w:cols w:equalWidth="0" w:num="2">
            <w:col w:w="5600" w:space="240"/>
            <w:col w:w="3880"/>
          </w:cols>
          <w:pgMar w:left="1000" w:top="56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167</w:t>
      </w:r>
    </w:p>
    <w:p>
      <w:pPr>
        <w:sectPr>
          <w:pgSz w:w="11880" w:h="15480" w:orient="portrait"/>
          <w:cols w:equalWidth="0" w:num="1">
            <w:col w:w="9720"/>
          </w:cols>
          <w:pgMar w:left="1000" w:top="564" w:right="1160" w:bottom="0" w:gutter="0" w:footer="0" w:header="0"/>
          <w:type w:val="continuous"/>
        </w:sectPr>
      </w:pPr>
    </w:p>
    <w:bookmarkStart w:id="169" w:name="page170"/>
    <w:bookmarkEnd w:id="169"/>
    <w:tbl>
      <w:tblPr>
        <w:tblLayout w:type="fixed"/>
        <w:tblInd w:w="0" w:type="dxa"/>
        <w:tblCellMar>
          <w:top w:w="0" w:type="dxa"/>
          <w:left w:w="0" w:type="dxa"/>
          <w:bottom w:w="0" w:type="dxa"/>
          <w:right w:w="0" w:type="dxa"/>
        </w:tblCellMar>
      </w:tblPr>
      <w:tr>
        <w:trPr>
          <w:trHeight w:val="207"/>
        </w:trPr>
        <w:tc>
          <w:tcPr>
            <w:tcW w:w="800" w:type="dxa"/>
            <w:vAlign w:val="bottom"/>
          </w:tcPr>
          <w:p>
            <w:pPr>
              <w:jc w:val="right"/>
              <w:ind w:right="51"/>
              <w:spacing w:after="0"/>
              <w:rPr>
                <w:sz w:val="20"/>
                <w:szCs w:val="20"/>
                <w:color w:val="auto"/>
              </w:rPr>
            </w:pPr>
            <w:r>
              <w:rPr>
                <w:rFonts w:ascii="Arial" w:cs="Arial" w:eastAsia="Arial" w:hAnsi="Arial"/>
                <w:sz w:val="18"/>
                <w:szCs w:val="18"/>
                <w:color w:val="auto"/>
              </w:rPr>
              <w:t>10.38</w:t>
            </w:r>
          </w:p>
        </w:tc>
        <w:tc>
          <w:tcPr>
            <w:tcW w:w="5000" w:type="dxa"/>
            <w:vAlign w:val="bottom"/>
          </w:tcPr>
          <w:p>
            <w:pPr>
              <w:ind w:left="100"/>
              <w:spacing w:after="0"/>
              <w:rPr>
                <w:sz w:val="20"/>
                <w:szCs w:val="20"/>
                <w:color w:val="auto"/>
              </w:rPr>
            </w:pPr>
            <w:r>
              <w:rPr>
                <w:rFonts w:ascii="Arial" w:cs="Arial" w:eastAsia="Arial" w:hAnsi="Arial"/>
                <w:sz w:val="18"/>
                <w:szCs w:val="18"/>
                <w:color w:val="auto"/>
                <w:w w:val="92"/>
              </w:rPr>
              <w:t>Amendment No. 4 to Receivables Loan and Servicing Agreement,</w:t>
            </w:r>
          </w:p>
        </w:tc>
      </w:tr>
      <w:tr>
        <w:trPr>
          <w:trHeight w:val="178"/>
        </w:trPr>
        <w:tc>
          <w:tcPr>
            <w:tcW w:w="8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5"/>
              </w:rPr>
              <w:t>dated as of June 21, 2024, among NRG Retail LLC, as Servicer,</w:t>
            </w:r>
          </w:p>
        </w:tc>
      </w:tr>
      <w:tr>
        <w:trPr>
          <w:trHeight w:val="178"/>
        </w:trPr>
        <w:tc>
          <w:tcPr>
            <w:tcW w:w="8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rPr>
              <w:t>NRG Receivables LLC, as Borrower, NRG Energy, Inc., as</w:t>
            </w:r>
          </w:p>
        </w:tc>
      </w:tr>
      <w:tr>
        <w:trPr>
          <w:trHeight w:val="178"/>
        </w:trPr>
        <w:tc>
          <w:tcPr>
            <w:tcW w:w="8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1"/>
              </w:rPr>
              <w:t>Performance Guarantor, the Conduit Lenders, Committed Lenders,</w:t>
            </w:r>
          </w:p>
        </w:tc>
      </w:tr>
      <w:tr>
        <w:trPr>
          <w:trHeight w:val="178"/>
        </w:trPr>
        <w:tc>
          <w:tcPr>
            <w:tcW w:w="8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6"/>
              </w:rPr>
              <w:t>Facility Agents and LC Issuers party thereto, and Royal Bank of</w:t>
            </w:r>
          </w:p>
        </w:tc>
      </w:tr>
      <w:tr>
        <w:trPr>
          <w:trHeight w:val="178"/>
        </w:trPr>
        <w:tc>
          <w:tcPr>
            <w:tcW w:w="8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9"/>
              </w:rPr>
              <w:t>Canada, as administrative Agent, and included as Exhibit A-2</w:t>
            </w:r>
          </w:p>
        </w:tc>
      </w:tr>
      <w:tr>
        <w:trPr>
          <w:trHeight w:val="178"/>
        </w:trPr>
        <w:tc>
          <w:tcPr>
            <w:tcW w:w="8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9"/>
              </w:rPr>
              <w:t>thereto a clean, conformed copy of the Receivables Loan and</w:t>
            </w:r>
          </w:p>
        </w:tc>
      </w:tr>
      <w:tr>
        <w:trPr>
          <w:trHeight w:val="233"/>
        </w:trPr>
        <w:tc>
          <w:tcPr>
            <w:tcW w:w="8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Servicing Agreement.</w:t>
            </w:r>
          </w:p>
        </w:tc>
      </w:tr>
      <w:tr>
        <w:trPr>
          <w:trHeight w:val="228"/>
        </w:trPr>
        <w:tc>
          <w:tcPr>
            <w:tcW w:w="800" w:type="dxa"/>
            <w:vAlign w:val="bottom"/>
          </w:tcPr>
          <w:p>
            <w:pPr>
              <w:jc w:val="right"/>
              <w:ind w:right="51"/>
              <w:spacing w:after="0"/>
              <w:rPr>
                <w:sz w:val="20"/>
                <w:szCs w:val="20"/>
                <w:color w:val="auto"/>
              </w:rPr>
            </w:pPr>
            <w:r>
              <w:rPr>
                <w:rFonts w:ascii="Arial" w:cs="Arial" w:eastAsia="Arial" w:hAnsi="Arial"/>
                <w:sz w:val="18"/>
                <w:szCs w:val="18"/>
                <w:color w:val="auto"/>
              </w:rPr>
              <w:t>10.39</w:t>
            </w:r>
          </w:p>
        </w:tc>
        <w:tc>
          <w:tcPr>
            <w:tcW w:w="5000" w:type="dxa"/>
            <w:vAlign w:val="bottom"/>
          </w:tcPr>
          <w:p>
            <w:pPr>
              <w:ind w:left="100"/>
              <w:spacing w:after="0"/>
              <w:rPr>
                <w:sz w:val="20"/>
                <w:szCs w:val="20"/>
                <w:color w:val="auto"/>
              </w:rPr>
            </w:pPr>
            <w:r>
              <w:rPr>
                <w:rFonts w:ascii="Arial" w:cs="Arial" w:eastAsia="Arial" w:hAnsi="Arial"/>
                <w:sz w:val="18"/>
                <w:szCs w:val="18"/>
                <w:color w:val="auto"/>
                <w:w w:val="95"/>
              </w:rPr>
              <w:t>Joinder Agreement, dated as of June 21, 2024, by Direct Energy</w:t>
            </w:r>
          </w:p>
        </w:tc>
      </w:tr>
      <w:tr>
        <w:trPr>
          <w:trHeight w:val="178"/>
        </w:trPr>
        <w:tc>
          <w:tcPr>
            <w:tcW w:w="8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0"/>
              </w:rPr>
              <w:t>Services, LLC, as an additional originator and consented to by NRG</w:t>
            </w:r>
          </w:p>
        </w:tc>
      </w:tr>
      <w:tr>
        <w:trPr>
          <w:trHeight w:val="178"/>
        </w:trPr>
        <w:tc>
          <w:tcPr>
            <w:tcW w:w="8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3"/>
              </w:rPr>
              <w:t>Receivables LLC, as Borrower, NRG Retail LLC, as Servicer, and</w:t>
            </w:r>
          </w:p>
        </w:tc>
      </w:tr>
      <w:tr>
        <w:trPr>
          <w:trHeight w:val="178"/>
        </w:trPr>
        <w:tc>
          <w:tcPr>
            <w:tcW w:w="8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1"/>
              </w:rPr>
              <w:t>Royal Bank of Canada, as administrative agent, to the Receivables</w:t>
            </w:r>
          </w:p>
        </w:tc>
      </w:tr>
      <w:tr>
        <w:trPr>
          <w:trHeight w:val="178"/>
        </w:trPr>
        <w:tc>
          <w:tcPr>
            <w:tcW w:w="8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9"/>
              </w:rPr>
              <w:t>Sale Agreement, dated as of September 22, 2020, among the</w:t>
            </w:r>
          </w:p>
        </w:tc>
      </w:tr>
      <w:tr>
        <w:trPr>
          <w:trHeight w:val="178"/>
        </w:trPr>
        <w:tc>
          <w:tcPr>
            <w:tcW w:w="8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4"/>
              </w:rPr>
              <w:t>Originators from time to time parties thereto, NRG Retail LLC, as</w:t>
            </w:r>
          </w:p>
        </w:tc>
      </w:tr>
      <w:tr>
        <w:trPr>
          <w:trHeight w:val="233"/>
        </w:trPr>
        <w:tc>
          <w:tcPr>
            <w:tcW w:w="8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Servicer, and NRG Receivables LLC.</w:t>
            </w:r>
          </w:p>
        </w:tc>
      </w:tr>
      <w:tr>
        <w:trPr>
          <w:trHeight w:val="228"/>
        </w:trPr>
        <w:tc>
          <w:tcPr>
            <w:tcW w:w="800" w:type="dxa"/>
            <w:vAlign w:val="bottom"/>
          </w:tcPr>
          <w:p>
            <w:pPr>
              <w:jc w:val="right"/>
              <w:ind w:right="71"/>
              <w:spacing w:after="0"/>
              <w:rPr>
                <w:sz w:val="20"/>
                <w:szCs w:val="20"/>
                <w:color w:val="auto"/>
              </w:rPr>
            </w:pPr>
            <w:r>
              <w:rPr>
                <w:rFonts w:ascii="Arial" w:cs="Arial" w:eastAsia="Arial" w:hAnsi="Arial"/>
                <w:sz w:val="18"/>
                <w:szCs w:val="18"/>
                <w:color w:val="auto"/>
              </w:rPr>
              <w:t>10.40</w:t>
            </w:r>
          </w:p>
        </w:tc>
        <w:tc>
          <w:tcPr>
            <w:tcW w:w="5000" w:type="dxa"/>
            <w:vAlign w:val="bottom"/>
          </w:tcPr>
          <w:p>
            <w:pPr>
              <w:ind w:left="100"/>
              <w:spacing w:after="0"/>
              <w:rPr>
                <w:sz w:val="20"/>
                <w:szCs w:val="20"/>
                <w:color w:val="auto"/>
              </w:rPr>
            </w:pPr>
            <w:r>
              <w:rPr>
                <w:rFonts w:ascii="Arial" w:cs="Arial" w:eastAsia="Arial" w:hAnsi="Arial"/>
                <w:sz w:val="18"/>
                <w:szCs w:val="18"/>
                <w:color w:val="auto"/>
                <w:w w:val="94"/>
              </w:rPr>
              <w:t>Facility Agreement, dated August 29, 2023, among NRG Energy,</w:t>
            </w:r>
          </w:p>
        </w:tc>
      </w:tr>
      <w:tr>
        <w:trPr>
          <w:trHeight w:val="178"/>
        </w:trPr>
        <w:tc>
          <w:tcPr>
            <w:tcW w:w="8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4"/>
              </w:rPr>
              <w:t>Inc., the guarantors party thereto, Alexander Funding Trust II and</w:t>
            </w:r>
          </w:p>
        </w:tc>
      </w:tr>
      <w:tr>
        <w:trPr>
          <w:trHeight w:val="233"/>
        </w:trPr>
        <w:tc>
          <w:tcPr>
            <w:tcW w:w="8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w w:val="97"/>
              </w:rPr>
              <w:t>Deutsche Bank Trust Company Americas, as the notes trustee</w:t>
            </w:r>
          </w:p>
        </w:tc>
      </w:tr>
      <w:tr>
        <w:trPr>
          <w:trHeight w:val="317"/>
        </w:trPr>
        <w:tc>
          <w:tcPr>
            <w:tcW w:w="800" w:type="dxa"/>
            <w:vAlign w:val="bottom"/>
          </w:tcPr>
          <w:p>
            <w:pPr>
              <w:jc w:val="right"/>
              <w:ind w:right="71"/>
              <w:spacing w:after="0"/>
              <w:rPr>
                <w:sz w:val="20"/>
                <w:szCs w:val="20"/>
                <w:color w:val="auto"/>
              </w:rPr>
            </w:pPr>
            <w:r>
              <w:rPr>
                <w:rFonts w:ascii="Arial" w:cs="Arial" w:eastAsia="Arial" w:hAnsi="Arial"/>
                <w:sz w:val="18"/>
                <w:szCs w:val="18"/>
                <w:color w:val="auto"/>
              </w:rPr>
              <w:t>10.41</w:t>
            </w:r>
          </w:p>
        </w:tc>
        <w:tc>
          <w:tcPr>
            <w:tcW w:w="5000" w:type="dxa"/>
            <w:vAlign w:val="bottom"/>
          </w:tcPr>
          <w:p>
            <w:pPr>
              <w:ind w:left="100"/>
              <w:spacing w:after="0"/>
              <w:rPr>
                <w:sz w:val="20"/>
                <w:szCs w:val="20"/>
                <w:color w:val="auto"/>
              </w:rPr>
            </w:pPr>
            <w:r>
              <w:rPr>
                <w:rFonts w:ascii="Arial" w:cs="Arial" w:eastAsia="Arial" w:hAnsi="Arial"/>
                <w:sz w:val="18"/>
                <w:szCs w:val="18"/>
                <w:color w:val="auto"/>
                <w:w w:val="92"/>
              </w:rPr>
              <w:t>Letter of Credit Facility Agreement, dated August 29, 2023, among</w:t>
            </w:r>
          </w:p>
        </w:tc>
      </w:tr>
      <w:tr>
        <w:trPr>
          <w:trHeight w:val="178"/>
        </w:trPr>
        <w:tc>
          <w:tcPr>
            <w:tcW w:w="8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3"/>
              </w:rPr>
              <w:t>NRG Energy, Inc., the financial institutions from time to time party</w:t>
            </w:r>
          </w:p>
        </w:tc>
      </w:tr>
      <w:tr>
        <w:trPr>
          <w:trHeight w:val="178"/>
        </w:trPr>
        <w:tc>
          <w:tcPr>
            <w:tcW w:w="8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rPr>
              <w:t>thereto as letter of credit issuers, and Deutsche Bank Trust</w:t>
            </w:r>
          </w:p>
        </w:tc>
      </w:tr>
      <w:tr>
        <w:trPr>
          <w:trHeight w:val="233"/>
        </w:trPr>
        <w:tc>
          <w:tcPr>
            <w:tcW w:w="8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w w:val="90"/>
              </w:rPr>
              <w:t>Company Americas, as administrative agent and as collateral agent</w:t>
            </w:r>
          </w:p>
        </w:tc>
      </w:tr>
      <w:tr>
        <w:trPr>
          <w:trHeight w:val="302"/>
        </w:trPr>
        <w:tc>
          <w:tcPr>
            <w:tcW w:w="800" w:type="dxa"/>
            <w:vAlign w:val="bottom"/>
          </w:tcPr>
          <w:p>
            <w:pPr>
              <w:jc w:val="right"/>
              <w:ind w:right="71"/>
              <w:spacing w:after="0"/>
              <w:rPr>
                <w:sz w:val="20"/>
                <w:szCs w:val="20"/>
                <w:color w:val="auto"/>
              </w:rPr>
            </w:pPr>
            <w:r>
              <w:rPr>
                <w:rFonts w:ascii="Arial" w:cs="Arial" w:eastAsia="Arial" w:hAnsi="Arial"/>
                <w:sz w:val="18"/>
                <w:szCs w:val="18"/>
                <w:color w:val="auto"/>
              </w:rPr>
              <w:t>10.42</w:t>
            </w:r>
          </w:p>
        </w:tc>
        <w:tc>
          <w:tcPr>
            <w:tcW w:w="5000" w:type="dxa"/>
            <w:vAlign w:val="bottom"/>
          </w:tcPr>
          <w:p>
            <w:pPr>
              <w:ind w:left="100"/>
              <w:spacing w:after="0"/>
              <w:rPr>
                <w:sz w:val="20"/>
                <w:szCs w:val="20"/>
                <w:color w:val="auto"/>
              </w:rPr>
            </w:pPr>
            <w:r>
              <w:rPr>
                <w:rFonts w:ascii="Arial" w:cs="Arial" w:eastAsia="Arial" w:hAnsi="Arial"/>
                <w:sz w:val="18"/>
                <w:szCs w:val="18"/>
                <w:color w:val="auto"/>
                <w:w w:val="92"/>
              </w:rPr>
              <w:t>Amended and Restated Declaration of Trust of Alexander Funding</w:t>
            </w:r>
          </w:p>
        </w:tc>
      </w:tr>
      <w:tr>
        <w:trPr>
          <w:trHeight w:val="178"/>
        </w:trPr>
        <w:tc>
          <w:tcPr>
            <w:tcW w:w="8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rPr>
              <w:t>Trust II, dated August 29, 2023, among NRG Energy, Inc. as</w:t>
            </w:r>
          </w:p>
        </w:tc>
      </w:tr>
      <w:tr>
        <w:trPr>
          <w:trHeight w:val="178"/>
        </w:trPr>
        <w:tc>
          <w:tcPr>
            <w:tcW w:w="8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3"/>
              </w:rPr>
              <w:t>depositor and in its own capacity, Deutsche Bank Trust Company</w:t>
            </w:r>
          </w:p>
        </w:tc>
      </w:tr>
      <w:tr>
        <w:trPr>
          <w:trHeight w:val="178"/>
        </w:trPr>
        <w:tc>
          <w:tcPr>
            <w:tcW w:w="8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89"/>
              </w:rPr>
              <w:t>Americas, as trustee, and Deutsche Bank Trust Company Delaware,</w:t>
            </w:r>
          </w:p>
        </w:tc>
      </w:tr>
      <w:tr>
        <w:trPr>
          <w:trHeight w:val="233"/>
        </w:trPr>
        <w:tc>
          <w:tcPr>
            <w:tcW w:w="8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as Delaware trustee</w:t>
            </w:r>
          </w:p>
        </w:tc>
      </w:tr>
      <w:tr>
        <w:trPr>
          <w:trHeight w:val="219"/>
        </w:trPr>
        <w:tc>
          <w:tcPr>
            <w:tcW w:w="800" w:type="dxa"/>
            <w:vAlign w:val="bottom"/>
          </w:tcPr>
          <w:p>
            <w:pPr>
              <w:jc w:val="right"/>
              <w:ind w:right="71"/>
              <w:spacing w:after="0"/>
              <w:rPr>
                <w:sz w:val="20"/>
                <w:szCs w:val="20"/>
                <w:color w:val="auto"/>
              </w:rPr>
            </w:pPr>
            <w:r>
              <w:rPr>
                <w:rFonts w:ascii="Arial" w:cs="Arial" w:eastAsia="Arial" w:hAnsi="Arial"/>
                <w:sz w:val="18"/>
                <w:szCs w:val="18"/>
                <w:color w:val="auto"/>
              </w:rPr>
              <w:t>10.43</w:t>
            </w:r>
          </w:p>
        </w:tc>
        <w:tc>
          <w:tcPr>
            <w:tcW w:w="5000" w:type="dxa"/>
            <w:vAlign w:val="bottom"/>
          </w:tcPr>
          <w:p>
            <w:pPr>
              <w:ind w:left="100"/>
              <w:spacing w:after="0"/>
              <w:rPr>
                <w:sz w:val="20"/>
                <w:szCs w:val="20"/>
                <w:color w:val="auto"/>
              </w:rPr>
            </w:pPr>
            <w:r>
              <w:rPr>
                <w:rFonts w:ascii="Arial" w:cs="Arial" w:eastAsia="Arial" w:hAnsi="Arial"/>
                <w:sz w:val="18"/>
                <w:szCs w:val="18"/>
                <w:color w:val="auto"/>
                <w:w w:val="94"/>
              </w:rPr>
              <w:t>Cooperation Agreement, dated as of November 20, 2023, by and</w:t>
            </w:r>
          </w:p>
        </w:tc>
      </w:tr>
      <w:tr>
        <w:trPr>
          <w:trHeight w:val="159"/>
        </w:trPr>
        <w:tc>
          <w:tcPr>
            <w:tcW w:w="800" w:type="dxa"/>
            <w:vAlign w:val="bottom"/>
          </w:tcPr>
          <w:p>
            <w:pPr>
              <w:spacing w:after="0"/>
              <w:rPr>
                <w:sz w:val="13"/>
                <w:szCs w:val="13"/>
                <w:color w:val="auto"/>
              </w:rPr>
            </w:pPr>
          </w:p>
        </w:tc>
        <w:tc>
          <w:tcPr>
            <w:tcW w:w="5000" w:type="dxa"/>
            <w:vAlign w:val="bottom"/>
          </w:tcPr>
          <w:p>
            <w:pPr>
              <w:ind w:left="100"/>
              <w:spacing w:after="0" w:line="159" w:lineRule="exact"/>
              <w:rPr>
                <w:sz w:val="20"/>
                <w:szCs w:val="20"/>
                <w:color w:val="auto"/>
              </w:rPr>
            </w:pPr>
            <w:r>
              <w:rPr>
                <w:rFonts w:ascii="Arial" w:cs="Arial" w:eastAsia="Arial" w:hAnsi="Arial"/>
                <w:sz w:val="18"/>
                <w:szCs w:val="18"/>
                <w:color w:val="auto"/>
                <w:w w:val="97"/>
              </w:rPr>
              <w:t>among NRG Energy, Inc., Elliott Investment Management L.P.,</w:t>
            </w:r>
          </w:p>
        </w:tc>
      </w:tr>
      <w:tr>
        <w:trPr>
          <w:trHeight w:val="233"/>
        </w:trPr>
        <w:tc>
          <w:tcPr>
            <w:tcW w:w="8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Elliott Associates, L.P., and Elliott International, L.P.</w:t>
            </w:r>
          </w:p>
        </w:tc>
      </w:tr>
      <w:tr>
        <w:trPr>
          <w:trHeight w:val="211"/>
        </w:trPr>
        <w:tc>
          <w:tcPr>
            <w:tcW w:w="800" w:type="dxa"/>
            <w:vAlign w:val="bottom"/>
          </w:tcPr>
          <w:p>
            <w:pPr>
              <w:jc w:val="right"/>
              <w:ind w:right="11"/>
              <w:spacing w:after="0"/>
              <w:rPr>
                <w:sz w:val="20"/>
                <w:szCs w:val="20"/>
                <w:color w:val="auto"/>
              </w:rPr>
            </w:pPr>
            <w:r>
              <w:rPr>
                <w:rFonts w:ascii="Arial" w:cs="Arial" w:eastAsia="Arial" w:hAnsi="Arial"/>
                <w:sz w:val="18"/>
                <w:szCs w:val="18"/>
                <w:color w:val="auto"/>
              </w:rPr>
              <w:t>10.44†</w:t>
            </w:r>
          </w:p>
        </w:tc>
        <w:tc>
          <w:tcPr>
            <w:tcW w:w="5000" w:type="dxa"/>
            <w:vAlign w:val="bottom"/>
          </w:tcPr>
          <w:p>
            <w:pPr>
              <w:ind w:left="100"/>
              <w:spacing w:after="0"/>
              <w:rPr>
                <w:sz w:val="20"/>
                <w:szCs w:val="20"/>
                <w:color w:val="auto"/>
              </w:rPr>
            </w:pPr>
            <w:r>
              <w:rPr>
                <w:rFonts w:ascii="Arial" w:cs="Arial" w:eastAsia="Arial" w:hAnsi="Arial"/>
                <w:sz w:val="18"/>
                <w:szCs w:val="18"/>
                <w:color w:val="auto"/>
                <w:w w:val="88"/>
              </w:rPr>
              <w:t>Consent and Indemnity Agreement, dated as of February 6, 2018, by</w:t>
            </w:r>
          </w:p>
        </w:tc>
      </w:tr>
      <w:tr>
        <w:trPr>
          <w:trHeight w:val="178"/>
        </w:trPr>
        <w:tc>
          <w:tcPr>
            <w:tcW w:w="8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6"/>
              </w:rPr>
              <w:t>and among NRG Energy, Inc., NRG Repowering Holdings LLC,</w:t>
            </w:r>
          </w:p>
        </w:tc>
      </w:tr>
      <w:tr>
        <w:trPr>
          <w:trHeight w:val="178"/>
        </w:trPr>
        <w:tc>
          <w:tcPr>
            <w:tcW w:w="8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2"/>
              </w:rPr>
              <w:t>NRG Yield, Inc., and GIP III Zephyr Acquisition Partners, L.P., and</w:t>
            </w:r>
          </w:p>
        </w:tc>
      </w:tr>
      <w:tr>
        <w:trPr>
          <w:trHeight w:val="178"/>
        </w:trPr>
        <w:tc>
          <w:tcPr>
            <w:tcW w:w="800" w:type="dxa"/>
            <w:vAlign w:val="bottom"/>
          </w:tcPr>
          <w:p>
            <w:pPr>
              <w:spacing w:after="0"/>
              <w:rPr>
                <w:sz w:val="15"/>
                <w:szCs w:val="15"/>
                <w:color w:val="auto"/>
              </w:rPr>
            </w:pPr>
          </w:p>
        </w:tc>
        <w:tc>
          <w:tcPr>
            <w:tcW w:w="5000" w:type="dxa"/>
            <w:vAlign w:val="bottom"/>
          </w:tcPr>
          <w:p>
            <w:pPr>
              <w:ind w:left="100"/>
              <w:spacing w:after="0" w:line="178" w:lineRule="exact"/>
              <w:rPr>
                <w:sz w:val="20"/>
                <w:szCs w:val="20"/>
                <w:color w:val="auto"/>
              </w:rPr>
            </w:pPr>
            <w:r>
              <w:rPr>
                <w:rFonts w:ascii="Arial" w:cs="Arial" w:eastAsia="Arial" w:hAnsi="Arial"/>
                <w:sz w:val="18"/>
                <w:szCs w:val="18"/>
                <w:color w:val="auto"/>
                <w:w w:val="92"/>
              </w:rPr>
              <w:t>NRG Yield Operating LLC (solely with respect to Sections E.5, E.6</w:t>
            </w:r>
          </w:p>
        </w:tc>
      </w:tr>
      <w:tr>
        <w:trPr>
          <w:trHeight w:val="233"/>
        </w:trPr>
        <w:tc>
          <w:tcPr>
            <w:tcW w:w="8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and G.12).</w:t>
            </w:r>
          </w:p>
        </w:tc>
      </w:tr>
      <w:tr>
        <w:trPr>
          <w:trHeight w:val="282"/>
        </w:trPr>
        <w:tc>
          <w:tcPr>
            <w:tcW w:w="800" w:type="dxa"/>
            <w:vAlign w:val="bottom"/>
          </w:tcPr>
          <w:p>
            <w:pPr>
              <w:jc w:val="right"/>
              <w:ind w:right="71"/>
              <w:spacing w:after="0"/>
              <w:rPr>
                <w:sz w:val="20"/>
                <w:szCs w:val="20"/>
                <w:color w:val="auto"/>
              </w:rPr>
            </w:pPr>
            <w:r>
              <w:rPr>
                <w:rFonts w:ascii="Arial" w:cs="Arial" w:eastAsia="Arial" w:hAnsi="Arial"/>
                <w:sz w:val="18"/>
                <w:szCs w:val="18"/>
                <w:color w:val="auto"/>
              </w:rPr>
              <w:t>19.1</w:t>
            </w:r>
          </w:p>
        </w:tc>
        <w:tc>
          <w:tcPr>
            <w:tcW w:w="5000" w:type="dxa"/>
            <w:vAlign w:val="bottom"/>
          </w:tcPr>
          <w:p>
            <w:pPr>
              <w:ind w:left="100"/>
              <w:spacing w:after="0"/>
              <w:rPr>
                <w:sz w:val="20"/>
                <w:szCs w:val="20"/>
                <w:color w:val="auto"/>
              </w:rPr>
            </w:pPr>
            <w:r>
              <w:rPr>
                <w:rFonts w:ascii="Arial" w:cs="Arial" w:eastAsia="Arial" w:hAnsi="Arial"/>
                <w:sz w:val="18"/>
                <w:szCs w:val="18"/>
                <w:color w:val="auto"/>
              </w:rPr>
              <w:t>Insider Trading Policy</w:t>
            </w:r>
          </w:p>
        </w:tc>
      </w:tr>
      <w:tr>
        <w:trPr>
          <w:trHeight w:val="282"/>
        </w:trPr>
        <w:tc>
          <w:tcPr>
            <w:tcW w:w="800" w:type="dxa"/>
            <w:vAlign w:val="bottom"/>
          </w:tcPr>
          <w:p>
            <w:pPr>
              <w:jc w:val="right"/>
              <w:ind w:right="71"/>
              <w:spacing w:after="0"/>
              <w:rPr>
                <w:sz w:val="20"/>
                <w:szCs w:val="20"/>
                <w:color w:val="auto"/>
              </w:rPr>
            </w:pPr>
            <w:r>
              <w:rPr>
                <w:rFonts w:ascii="Arial" w:cs="Arial" w:eastAsia="Arial" w:hAnsi="Arial"/>
                <w:sz w:val="18"/>
                <w:szCs w:val="18"/>
                <w:color w:val="auto"/>
              </w:rPr>
              <w:t>21.1</w:t>
            </w:r>
          </w:p>
        </w:tc>
        <w:tc>
          <w:tcPr>
            <w:tcW w:w="5000" w:type="dxa"/>
            <w:vAlign w:val="bottom"/>
          </w:tcPr>
          <w:p>
            <w:pPr>
              <w:ind w:left="100"/>
              <w:spacing w:after="0"/>
              <w:rPr>
                <w:sz w:val="20"/>
                <w:szCs w:val="20"/>
                <w:color w:val="auto"/>
              </w:rPr>
            </w:pPr>
            <w:r>
              <w:rPr>
                <w:rFonts w:ascii="Arial" w:cs="Arial" w:eastAsia="Arial" w:hAnsi="Arial"/>
                <w:sz w:val="18"/>
                <w:szCs w:val="18"/>
                <w:color w:val="auto"/>
              </w:rPr>
              <w:t>Subsidiaries of NRG Energy, Inc.</w:t>
            </w:r>
          </w:p>
        </w:tc>
      </w:tr>
      <w:tr>
        <w:trPr>
          <w:trHeight w:val="282"/>
        </w:trPr>
        <w:tc>
          <w:tcPr>
            <w:tcW w:w="800" w:type="dxa"/>
            <w:vAlign w:val="bottom"/>
          </w:tcPr>
          <w:p>
            <w:pPr>
              <w:jc w:val="right"/>
              <w:ind w:right="51"/>
              <w:spacing w:after="0"/>
              <w:rPr>
                <w:sz w:val="20"/>
                <w:szCs w:val="20"/>
                <w:color w:val="auto"/>
              </w:rPr>
            </w:pPr>
            <w:r>
              <w:rPr>
                <w:rFonts w:ascii="Arial" w:cs="Arial" w:eastAsia="Arial" w:hAnsi="Arial"/>
                <w:sz w:val="18"/>
                <w:szCs w:val="18"/>
                <w:color w:val="auto"/>
              </w:rPr>
              <w:t>22.1</w:t>
            </w:r>
          </w:p>
        </w:tc>
        <w:tc>
          <w:tcPr>
            <w:tcW w:w="5000" w:type="dxa"/>
            <w:vAlign w:val="bottom"/>
          </w:tcPr>
          <w:p>
            <w:pPr>
              <w:ind w:left="100"/>
              <w:spacing w:after="0"/>
              <w:rPr>
                <w:sz w:val="20"/>
                <w:szCs w:val="20"/>
                <w:color w:val="auto"/>
              </w:rPr>
            </w:pPr>
            <w:r>
              <w:rPr>
                <w:rFonts w:ascii="Arial" w:cs="Arial" w:eastAsia="Arial" w:hAnsi="Arial"/>
                <w:sz w:val="18"/>
                <w:szCs w:val="18"/>
                <w:color w:val="auto"/>
              </w:rPr>
              <w:t>List of Guarantor Subsidiaries</w:t>
            </w:r>
          </w:p>
        </w:tc>
      </w:tr>
      <w:tr>
        <w:trPr>
          <w:trHeight w:val="282"/>
        </w:trPr>
        <w:tc>
          <w:tcPr>
            <w:tcW w:w="800" w:type="dxa"/>
            <w:vAlign w:val="bottom"/>
          </w:tcPr>
          <w:p>
            <w:pPr>
              <w:jc w:val="right"/>
              <w:ind w:right="51"/>
              <w:spacing w:after="0"/>
              <w:rPr>
                <w:sz w:val="20"/>
                <w:szCs w:val="20"/>
                <w:color w:val="auto"/>
              </w:rPr>
            </w:pPr>
            <w:r>
              <w:rPr>
                <w:rFonts w:ascii="Arial" w:cs="Arial" w:eastAsia="Arial" w:hAnsi="Arial"/>
                <w:sz w:val="18"/>
                <w:szCs w:val="18"/>
                <w:color w:val="auto"/>
              </w:rPr>
              <w:t>23.1</w:t>
            </w:r>
          </w:p>
        </w:tc>
        <w:tc>
          <w:tcPr>
            <w:tcW w:w="5000" w:type="dxa"/>
            <w:vAlign w:val="bottom"/>
          </w:tcPr>
          <w:p>
            <w:pPr>
              <w:ind w:left="100"/>
              <w:spacing w:after="0"/>
              <w:rPr>
                <w:sz w:val="20"/>
                <w:szCs w:val="20"/>
                <w:color w:val="auto"/>
              </w:rPr>
            </w:pPr>
            <w:r>
              <w:rPr>
                <w:rFonts w:ascii="Arial" w:cs="Arial" w:eastAsia="Arial" w:hAnsi="Arial"/>
                <w:sz w:val="18"/>
                <w:szCs w:val="18"/>
                <w:color w:val="auto"/>
              </w:rPr>
              <w:t>Consent of KPMG LLP.</w:t>
            </w:r>
          </w:p>
        </w:tc>
      </w:tr>
      <w:tr>
        <w:trPr>
          <w:trHeight w:val="282"/>
        </w:trPr>
        <w:tc>
          <w:tcPr>
            <w:tcW w:w="800" w:type="dxa"/>
            <w:vAlign w:val="bottom"/>
          </w:tcPr>
          <w:p>
            <w:pPr>
              <w:jc w:val="right"/>
              <w:ind w:right="51"/>
              <w:spacing w:after="0"/>
              <w:rPr>
                <w:sz w:val="20"/>
                <w:szCs w:val="20"/>
                <w:color w:val="auto"/>
              </w:rPr>
            </w:pPr>
            <w:r>
              <w:rPr>
                <w:rFonts w:ascii="Arial" w:cs="Arial" w:eastAsia="Arial" w:hAnsi="Arial"/>
                <w:sz w:val="18"/>
                <w:szCs w:val="18"/>
                <w:color w:val="auto"/>
              </w:rPr>
              <w:t>24.1</w:t>
            </w:r>
          </w:p>
        </w:tc>
        <w:tc>
          <w:tcPr>
            <w:tcW w:w="5000" w:type="dxa"/>
            <w:vAlign w:val="bottom"/>
          </w:tcPr>
          <w:p>
            <w:pPr>
              <w:ind w:left="100"/>
              <w:spacing w:after="0"/>
              <w:rPr>
                <w:sz w:val="20"/>
                <w:szCs w:val="20"/>
                <w:color w:val="auto"/>
              </w:rPr>
            </w:pPr>
            <w:r>
              <w:rPr>
                <w:rFonts w:ascii="Arial" w:cs="Arial" w:eastAsia="Arial" w:hAnsi="Arial"/>
                <w:sz w:val="18"/>
                <w:szCs w:val="18"/>
                <w:color w:val="auto"/>
              </w:rPr>
              <w:t>Power of Attorney</w:t>
            </w:r>
          </w:p>
        </w:tc>
      </w:tr>
      <w:tr>
        <w:trPr>
          <w:trHeight w:val="282"/>
        </w:trPr>
        <w:tc>
          <w:tcPr>
            <w:tcW w:w="800" w:type="dxa"/>
            <w:vAlign w:val="bottom"/>
          </w:tcPr>
          <w:p>
            <w:pPr>
              <w:jc w:val="right"/>
              <w:ind w:right="51"/>
              <w:spacing w:after="0"/>
              <w:rPr>
                <w:sz w:val="20"/>
                <w:szCs w:val="20"/>
                <w:color w:val="auto"/>
              </w:rPr>
            </w:pPr>
            <w:r>
              <w:rPr>
                <w:rFonts w:ascii="Arial" w:cs="Arial" w:eastAsia="Arial" w:hAnsi="Arial"/>
                <w:sz w:val="18"/>
                <w:szCs w:val="18"/>
                <w:color w:val="auto"/>
              </w:rPr>
              <w:t>31.1</w:t>
            </w:r>
          </w:p>
        </w:tc>
        <w:tc>
          <w:tcPr>
            <w:tcW w:w="5000" w:type="dxa"/>
            <w:vAlign w:val="bottom"/>
          </w:tcPr>
          <w:p>
            <w:pPr>
              <w:ind w:left="100"/>
              <w:spacing w:after="0"/>
              <w:rPr>
                <w:sz w:val="20"/>
                <w:szCs w:val="20"/>
                <w:color w:val="auto"/>
              </w:rPr>
            </w:pPr>
            <w:r>
              <w:rPr>
                <w:rFonts w:ascii="Arial" w:cs="Arial" w:eastAsia="Arial" w:hAnsi="Arial"/>
                <w:sz w:val="18"/>
                <w:szCs w:val="18"/>
                <w:color w:val="auto"/>
              </w:rPr>
              <w:t>Rule 13a-14(a)/15d-14(a) certification of Lawrence Coben</w:t>
            </w:r>
          </w:p>
        </w:tc>
      </w:tr>
      <w:tr>
        <w:trPr>
          <w:trHeight w:val="282"/>
        </w:trPr>
        <w:tc>
          <w:tcPr>
            <w:tcW w:w="800" w:type="dxa"/>
            <w:vAlign w:val="bottom"/>
          </w:tcPr>
          <w:p>
            <w:pPr>
              <w:jc w:val="right"/>
              <w:ind w:right="51"/>
              <w:spacing w:after="0"/>
              <w:rPr>
                <w:sz w:val="20"/>
                <w:szCs w:val="20"/>
                <w:color w:val="auto"/>
              </w:rPr>
            </w:pPr>
            <w:r>
              <w:rPr>
                <w:rFonts w:ascii="Arial" w:cs="Arial" w:eastAsia="Arial" w:hAnsi="Arial"/>
                <w:sz w:val="18"/>
                <w:szCs w:val="18"/>
                <w:color w:val="auto"/>
              </w:rPr>
              <w:t>31.2</w:t>
            </w:r>
          </w:p>
        </w:tc>
        <w:tc>
          <w:tcPr>
            <w:tcW w:w="5000" w:type="dxa"/>
            <w:vAlign w:val="bottom"/>
          </w:tcPr>
          <w:p>
            <w:pPr>
              <w:ind w:left="100"/>
              <w:spacing w:after="0"/>
              <w:rPr>
                <w:sz w:val="20"/>
                <w:szCs w:val="20"/>
                <w:color w:val="auto"/>
              </w:rPr>
            </w:pPr>
            <w:r>
              <w:rPr>
                <w:rFonts w:ascii="Arial" w:cs="Arial" w:eastAsia="Arial" w:hAnsi="Arial"/>
                <w:sz w:val="18"/>
                <w:szCs w:val="18"/>
                <w:color w:val="auto"/>
              </w:rPr>
              <w:t>Rule 13a-14(a)/15d-14(a) certification of Woo-Sung Chung</w:t>
            </w:r>
          </w:p>
        </w:tc>
      </w:tr>
      <w:tr>
        <w:trPr>
          <w:trHeight w:val="282"/>
        </w:trPr>
        <w:tc>
          <w:tcPr>
            <w:tcW w:w="800" w:type="dxa"/>
            <w:vAlign w:val="bottom"/>
          </w:tcPr>
          <w:p>
            <w:pPr>
              <w:jc w:val="right"/>
              <w:ind w:right="51"/>
              <w:spacing w:after="0"/>
              <w:rPr>
                <w:sz w:val="20"/>
                <w:szCs w:val="20"/>
                <w:color w:val="auto"/>
              </w:rPr>
            </w:pPr>
            <w:r>
              <w:rPr>
                <w:rFonts w:ascii="Arial" w:cs="Arial" w:eastAsia="Arial" w:hAnsi="Arial"/>
                <w:sz w:val="18"/>
                <w:szCs w:val="18"/>
                <w:color w:val="auto"/>
              </w:rPr>
              <w:t>31.3</w:t>
            </w:r>
          </w:p>
        </w:tc>
        <w:tc>
          <w:tcPr>
            <w:tcW w:w="5000" w:type="dxa"/>
            <w:vAlign w:val="bottom"/>
          </w:tcPr>
          <w:p>
            <w:pPr>
              <w:ind w:left="100"/>
              <w:spacing w:after="0"/>
              <w:rPr>
                <w:sz w:val="20"/>
                <w:szCs w:val="20"/>
                <w:color w:val="auto"/>
              </w:rPr>
            </w:pPr>
            <w:r>
              <w:rPr>
                <w:rFonts w:ascii="Arial" w:cs="Arial" w:eastAsia="Arial" w:hAnsi="Arial"/>
                <w:sz w:val="18"/>
                <w:szCs w:val="18"/>
                <w:color w:val="auto"/>
              </w:rPr>
              <w:t>Rule 13a-14(a)/15d-14(a) certification of G. Alfred Spencer</w:t>
            </w:r>
          </w:p>
        </w:tc>
      </w:tr>
      <w:tr>
        <w:trPr>
          <w:trHeight w:val="282"/>
        </w:trPr>
        <w:tc>
          <w:tcPr>
            <w:tcW w:w="800" w:type="dxa"/>
            <w:vAlign w:val="bottom"/>
          </w:tcPr>
          <w:p>
            <w:pPr>
              <w:jc w:val="right"/>
              <w:ind w:right="51"/>
              <w:spacing w:after="0"/>
              <w:rPr>
                <w:sz w:val="20"/>
                <w:szCs w:val="20"/>
                <w:color w:val="auto"/>
              </w:rPr>
            </w:pPr>
            <w:r>
              <w:rPr>
                <w:rFonts w:ascii="Arial" w:cs="Arial" w:eastAsia="Arial" w:hAnsi="Arial"/>
                <w:sz w:val="18"/>
                <w:szCs w:val="18"/>
                <w:color w:val="auto"/>
              </w:rPr>
              <w:t>32</w:t>
            </w:r>
          </w:p>
        </w:tc>
        <w:tc>
          <w:tcPr>
            <w:tcW w:w="5000" w:type="dxa"/>
            <w:vAlign w:val="bottom"/>
          </w:tcPr>
          <w:p>
            <w:pPr>
              <w:ind w:left="100"/>
              <w:spacing w:after="0"/>
              <w:rPr>
                <w:sz w:val="20"/>
                <w:szCs w:val="20"/>
                <w:color w:val="auto"/>
              </w:rPr>
            </w:pPr>
            <w:r>
              <w:rPr>
                <w:rFonts w:ascii="Arial" w:cs="Arial" w:eastAsia="Arial" w:hAnsi="Arial"/>
                <w:sz w:val="18"/>
                <w:szCs w:val="18"/>
                <w:color w:val="auto"/>
              </w:rPr>
              <w:t>Section 1350 Certification.</w:t>
            </w:r>
          </w:p>
        </w:tc>
      </w:tr>
      <w:tr>
        <w:trPr>
          <w:trHeight w:val="282"/>
        </w:trPr>
        <w:tc>
          <w:tcPr>
            <w:tcW w:w="800" w:type="dxa"/>
            <w:vAlign w:val="bottom"/>
          </w:tcPr>
          <w:p>
            <w:pPr>
              <w:jc w:val="right"/>
              <w:ind w:right="51"/>
              <w:spacing w:after="0"/>
              <w:rPr>
                <w:sz w:val="20"/>
                <w:szCs w:val="20"/>
                <w:color w:val="auto"/>
              </w:rPr>
            </w:pPr>
            <w:r>
              <w:rPr>
                <w:rFonts w:ascii="Arial" w:cs="Arial" w:eastAsia="Arial" w:hAnsi="Arial"/>
                <w:sz w:val="18"/>
                <w:szCs w:val="18"/>
                <w:color w:val="auto"/>
              </w:rPr>
              <w:t>97</w:t>
            </w:r>
          </w:p>
        </w:tc>
        <w:tc>
          <w:tcPr>
            <w:tcW w:w="5000" w:type="dxa"/>
            <w:vAlign w:val="bottom"/>
          </w:tcPr>
          <w:p>
            <w:pPr>
              <w:ind w:left="100"/>
              <w:spacing w:after="0"/>
              <w:rPr>
                <w:sz w:val="20"/>
                <w:szCs w:val="20"/>
                <w:color w:val="auto"/>
              </w:rPr>
            </w:pPr>
            <w:r>
              <w:rPr>
                <w:rFonts w:ascii="Arial" w:cs="Arial" w:eastAsia="Arial" w:hAnsi="Arial"/>
                <w:sz w:val="18"/>
                <w:szCs w:val="18"/>
                <w:color w:val="auto"/>
              </w:rPr>
              <w:t>NRG Energy, Inc. Clawback Policy</w:t>
            </w:r>
          </w:p>
        </w:tc>
      </w:tr>
      <w:tr>
        <w:trPr>
          <w:trHeight w:val="609"/>
        </w:trPr>
        <w:tc>
          <w:tcPr>
            <w:tcW w:w="800" w:type="dxa"/>
            <w:vAlign w:val="bottom"/>
          </w:tcPr>
          <w:p>
            <w:pPr>
              <w:jc w:val="right"/>
              <w:ind w:right="51"/>
              <w:spacing w:after="0"/>
              <w:rPr>
                <w:sz w:val="20"/>
                <w:szCs w:val="20"/>
                <w:color w:val="auto"/>
              </w:rPr>
            </w:pPr>
            <w:r>
              <w:rPr>
                <w:rFonts w:ascii="Arial" w:cs="Arial" w:eastAsia="Arial" w:hAnsi="Arial"/>
                <w:sz w:val="18"/>
                <w:szCs w:val="18"/>
                <w:color w:val="auto"/>
                <w:w w:val="98"/>
              </w:rPr>
              <w:t>101 INS</w:t>
            </w:r>
          </w:p>
        </w:tc>
        <w:tc>
          <w:tcPr>
            <w:tcW w:w="5000" w:type="dxa"/>
            <w:vAlign w:val="bottom"/>
          </w:tcPr>
          <w:p>
            <w:pPr>
              <w:ind w:left="100"/>
              <w:spacing w:after="0"/>
              <w:rPr>
                <w:sz w:val="20"/>
                <w:szCs w:val="20"/>
                <w:color w:val="auto"/>
              </w:rPr>
            </w:pPr>
            <w:r>
              <w:rPr>
                <w:rFonts w:ascii="Arial" w:cs="Arial" w:eastAsia="Arial" w:hAnsi="Arial"/>
                <w:sz w:val="18"/>
                <w:szCs w:val="18"/>
                <w:color w:val="auto"/>
              </w:rPr>
              <w:t>Inline XBRL Instance Document.</w:t>
            </w:r>
          </w:p>
        </w:tc>
      </w:tr>
      <w:tr>
        <w:trPr>
          <w:trHeight w:val="653"/>
        </w:trPr>
        <w:tc>
          <w:tcPr>
            <w:tcW w:w="800" w:type="dxa"/>
            <w:vAlign w:val="bottom"/>
          </w:tcPr>
          <w:p>
            <w:pPr>
              <w:jc w:val="right"/>
              <w:ind w:right="51"/>
              <w:spacing w:after="0"/>
              <w:rPr>
                <w:sz w:val="20"/>
                <w:szCs w:val="20"/>
                <w:color w:val="auto"/>
              </w:rPr>
            </w:pPr>
            <w:r>
              <w:rPr>
                <w:rFonts w:ascii="Arial" w:cs="Arial" w:eastAsia="Arial" w:hAnsi="Arial"/>
                <w:sz w:val="18"/>
                <w:szCs w:val="18"/>
                <w:color w:val="auto"/>
                <w:w w:val="87"/>
              </w:rPr>
              <w:t>101 SCH</w:t>
            </w:r>
          </w:p>
        </w:tc>
        <w:tc>
          <w:tcPr>
            <w:tcW w:w="5000" w:type="dxa"/>
            <w:vAlign w:val="bottom"/>
          </w:tcPr>
          <w:p>
            <w:pPr>
              <w:ind w:left="100"/>
              <w:spacing w:after="0"/>
              <w:rPr>
                <w:sz w:val="20"/>
                <w:szCs w:val="20"/>
                <w:color w:val="auto"/>
              </w:rPr>
            </w:pPr>
            <w:r>
              <w:rPr>
                <w:rFonts w:ascii="Arial" w:cs="Arial" w:eastAsia="Arial" w:hAnsi="Arial"/>
                <w:sz w:val="18"/>
                <w:szCs w:val="18"/>
                <w:color w:val="auto"/>
              </w:rPr>
              <w:t>Inline XBRL Taxonomy Extension Schema.</w:t>
            </w:r>
          </w:p>
        </w:tc>
      </w:tr>
      <w:tr>
        <w:trPr>
          <w:trHeight w:val="282"/>
        </w:trPr>
        <w:tc>
          <w:tcPr>
            <w:tcW w:w="800" w:type="dxa"/>
            <w:vAlign w:val="bottom"/>
          </w:tcPr>
          <w:p>
            <w:pPr>
              <w:jc w:val="right"/>
              <w:ind w:right="51"/>
              <w:spacing w:after="0"/>
              <w:rPr>
                <w:sz w:val="20"/>
                <w:szCs w:val="20"/>
                <w:color w:val="auto"/>
              </w:rPr>
            </w:pPr>
            <w:r>
              <w:rPr>
                <w:rFonts w:ascii="Arial" w:cs="Arial" w:eastAsia="Arial" w:hAnsi="Arial"/>
                <w:sz w:val="18"/>
                <w:szCs w:val="18"/>
                <w:color w:val="auto"/>
                <w:w w:val="91"/>
              </w:rPr>
              <w:t>101 CAL</w:t>
            </w:r>
          </w:p>
        </w:tc>
        <w:tc>
          <w:tcPr>
            <w:tcW w:w="5000" w:type="dxa"/>
            <w:vAlign w:val="bottom"/>
          </w:tcPr>
          <w:p>
            <w:pPr>
              <w:ind w:left="100"/>
              <w:spacing w:after="0"/>
              <w:rPr>
                <w:sz w:val="20"/>
                <w:szCs w:val="20"/>
                <w:color w:val="auto"/>
              </w:rPr>
            </w:pPr>
            <w:r>
              <w:rPr>
                <w:rFonts w:ascii="Arial" w:cs="Arial" w:eastAsia="Arial" w:hAnsi="Arial"/>
                <w:sz w:val="18"/>
                <w:szCs w:val="18"/>
                <w:color w:val="auto"/>
              </w:rPr>
              <w:t>Inline XBRL Taxonomy Extension Calculation Linkbase.</w:t>
            </w:r>
          </w:p>
        </w:tc>
      </w:tr>
      <w:tr>
        <w:trPr>
          <w:trHeight w:val="282"/>
        </w:trPr>
        <w:tc>
          <w:tcPr>
            <w:tcW w:w="800" w:type="dxa"/>
            <w:vAlign w:val="bottom"/>
          </w:tcPr>
          <w:p>
            <w:pPr>
              <w:jc w:val="right"/>
              <w:ind w:right="51"/>
              <w:spacing w:after="0"/>
              <w:rPr>
                <w:sz w:val="20"/>
                <w:szCs w:val="20"/>
                <w:color w:val="auto"/>
              </w:rPr>
            </w:pPr>
            <w:r>
              <w:rPr>
                <w:rFonts w:ascii="Arial" w:cs="Arial" w:eastAsia="Arial" w:hAnsi="Arial"/>
                <w:sz w:val="18"/>
                <w:szCs w:val="18"/>
                <w:color w:val="auto"/>
                <w:w w:val="90"/>
              </w:rPr>
              <w:t>101 DEF</w:t>
            </w:r>
          </w:p>
        </w:tc>
        <w:tc>
          <w:tcPr>
            <w:tcW w:w="5000" w:type="dxa"/>
            <w:vAlign w:val="bottom"/>
          </w:tcPr>
          <w:p>
            <w:pPr>
              <w:ind w:left="100"/>
              <w:spacing w:after="0"/>
              <w:rPr>
                <w:sz w:val="20"/>
                <w:szCs w:val="20"/>
                <w:color w:val="auto"/>
              </w:rPr>
            </w:pPr>
            <w:r>
              <w:rPr>
                <w:rFonts w:ascii="Arial" w:cs="Arial" w:eastAsia="Arial" w:hAnsi="Arial"/>
                <w:sz w:val="18"/>
                <w:szCs w:val="18"/>
                <w:color w:val="auto"/>
              </w:rPr>
              <w:t>Inline XBRL Taxonomy Extension Definition Linkbase.</w:t>
            </w:r>
          </w:p>
        </w:tc>
      </w:tr>
      <w:tr>
        <w:trPr>
          <w:trHeight w:val="282"/>
        </w:trPr>
        <w:tc>
          <w:tcPr>
            <w:tcW w:w="800" w:type="dxa"/>
            <w:vAlign w:val="bottom"/>
          </w:tcPr>
          <w:p>
            <w:pPr>
              <w:jc w:val="right"/>
              <w:ind w:right="51"/>
              <w:spacing w:after="0"/>
              <w:rPr>
                <w:sz w:val="20"/>
                <w:szCs w:val="20"/>
                <w:color w:val="auto"/>
              </w:rPr>
            </w:pPr>
            <w:r>
              <w:rPr>
                <w:rFonts w:ascii="Arial" w:cs="Arial" w:eastAsia="Arial" w:hAnsi="Arial"/>
                <w:sz w:val="18"/>
                <w:szCs w:val="18"/>
                <w:color w:val="auto"/>
                <w:w w:val="92"/>
              </w:rPr>
              <w:t>101 LAB</w:t>
            </w:r>
          </w:p>
        </w:tc>
        <w:tc>
          <w:tcPr>
            <w:tcW w:w="5000" w:type="dxa"/>
            <w:vAlign w:val="bottom"/>
          </w:tcPr>
          <w:p>
            <w:pPr>
              <w:ind w:left="100"/>
              <w:spacing w:after="0"/>
              <w:rPr>
                <w:sz w:val="20"/>
                <w:szCs w:val="20"/>
                <w:color w:val="auto"/>
              </w:rPr>
            </w:pPr>
            <w:r>
              <w:rPr>
                <w:rFonts w:ascii="Arial" w:cs="Arial" w:eastAsia="Arial" w:hAnsi="Arial"/>
                <w:sz w:val="18"/>
                <w:szCs w:val="18"/>
                <w:color w:val="auto"/>
              </w:rPr>
              <w:t>Inline XBRL Taxonomy Extension Label Linkbase.</w:t>
            </w:r>
          </w:p>
        </w:tc>
      </w:tr>
      <w:tr>
        <w:trPr>
          <w:trHeight w:val="282"/>
        </w:trPr>
        <w:tc>
          <w:tcPr>
            <w:tcW w:w="800" w:type="dxa"/>
            <w:vAlign w:val="bottom"/>
          </w:tcPr>
          <w:p>
            <w:pPr>
              <w:jc w:val="right"/>
              <w:ind w:right="51"/>
              <w:spacing w:after="0"/>
              <w:rPr>
                <w:sz w:val="20"/>
                <w:szCs w:val="20"/>
                <w:color w:val="auto"/>
              </w:rPr>
            </w:pPr>
            <w:r>
              <w:rPr>
                <w:rFonts w:ascii="Arial" w:cs="Arial" w:eastAsia="Arial" w:hAnsi="Arial"/>
                <w:sz w:val="18"/>
                <w:szCs w:val="18"/>
                <w:color w:val="auto"/>
                <w:w w:val="88"/>
              </w:rPr>
              <w:t>101 PRE</w:t>
            </w:r>
          </w:p>
        </w:tc>
        <w:tc>
          <w:tcPr>
            <w:tcW w:w="5000" w:type="dxa"/>
            <w:vAlign w:val="bottom"/>
          </w:tcPr>
          <w:p>
            <w:pPr>
              <w:ind w:left="10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36" w:lineRule="exact"/>
        <w:rPr>
          <w:sz w:val="20"/>
          <w:szCs w:val="20"/>
          <w:color w:val="auto"/>
        </w:rPr>
      </w:pPr>
    </w:p>
    <w:p>
      <w:pPr>
        <w:ind w:left="900" w:hanging="505"/>
        <w:spacing w:after="0" w:line="22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Cover Page Interactive Data File (the cover page interactive data file does not appear in Exhibit 104 because it's Inline XBRL tags are embedded within the Inline XBRL document).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Incorporated herein by reference to Exhibit 10.1 to the Registrant's current report on Form 8-K filed on June 24,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Incorporated herein by reference to Exhibit 10.2 to the Registrant's current report on Form 8-K filed on June 24, 2024.</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Incorporated herein by reference to Exhibit 4.1 to the Registrant's current report on Form 8-K filed on August 29, 2023.</w:t>
      </w:r>
    </w:p>
    <w:p>
      <w:pPr>
        <w:spacing w:after="0" w:line="140"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Incorporated herein by reference to Exhibit 4.2 to the Registrant's current report on Form 8-K filed on August 29, 2023.</w:t>
      </w:r>
    </w:p>
    <w:p>
      <w:pPr>
        <w:spacing w:after="0" w:line="304"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Incorporated herein by reference to Exhibit 4.3 to the Registrant's current report on Form 8-K filed on August 29, 2023.</w:t>
      </w:r>
    </w:p>
    <w:p>
      <w:pPr>
        <w:spacing w:after="0" w:line="200" w:lineRule="exact"/>
        <w:rPr>
          <w:sz w:val="20"/>
          <w:szCs w:val="20"/>
          <w:color w:val="auto"/>
        </w:rPr>
      </w:pPr>
    </w:p>
    <w:p>
      <w:pPr>
        <w:spacing w:after="0" w:line="22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Incorporated herein by reference to Exhibit 10.1 to the Registrant’s current report on Form 8-K filed on November 20, 2023</w:t>
      </w:r>
    </w:p>
    <w:p>
      <w:pPr>
        <w:spacing w:after="0" w:line="2"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Incorporated herein by reference to Exhibit 10.34 to NRG Yield, Inc.'s Annual Report on Form 10-K filed on March 1, 2018.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Included on signature page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75"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Incorporated herein by reference to Exhibit 97 to the Registrant's annual report on Form 10-K filed on February 28, 2024.</w:t>
      </w:r>
    </w:p>
    <w:p>
      <w:pPr>
        <w:spacing w:after="0" w:line="53" w:lineRule="exact"/>
        <w:rPr>
          <w:sz w:val="20"/>
          <w:szCs w:val="20"/>
          <w:color w:val="auto"/>
        </w:rPr>
      </w:pPr>
    </w:p>
    <w:p>
      <w:pPr>
        <w:jc w:val="both"/>
        <w:ind w:right="580"/>
        <w:spacing w:after="0" w:line="309" w:lineRule="auto"/>
        <w:rPr>
          <w:sz w:val="20"/>
          <w:szCs w:val="20"/>
          <w:color w:val="auto"/>
        </w:rPr>
      </w:pPr>
      <w:r>
        <w:rPr>
          <w:rFonts w:ascii="Arial" w:cs="Arial" w:eastAsia="Arial" w:hAnsi="Arial"/>
          <w:sz w:val="14"/>
          <w:szCs w:val="14"/>
          <w:color w:val="auto"/>
        </w:rPr>
        <w:t>The instance document does not appear in the interactive data file because its XBRL tags are embedded within the inline XBRL document.</w:t>
      </w:r>
    </w:p>
    <w:p>
      <w:pPr>
        <w:spacing w:after="0"/>
        <w:rPr>
          <w:sz w:val="20"/>
          <w:szCs w:val="20"/>
          <w:color w:val="auto"/>
        </w:rPr>
      </w:pPr>
      <w:r>
        <w:rPr>
          <w:rFonts w:ascii="Arial" w:cs="Arial" w:eastAsia="Arial" w:hAnsi="Arial"/>
          <w:sz w:val="18"/>
          <w:szCs w:val="18"/>
          <w:color w:val="auto"/>
        </w:rPr>
        <w:t>Filed herewith.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566" w:lineRule="exact"/>
        <w:rPr>
          <w:sz w:val="20"/>
          <w:szCs w:val="20"/>
          <w:color w:val="auto"/>
        </w:rPr>
      </w:pPr>
    </w:p>
    <w:p>
      <w:pPr>
        <w:sectPr>
          <w:pgSz w:w="11880" w:h="15480" w:orient="portrait"/>
          <w:cols w:equalWidth="0" w:num="2">
            <w:col w:w="5800" w:space="240"/>
            <w:col w:w="3880"/>
          </w:cols>
          <w:pgMar w:left="800" w:top="56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168</w:t>
      </w:r>
    </w:p>
    <w:p>
      <w:pPr>
        <w:sectPr>
          <w:pgSz w:w="11880" w:h="15480" w:orient="portrait"/>
          <w:cols w:equalWidth="0" w:num="1">
            <w:col w:w="9920"/>
          </w:cols>
          <w:pgMar w:left="800" w:top="564" w:right="1160" w:bottom="0" w:gutter="0" w:footer="0" w:header="0"/>
          <w:type w:val="continuous"/>
        </w:sectPr>
      </w:pPr>
    </w:p>
    <w:bookmarkStart w:id="170" w:name="page171"/>
    <w:bookmarkEnd w:id="170"/>
    <w:p>
      <w:pPr>
        <w:ind w:left="700" w:hanging="639"/>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Exhibit relates to compensation arrangements.</w:t>
      </w:r>
    </w:p>
    <w:p>
      <w:pPr>
        <w:spacing w:after="0" w:line="75" w:lineRule="exact"/>
        <w:rPr>
          <w:sz w:val="20"/>
          <w:szCs w:val="20"/>
          <w:color w:val="auto"/>
        </w:rPr>
      </w:pPr>
    </w:p>
    <w:p>
      <w:pPr>
        <w:ind w:left="660" w:right="500" w:hanging="599"/>
        <w:spacing w:after="0" w:line="296"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Portions of this exhibit have been redacted and are subject to a confidential treatment request filed with the Secretary of the Securities and Exchange Commission pursuant to Rule 24b-2 under the Securities Exchange Act of 1934, as amended.</w:t>
      </w:r>
    </w:p>
    <w:p>
      <w:pPr>
        <w:spacing w:after="0" w:line="7" w:lineRule="exact"/>
        <w:rPr>
          <w:sz w:val="20"/>
          <w:szCs w:val="20"/>
          <w:color w:val="auto"/>
        </w:rPr>
      </w:pPr>
    </w:p>
    <w:p>
      <w:pPr>
        <w:ind w:left="660" w:right="40" w:hanging="599"/>
        <w:spacing w:after="0" w:line="238"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This filing excludes schedules pursuant to Item 601(b)(2) of Regulation S-K, which the registrant agrees to furnish supplementary to the Securities and Exchange Commission upon request by the Commission.</w:t>
      </w:r>
    </w:p>
    <w:p>
      <w:pPr>
        <w:spacing w:after="0" w:line="50" w:lineRule="exact"/>
        <w:rPr>
          <w:sz w:val="20"/>
          <w:szCs w:val="20"/>
          <w:color w:val="auto"/>
        </w:rPr>
      </w:pPr>
    </w:p>
    <w:p>
      <w:pPr>
        <w:ind w:left="660" w:hanging="599"/>
        <w:spacing w:after="0" w:line="22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Portions of this exhibit have been excluded because they are both not material and would likely cause competitive harm to the registrant if publicly disclosed. Information that has been omitted has been noted in this document with a placeholder identified by the mark “[***]”.</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9960"/>
          </w:cols>
          <w:pgMar w:left="860" w:top="59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169</w:t>
      </w:r>
    </w:p>
    <w:p>
      <w:pPr>
        <w:sectPr>
          <w:pgSz w:w="11880" w:h="15480" w:orient="portrait"/>
          <w:cols w:equalWidth="0" w:num="1">
            <w:col w:w="9960"/>
          </w:cols>
          <w:pgMar w:left="860" w:top="593" w:right="1060" w:bottom="0" w:gutter="0" w:footer="0" w:header="0"/>
          <w:type w:val="continuous"/>
        </w:sectPr>
      </w:pPr>
    </w:p>
    <w:bookmarkStart w:id="171" w:name="page172"/>
    <w:bookmarkEnd w:id="171"/>
    <w:p>
      <w:pPr>
        <w:jc w:val="center"/>
        <w:spacing w:after="0"/>
        <w:rPr>
          <w:sz w:val="20"/>
          <w:szCs w:val="20"/>
          <w:color w:val="auto"/>
        </w:rPr>
      </w:pPr>
      <w:r>
        <w:rPr>
          <w:rFonts w:ascii="Arial" w:cs="Arial" w:eastAsia="Arial" w:hAnsi="Arial"/>
          <w:sz w:val="20"/>
          <w:szCs w:val="20"/>
          <w:b w:val="1"/>
          <w:bCs w:val="1"/>
          <w:color w:val="auto"/>
        </w:rPr>
        <w:t>SIGNATURES</w:t>
      </w:r>
    </w:p>
    <w:p>
      <w:pPr>
        <w:spacing w:after="0" w:line="252" w:lineRule="exact"/>
        <w:rPr>
          <w:sz w:val="20"/>
          <w:szCs w:val="20"/>
          <w:color w:val="auto"/>
        </w:rPr>
      </w:pPr>
    </w:p>
    <w:p>
      <w:pPr>
        <w:ind w:firstLine="490"/>
        <w:spacing w:after="0" w:line="277"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40"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NRG ENERGY, INC.</w:t>
      </w:r>
    </w:p>
    <w:p>
      <w:pPr>
        <w:ind w:left="5140"/>
        <w:spacing w:after="0"/>
        <w:rPr>
          <w:sz w:val="20"/>
          <w:szCs w:val="20"/>
          <w:color w:val="auto"/>
        </w:rPr>
      </w:pPr>
      <w:r>
        <w:rPr>
          <w:rFonts w:ascii="Arial" w:cs="Arial" w:eastAsia="Arial" w:hAnsi="Arial"/>
          <w:sz w:val="20"/>
          <w:szCs w:val="20"/>
          <w:color w:val="auto"/>
        </w:rPr>
        <w:t>(Registrant)</w:t>
      </w:r>
    </w:p>
    <w:p>
      <w:pPr>
        <w:spacing w:after="0" w:line="200" w:lineRule="exact"/>
        <w:rPr>
          <w:sz w:val="20"/>
          <w:szCs w:val="20"/>
          <w:color w:val="auto"/>
        </w:rPr>
      </w:pPr>
    </w:p>
    <w:p>
      <w:pPr>
        <w:spacing w:after="0" w:line="320"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By:  /s/ LAWRENCE S. COBEN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3498850</wp:posOffset>
                </wp:positionH>
                <wp:positionV relativeFrom="paragraph">
                  <wp:posOffset>25400</wp:posOffset>
                </wp:positionV>
                <wp:extent cx="1593850"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38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5pt,2pt" to="401pt,2pt" o:allowincell="f" strokecolor="#000000" strokeweight="1pt"/>
            </w:pict>
          </mc:Fallback>
        </mc:AlternateContent>
      </w:r>
    </w:p>
    <w:p>
      <w:pPr>
        <w:spacing w:after="0" w:line="87"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Lawrence S. Coben</w:t>
      </w:r>
    </w:p>
    <w:p>
      <w:pPr>
        <w:jc w:val="center"/>
        <w:ind w:left="3380"/>
        <w:spacing w:after="0" w:line="206" w:lineRule="auto"/>
        <w:rPr>
          <w:sz w:val="20"/>
          <w:szCs w:val="20"/>
          <w:color w:val="auto"/>
        </w:rPr>
      </w:pPr>
      <w:r>
        <w:rPr>
          <w:rFonts w:ascii="Arial" w:cs="Arial" w:eastAsia="Arial" w:hAnsi="Arial"/>
          <w:sz w:val="20"/>
          <w:szCs w:val="20"/>
          <w:b w:val="1"/>
          <w:bCs w:val="1"/>
          <w:i w:val="1"/>
          <w:iCs w:val="1"/>
          <w:color w:val="auto"/>
        </w:rPr>
        <w:t>President and Chief Executive</w:t>
      </w:r>
    </w:p>
    <w:p>
      <w:pPr>
        <w:spacing w:after="0" w:line="1" w:lineRule="exact"/>
        <w:rPr>
          <w:sz w:val="20"/>
          <w:szCs w:val="20"/>
          <w:color w:val="auto"/>
        </w:rPr>
      </w:pPr>
    </w:p>
    <w:p>
      <w:pPr>
        <w:jc w:val="center"/>
        <w:ind w:left="3380"/>
        <w:spacing w:after="0"/>
        <w:rPr>
          <w:sz w:val="20"/>
          <w:szCs w:val="20"/>
          <w:color w:val="auto"/>
        </w:rPr>
      </w:pPr>
      <w:r>
        <w:rPr>
          <w:rFonts w:ascii="Arial" w:cs="Arial" w:eastAsia="Arial" w:hAnsi="Arial"/>
          <w:sz w:val="20"/>
          <w:szCs w:val="20"/>
          <w:b w:val="1"/>
          <w:bCs w:val="1"/>
          <w:i w:val="1"/>
          <w:iCs w:val="1"/>
          <w:color w:val="auto"/>
        </w:rPr>
        <w:t>Officer</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26, 2025</w:t>
      </w: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170</w:t>
      </w:r>
    </w:p>
    <w:p>
      <w:pPr>
        <w:sectPr>
          <w:pgSz w:w="11880" w:h="15480" w:orient="portrait"/>
          <w:cols w:equalWidth="0" w:num="1">
            <w:col w:w="10160"/>
          </w:cols>
          <w:pgMar w:left="860" w:top="505" w:right="860" w:bottom="0" w:gutter="0" w:footer="0" w:header="0"/>
          <w:type w:val="continuous"/>
        </w:sectPr>
      </w:pPr>
    </w:p>
    <w:bookmarkStart w:id="172" w:name="page173"/>
    <w:bookmarkEnd w:id="172"/>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32"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8"/>
          <w:szCs w:val="18"/>
          <w:color w:val="auto"/>
        </w:rPr>
        <w:t>Each person whose signature appears below constitutes and appoints Brian E. Curci and Christine A. Zoino,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103" w:lineRule="exact"/>
        <w:rPr>
          <w:sz w:val="20"/>
          <w:szCs w:val="20"/>
          <w:color w:val="auto"/>
        </w:rPr>
      </w:pPr>
    </w:p>
    <w:p>
      <w:pPr>
        <w:jc w:val="both"/>
        <w:ind w:firstLine="490"/>
        <w:spacing w:after="0" w:line="277" w:lineRule="auto"/>
        <w:rPr>
          <w:sz w:val="20"/>
          <w:szCs w:val="20"/>
          <w:color w:val="auto"/>
        </w:rPr>
      </w:pPr>
      <w:r>
        <w:rPr>
          <w:rFonts w:ascii="Arial" w:cs="Arial" w:eastAsia="Arial" w:hAnsi="Arial"/>
          <w:sz w:val="20"/>
          <w:szCs w:val="20"/>
          <w:color w:val="auto"/>
        </w:rPr>
        <w:t>In accordance with the Exchange Act, this report has been signed by the following persons on behalf of the registrant in the capacities indicated on February 26, 2025.</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260" w:type="dxa"/>
            <w:vAlign w:val="bottom"/>
            <w:gridSpan w:val="2"/>
          </w:tcPr>
          <w:p>
            <w:pPr>
              <w:jc w:val="center"/>
              <w:ind w:right="60"/>
              <w:spacing w:after="0"/>
              <w:rPr>
                <w:sz w:val="20"/>
                <w:szCs w:val="20"/>
                <w:color w:val="auto"/>
              </w:rPr>
            </w:pPr>
            <w:r>
              <w:rPr>
                <w:rFonts w:ascii="Arial" w:cs="Arial" w:eastAsia="Arial" w:hAnsi="Arial"/>
                <w:sz w:val="20"/>
                <w:szCs w:val="20"/>
                <w:b w:val="1"/>
                <w:bCs w:val="1"/>
                <w:color w:val="auto"/>
                <w:w w:val="91"/>
              </w:rPr>
              <w:t>Signature</w:t>
            </w: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Title</w:t>
            </w:r>
          </w:p>
        </w:tc>
        <w:tc>
          <w:tcPr>
            <w:tcW w:w="1780" w:type="dxa"/>
            <w:vAlign w:val="bottom"/>
          </w:tcPr>
          <w:p>
            <w:pPr>
              <w:jc w:val="center"/>
              <w:ind w:left="241"/>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693"/>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3"/>
              </w:rPr>
              <w:t>/s/ LAWRENCE S. COBEN</w:t>
            </w:r>
          </w:p>
        </w:tc>
        <w:tc>
          <w:tcPr>
            <w:tcW w:w="6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Arial" w:cs="Arial" w:eastAsia="Arial" w:hAnsi="Arial"/>
                <w:sz w:val="20"/>
                <w:szCs w:val="20"/>
                <w:color w:val="auto"/>
                <w:w w:val="90"/>
              </w:rPr>
              <w:t>President and Chief Executive Officer and</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260" w:type="dxa"/>
            <w:vAlign w:val="bottom"/>
            <w:gridSpan w:val="2"/>
          </w:tcPr>
          <w:p>
            <w:pPr>
              <w:jc w:val="center"/>
              <w:ind w:right="60"/>
              <w:spacing w:after="0"/>
              <w:rPr>
                <w:sz w:val="20"/>
                <w:szCs w:val="20"/>
                <w:color w:val="auto"/>
              </w:rPr>
            </w:pPr>
            <w:r>
              <w:rPr>
                <w:rFonts w:ascii="Arial" w:cs="Arial" w:eastAsia="Arial" w:hAnsi="Arial"/>
                <w:sz w:val="20"/>
                <w:szCs w:val="20"/>
                <w:color w:val="auto"/>
                <w:w w:val="88"/>
              </w:rPr>
              <w:t>Lawrence S. Coben</w:t>
            </w:r>
          </w:p>
        </w:tc>
        <w:tc>
          <w:tcPr>
            <w:tcW w:w="4820" w:type="dxa"/>
            <w:vAlign w:val="bottom"/>
          </w:tcPr>
          <w:p>
            <w:pPr>
              <w:jc w:val="center"/>
              <w:spacing w:after="0"/>
              <w:rPr>
                <w:sz w:val="20"/>
                <w:szCs w:val="20"/>
                <w:color w:val="auto"/>
              </w:rPr>
            </w:pPr>
            <w:r>
              <w:rPr>
                <w:rFonts w:ascii="Arial" w:cs="Arial" w:eastAsia="Arial" w:hAnsi="Arial"/>
                <w:sz w:val="20"/>
                <w:szCs w:val="20"/>
                <w:color w:val="auto"/>
                <w:w w:val="92"/>
              </w:rPr>
              <w:t>Director (Principal Executive Officer, Chair of the Board)</w:t>
            </w:r>
          </w:p>
        </w:tc>
        <w:tc>
          <w:tcPr>
            <w:tcW w:w="1780" w:type="dxa"/>
            <w:vAlign w:val="bottom"/>
          </w:tcPr>
          <w:p>
            <w:pPr>
              <w:jc w:val="center"/>
              <w:ind w:left="241"/>
              <w:spacing w:after="0"/>
              <w:rPr>
                <w:sz w:val="20"/>
                <w:szCs w:val="20"/>
                <w:color w:val="auto"/>
              </w:rPr>
            </w:pPr>
            <w:r>
              <w:rPr>
                <w:rFonts w:ascii="Arial" w:cs="Arial" w:eastAsia="Arial" w:hAnsi="Arial"/>
                <w:sz w:val="20"/>
                <w:szCs w:val="20"/>
                <w:color w:val="auto"/>
                <w:w w:val="88"/>
              </w:rPr>
              <w:t>February 26, 2025</w:t>
            </w:r>
          </w:p>
        </w:tc>
        <w:tc>
          <w:tcPr>
            <w:tcW w:w="0" w:type="dxa"/>
            <w:vAlign w:val="bottom"/>
          </w:tcPr>
          <w:p>
            <w:pPr>
              <w:spacing w:after="0"/>
              <w:rPr>
                <w:sz w:val="1"/>
                <w:szCs w:val="1"/>
                <w:color w:val="auto"/>
              </w:rPr>
            </w:pPr>
          </w:p>
        </w:tc>
      </w:tr>
      <w:tr>
        <w:trPr>
          <w:trHeight w:val="284"/>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4"/>
              </w:rPr>
              <w:t>/s/ WOO-SUNG CHUNG</w:t>
            </w:r>
          </w:p>
        </w:tc>
        <w:tc>
          <w:tcPr>
            <w:tcW w:w="6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Arial" w:cs="Arial" w:eastAsia="Arial" w:hAnsi="Arial"/>
                <w:sz w:val="20"/>
                <w:szCs w:val="20"/>
                <w:color w:val="auto"/>
                <w:w w:val="93"/>
              </w:rPr>
              <w:t>Chief Financial Officer</w:t>
            </w:r>
          </w:p>
        </w:tc>
        <w:tc>
          <w:tcPr>
            <w:tcW w:w="1780" w:type="dxa"/>
            <w:vAlign w:val="bottom"/>
            <w:vMerge w:val="restart"/>
          </w:tcPr>
          <w:p>
            <w:pPr>
              <w:jc w:val="center"/>
              <w:ind w:left="241"/>
              <w:spacing w:after="0"/>
              <w:rPr>
                <w:sz w:val="20"/>
                <w:szCs w:val="20"/>
                <w:color w:val="auto"/>
              </w:rPr>
            </w:pPr>
            <w:r>
              <w:rPr>
                <w:rFonts w:ascii="Arial" w:cs="Arial" w:eastAsia="Arial" w:hAnsi="Arial"/>
                <w:sz w:val="20"/>
                <w:szCs w:val="20"/>
                <w:color w:val="auto"/>
                <w:w w:val="88"/>
              </w:rPr>
              <w:t>February 26, 2025</w:t>
            </w:r>
          </w:p>
        </w:tc>
        <w:tc>
          <w:tcPr>
            <w:tcW w:w="0" w:type="dxa"/>
            <w:vAlign w:val="bottom"/>
          </w:tcPr>
          <w:p>
            <w:pPr>
              <w:spacing w:after="0"/>
              <w:rPr>
                <w:sz w:val="1"/>
                <w:szCs w:val="1"/>
                <w:color w:val="auto"/>
              </w:rPr>
            </w:pPr>
          </w:p>
        </w:tc>
      </w:tr>
      <w:tr>
        <w:trPr>
          <w:trHeight w:val="119"/>
        </w:trPr>
        <w:tc>
          <w:tcPr>
            <w:tcW w:w="3260" w:type="dxa"/>
            <w:vAlign w:val="bottom"/>
            <w:gridSpan w:val="2"/>
            <w:vMerge w:val="restart"/>
          </w:tcPr>
          <w:p>
            <w:pPr>
              <w:jc w:val="center"/>
              <w:ind w:right="60"/>
              <w:spacing w:after="0"/>
              <w:rPr>
                <w:sz w:val="20"/>
                <w:szCs w:val="20"/>
                <w:color w:val="auto"/>
              </w:rPr>
            </w:pPr>
            <w:r>
              <w:rPr>
                <w:rFonts w:ascii="Arial" w:cs="Arial" w:eastAsia="Arial" w:hAnsi="Arial"/>
                <w:sz w:val="20"/>
                <w:szCs w:val="20"/>
                <w:color w:val="auto"/>
                <w:w w:val="90"/>
              </w:rPr>
              <w:t>Woo-Sung Chung</w:t>
            </w:r>
          </w:p>
        </w:tc>
        <w:tc>
          <w:tcPr>
            <w:tcW w:w="4820" w:type="dxa"/>
            <w:vAlign w:val="bottom"/>
            <w:vMerge w:val="restart"/>
          </w:tcPr>
          <w:p>
            <w:pPr>
              <w:jc w:val="center"/>
              <w:spacing w:after="0"/>
              <w:rPr>
                <w:sz w:val="20"/>
                <w:szCs w:val="20"/>
                <w:color w:val="auto"/>
              </w:rPr>
            </w:pPr>
            <w:r>
              <w:rPr>
                <w:rFonts w:ascii="Arial" w:cs="Arial" w:eastAsia="Arial" w:hAnsi="Arial"/>
                <w:sz w:val="20"/>
                <w:szCs w:val="20"/>
                <w:color w:val="auto"/>
                <w:w w:val="94"/>
              </w:rPr>
              <w:t>(Principal Financial Officer)</w:t>
            </w: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60" w:type="dxa"/>
            <w:vAlign w:val="bottom"/>
            <w:gridSpan w:val="2"/>
            <w:vMerge w:val="continue"/>
          </w:tcPr>
          <w:p>
            <w:pPr>
              <w:spacing w:after="0"/>
              <w:rPr>
                <w:sz w:val="12"/>
                <w:szCs w:val="12"/>
                <w:color w:val="auto"/>
              </w:rPr>
            </w:pPr>
          </w:p>
        </w:tc>
        <w:tc>
          <w:tcPr>
            <w:tcW w:w="482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G. ALFRED SPENCER</w:t>
            </w:r>
          </w:p>
        </w:tc>
        <w:tc>
          <w:tcPr>
            <w:tcW w:w="6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Arial" w:cs="Arial" w:eastAsia="Arial" w:hAnsi="Arial"/>
                <w:sz w:val="20"/>
                <w:szCs w:val="20"/>
                <w:color w:val="auto"/>
                <w:w w:val="94"/>
              </w:rPr>
              <w:t>Chief Accounting Officer</w:t>
            </w:r>
          </w:p>
        </w:tc>
        <w:tc>
          <w:tcPr>
            <w:tcW w:w="1780" w:type="dxa"/>
            <w:vAlign w:val="bottom"/>
            <w:vMerge w:val="restart"/>
          </w:tcPr>
          <w:p>
            <w:pPr>
              <w:jc w:val="center"/>
              <w:ind w:left="241"/>
              <w:spacing w:after="0"/>
              <w:rPr>
                <w:sz w:val="20"/>
                <w:szCs w:val="20"/>
                <w:color w:val="auto"/>
              </w:rPr>
            </w:pPr>
            <w:r>
              <w:rPr>
                <w:rFonts w:ascii="Arial" w:cs="Arial" w:eastAsia="Arial" w:hAnsi="Arial"/>
                <w:sz w:val="20"/>
                <w:szCs w:val="20"/>
                <w:color w:val="auto"/>
                <w:w w:val="88"/>
              </w:rPr>
              <w:t>February 26, 2025</w:t>
            </w:r>
          </w:p>
        </w:tc>
        <w:tc>
          <w:tcPr>
            <w:tcW w:w="0" w:type="dxa"/>
            <w:vAlign w:val="bottom"/>
          </w:tcPr>
          <w:p>
            <w:pPr>
              <w:spacing w:after="0"/>
              <w:rPr>
                <w:sz w:val="1"/>
                <w:szCs w:val="1"/>
                <w:color w:val="auto"/>
              </w:rPr>
            </w:pPr>
          </w:p>
        </w:tc>
      </w:tr>
      <w:tr>
        <w:trPr>
          <w:trHeight w:val="119"/>
        </w:trPr>
        <w:tc>
          <w:tcPr>
            <w:tcW w:w="3260" w:type="dxa"/>
            <w:vAlign w:val="bottom"/>
            <w:gridSpan w:val="2"/>
            <w:vMerge w:val="restart"/>
          </w:tcPr>
          <w:p>
            <w:pPr>
              <w:jc w:val="center"/>
              <w:ind w:right="60"/>
              <w:spacing w:after="0"/>
              <w:rPr>
                <w:sz w:val="20"/>
                <w:szCs w:val="20"/>
                <w:color w:val="auto"/>
              </w:rPr>
            </w:pPr>
            <w:r>
              <w:rPr>
                <w:rFonts w:ascii="Arial" w:cs="Arial" w:eastAsia="Arial" w:hAnsi="Arial"/>
                <w:sz w:val="20"/>
                <w:szCs w:val="20"/>
                <w:color w:val="auto"/>
                <w:w w:val="90"/>
              </w:rPr>
              <w:t>G. Alfred Spencer</w:t>
            </w:r>
          </w:p>
        </w:tc>
        <w:tc>
          <w:tcPr>
            <w:tcW w:w="4820" w:type="dxa"/>
            <w:vAlign w:val="bottom"/>
            <w:vMerge w:val="restart"/>
          </w:tcPr>
          <w:p>
            <w:pPr>
              <w:jc w:val="center"/>
              <w:spacing w:after="0"/>
              <w:rPr>
                <w:sz w:val="20"/>
                <w:szCs w:val="20"/>
                <w:color w:val="auto"/>
              </w:rPr>
            </w:pPr>
            <w:r>
              <w:rPr>
                <w:rFonts w:ascii="Arial" w:cs="Arial" w:eastAsia="Arial" w:hAnsi="Arial"/>
                <w:sz w:val="20"/>
                <w:szCs w:val="20"/>
                <w:color w:val="auto"/>
                <w:w w:val="94"/>
              </w:rPr>
              <w:t>(Principal Accounting Officer)</w:t>
            </w: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60" w:type="dxa"/>
            <w:vAlign w:val="bottom"/>
            <w:gridSpan w:val="2"/>
            <w:vMerge w:val="continue"/>
          </w:tcPr>
          <w:p>
            <w:pPr>
              <w:spacing w:after="0"/>
              <w:rPr>
                <w:sz w:val="12"/>
                <w:szCs w:val="12"/>
                <w:color w:val="auto"/>
              </w:rPr>
            </w:pPr>
          </w:p>
        </w:tc>
        <w:tc>
          <w:tcPr>
            <w:tcW w:w="482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5"/>
              </w:rPr>
              <w:t>/s/ E. SPENCER ABRAHAM</w:t>
            </w:r>
          </w:p>
        </w:tc>
        <w:tc>
          <w:tcPr>
            <w:tcW w:w="60" w:type="dxa"/>
            <w:vAlign w:val="bottom"/>
          </w:tcPr>
          <w:p>
            <w:pPr>
              <w:spacing w:after="0"/>
              <w:rPr>
                <w:sz w:val="24"/>
                <w:szCs w:val="24"/>
                <w:color w:val="auto"/>
              </w:rPr>
            </w:pPr>
          </w:p>
        </w:tc>
        <w:tc>
          <w:tcPr>
            <w:tcW w:w="4820" w:type="dxa"/>
            <w:vAlign w:val="bottom"/>
            <w:vMerge w:val="restart"/>
          </w:tcPr>
          <w:p>
            <w:pPr>
              <w:jc w:val="center"/>
              <w:spacing w:after="0"/>
              <w:rPr>
                <w:sz w:val="20"/>
                <w:szCs w:val="20"/>
                <w:color w:val="auto"/>
              </w:rPr>
            </w:pPr>
            <w:r>
              <w:rPr>
                <w:rFonts w:ascii="Arial" w:cs="Arial" w:eastAsia="Arial" w:hAnsi="Arial"/>
                <w:sz w:val="20"/>
                <w:szCs w:val="20"/>
                <w:color w:val="auto"/>
                <w:w w:val="94"/>
              </w:rPr>
              <w:t>Director</w:t>
            </w:r>
          </w:p>
        </w:tc>
        <w:tc>
          <w:tcPr>
            <w:tcW w:w="1780" w:type="dxa"/>
            <w:vAlign w:val="bottom"/>
            <w:vMerge w:val="restart"/>
          </w:tcPr>
          <w:p>
            <w:pPr>
              <w:jc w:val="center"/>
              <w:ind w:left="241"/>
              <w:spacing w:after="0"/>
              <w:rPr>
                <w:sz w:val="20"/>
                <w:szCs w:val="20"/>
                <w:color w:val="auto"/>
              </w:rPr>
            </w:pPr>
            <w:r>
              <w:rPr>
                <w:rFonts w:ascii="Arial" w:cs="Arial" w:eastAsia="Arial" w:hAnsi="Arial"/>
                <w:sz w:val="20"/>
                <w:szCs w:val="20"/>
                <w:color w:val="auto"/>
                <w:w w:val="88"/>
              </w:rPr>
              <w:t>February 26, 2025</w:t>
            </w:r>
          </w:p>
        </w:tc>
        <w:tc>
          <w:tcPr>
            <w:tcW w:w="0" w:type="dxa"/>
            <w:vAlign w:val="bottom"/>
          </w:tcPr>
          <w:p>
            <w:pPr>
              <w:spacing w:after="0"/>
              <w:rPr>
                <w:sz w:val="1"/>
                <w:szCs w:val="1"/>
                <w:color w:val="auto"/>
              </w:rPr>
            </w:pPr>
          </w:p>
        </w:tc>
      </w:tr>
      <w:tr>
        <w:trPr>
          <w:trHeight w:val="119"/>
        </w:trPr>
        <w:tc>
          <w:tcPr>
            <w:tcW w:w="3260" w:type="dxa"/>
            <w:vAlign w:val="bottom"/>
            <w:gridSpan w:val="2"/>
            <w:vMerge w:val="restart"/>
          </w:tcPr>
          <w:p>
            <w:pPr>
              <w:jc w:val="center"/>
              <w:ind w:right="60"/>
              <w:spacing w:after="0"/>
              <w:rPr>
                <w:sz w:val="20"/>
                <w:szCs w:val="20"/>
                <w:color w:val="auto"/>
              </w:rPr>
            </w:pPr>
            <w:r>
              <w:rPr>
                <w:rFonts w:ascii="Arial" w:cs="Arial" w:eastAsia="Arial" w:hAnsi="Arial"/>
                <w:sz w:val="20"/>
                <w:szCs w:val="20"/>
                <w:color w:val="auto"/>
                <w:w w:val="88"/>
              </w:rPr>
              <w:t>E. Spencer Abraham</w:t>
            </w:r>
          </w:p>
        </w:tc>
        <w:tc>
          <w:tcPr>
            <w:tcW w:w="482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60" w:type="dxa"/>
            <w:vAlign w:val="bottom"/>
            <w:gridSpan w:val="2"/>
            <w:vMerge w:val="continue"/>
          </w:tcPr>
          <w:p>
            <w:pPr>
              <w:spacing w:after="0"/>
              <w:rPr>
                <w:sz w:val="12"/>
                <w:szCs w:val="12"/>
                <w:color w:val="auto"/>
              </w:rPr>
            </w:pPr>
          </w:p>
        </w:tc>
        <w:tc>
          <w:tcPr>
            <w:tcW w:w="4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/s/ ANTONIO CARRILLO</w:t>
            </w:r>
          </w:p>
        </w:tc>
        <w:tc>
          <w:tcPr>
            <w:tcW w:w="60" w:type="dxa"/>
            <w:vAlign w:val="bottom"/>
          </w:tcPr>
          <w:p>
            <w:pPr>
              <w:spacing w:after="0"/>
              <w:rPr>
                <w:sz w:val="24"/>
                <w:szCs w:val="24"/>
                <w:color w:val="auto"/>
              </w:rPr>
            </w:pPr>
          </w:p>
        </w:tc>
        <w:tc>
          <w:tcPr>
            <w:tcW w:w="4820" w:type="dxa"/>
            <w:vAlign w:val="bottom"/>
            <w:vMerge w:val="restart"/>
          </w:tcPr>
          <w:p>
            <w:pPr>
              <w:jc w:val="center"/>
              <w:spacing w:after="0"/>
              <w:rPr>
                <w:sz w:val="20"/>
                <w:szCs w:val="20"/>
                <w:color w:val="auto"/>
              </w:rPr>
            </w:pPr>
            <w:r>
              <w:rPr>
                <w:rFonts w:ascii="Arial" w:cs="Arial" w:eastAsia="Arial" w:hAnsi="Arial"/>
                <w:sz w:val="20"/>
                <w:szCs w:val="20"/>
                <w:color w:val="auto"/>
                <w:w w:val="94"/>
              </w:rPr>
              <w:t>Director</w:t>
            </w:r>
          </w:p>
        </w:tc>
        <w:tc>
          <w:tcPr>
            <w:tcW w:w="1780" w:type="dxa"/>
            <w:vAlign w:val="bottom"/>
            <w:vMerge w:val="restart"/>
          </w:tcPr>
          <w:p>
            <w:pPr>
              <w:jc w:val="center"/>
              <w:ind w:left="241"/>
              <w:spacing w:after="0"/>
              <w:rPr>
                <w:sz w:val="20"/>
                <w:szCs w:val="20"/>
                <w:color w:val="auto"/>
              </w:rPr>
            </w:pPr>
            <w:r>
              <w:rPr>
                <w:rFonts w:ascii="Arial" w:cs="Arial" w:eastAsia="Arial" w:hAnsi="Arial"/>
                <w:sz w:val="20"/>
                <w:szCs w:val="20"/>
                <w:color w:val="auto"/>
                <w:w w:val="88"/>
              </w:rPr>
              <w:t>February 26, 2025</w:t>
            </w:r>
          </w:p>
        </w:tc>
        <w:tc>
          <w:tcPr>
            <w:tcW w:w="0" w:type="dxa"/>
            <w:vAlign w:val="bottom"/>
          </w:tcPr>
          <w:p>
            <w:pPr>
              <w:spacing w:after="0"/>
              <w:rPr>
                <w:sz w:val="1"/>
                <w:szCs w:val="1"/>
                <w:color w:val="auto"/>
              </w:rPr>
            </w:pPr>
          </w:p>
        </w:tc>
      </w:tr>
      <w:tr>
        <w:trPr>
          <w:trHeight w:val="119"/>
        </w:trPr>
        <w:tc>
          <w:tcPr>
            <w:tcW w:w="3260" w:type="dxa"/>
            <w:vAlign w:val="bottom"/>
            <w:gridSpan w:val="2"/>
            <w:vMerge w:val="restart"/>
          </w:tcPr>
          <w:p>
            <w:pPr>
              <w:jc w:val="center"/>
              <w:ind w:right="60"/>
              <w:spacing w:after="0"/>
              <w:rPr>
                <w:sz w:val="20"/>
                <w:szCs w:val="20"/>
                <w:color w:val="auto"/>
              </w:rPr>
            </w:pPr>
            <w:r>
              <w:rPr>
                <w:rFonts w:ascii="Arial" w:cs="Arial" w:eastAsia="Arial" w:hAnsi="Arial"/>
                <w:sz w:val="20"/>
                <w:szCs w:val="20"/>
                <w:color w:val="auto"/>
                <w:w w:val="96"/>
              </w:rPr>
              <w:t>Antonio Carrillo</w:t>
            </w:r>
          </w:p>
        </w:tc>
        <w:tc>
          <w:tcPr>
            <w:tcW w:w="482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60" w:type="dxa"/>
            <w:vAlign w:val="bottom"/>
            <w:gridSpan w:val="2"/>
            <w:vMerge w:val="continue"/>
          </w:tcPr>
          <w:p>
            <w:pPr>
              <w:spacing w:after="0"/>
              <w:rPr>
                <w:sz w:val="12"/>
                <w:szCs w:val="12"/>
                <w:color w:val="auto"/>
              </w:rPr>
            </w:pPr>
          </w:p>
        </w:tc>
        <w:tc>
          <w:tcPr>
            <w:tcW w:w="4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5"/>
              </w:rPr>
              <w:t>/s/ MATTHEW CARTER, JR.</w:t>
            </w:r>
          </w:p>
        </w:tc>
        <w:tc>
          <w:tcPr>
            <w:tcW w:w="60" w:type="dxa"/>
            <w:vAlign w:val="bottom"/>
          </w:tcPr>
          <w:p>
            <w:pPr>
              <w:spacing w:after="0"/>
              <w:rPr>
                <w:sz w:val="24"/>
                <w:szCs w:val="24"/>
                <w:color w:val="auto"/>
              </w:rPr>
            </w:pPr>
          </w:p>
        </w:tc>
        <w:tc>
          <w:tcPr>
            <w:tcW w:w="4820" w:type="dxa"/>
            <w:vAlign w:val="bottom"/>
            <w:vMerge w:val="restart"/>
          </w:tcPr>
          <w:p>
            <w:pPr>
              <w:jc w:val="center"/>
              <w:spacing w:after="0"/>
              <w:rPr>
                <w:sz w:val="20"/>
                <w:szCs w:val="20"/>
                <w:color w:val="auto"/>
              </w:rPr>
            </w:pPr>
            <w:r>
              <w:rPr>
                <w:rFonts w:ascii="Arial" w:cs="Arial" w:eastAsia="Arial" w:hAnsi="Arial"/>
                <w:sz w:val="20"/>
                <w:szCs w:val="20"/>
                <w:color w:val="auto"/>
                <w:w w:val="94"/>
              </w:rPr>
              <w:t>Director</w:t>
            </w:r>
          </w:p>
        </w:tc>
        <w:tc>
          <w:tcPr>
            <w:tcW w:w="1780" w:type="dxa"/>
            <w:vAlign w:val="bottom"/>
            <w:vMerge w:val="restart"/>
          </w:tcPr>
          <w:p>
            <w:pPr>
              <w:jc w:val="center"/>
              <w:ind w:left="241"/>
              <w:spacing w:after="0"/>
              <w:rPr>
                <w:sz w:val="20"/>
                <w:szCs w:val="20"/>
                <w:color w:val="auto"/>
              </w:rPr>
            </w:pPr>
            <w:r>
              <w:rPr>
                <w:rFonts w:ascii="Arial" w:cs="Arial" w:eastAsia="Arial" w:hAnsi="Arial"/>
                <w:sz w:val="20"/>
                <w:szCs w:val="20"/>
                <w:color w:val="auto"/>
                <w:w w:val="88"/>
              </w:rPr>
              <w:t>February 26, 2025</w:t>
            </w:r>
          </w:p>
        </w:tc>
        <w:tc>
          <w:tcPr>
            <w:tcW w:w="0" w:type="dxa"/>
            <w:vAlign w:val="bottom"/>
          </w:tcPr>
          <w:p>
            <w:pPr>
              <w:spacing w:after="0"/>
              <w:rPr>
                <w:sz w:val="1"/>
                <w:szCs w:val="1"/>
                <w:color w:val="auto"/>
              </w:rPr>
            </w:pPr>
          </w:p>
        </w:tc>
      </w:tr>
      <w:tr>
        <w:trPr>
          <w:trHeight w:val="119"/>
        </w:trPr>
        <w:tc>
          <w:tcPr>
            <w:tcW w:w="3260" w:type="dxa"/>
            <w:vAlign w:val="bottom"/>
            <w:gridSpan w:val="2"/>
            <w:vMerge w:val="restart"/>
          </w:tcPr>
          <w:p>
            <w:pPr>
              <w:jc w:val="center"/>
              <w:ind w:right="80"/>
              <w:spacing w:after="0"/>
              <w:rPr>
                <w:sz w:val="20"/>
                <w:szCs w:val="20"/>
                <w:color w:val="auto"/>
              </w:rPr>
            </w:pPr>
            <w:r>
              <w:rPr>
                <w:rFonts w:ascii="Arial" w:cs="Arial" w:eastAsia="Arial" w:hAnsi="Arial"/>
                <w:sz w:val="20"/>
                <w:szCs w:val="20"/>
                <w:color w:val="auto"/>
                <w:w w:val="90"/>
              </w:rPr>
              <w:t>Matthew Carter, Jr.</w:t>
            </w:r>
          </w:p>
        </w:tc>
        <w:tc>
          <w:tcPr>
            <w:tcW w:w="482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60" w:type="dxa"/>
            <w:vAlign w:val="bottom"/>
            <w:gridSpan w:val="2"/>
            <w:vMerge w:val="continue"/>
          </w:tcPr>
          <w:p>
            <w:pPr>
              <w:spacing w:after="0"/>
              <w:rPr>
                <w:sz w:val="12"/>
                <w:szCs w:val="12"/>
                <w:color w:val="auto"/>
              </w:rPr>
            </w:pPr>
          </w:p>
        </w:tc>
        <w:tc>
          <w:tcPr>
            <w:tcW w:w="4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5"/>
              </w:rPr>
              <w:t>/s/ HEATHER COX</w:t>
            </w:r>
          </w:p>
        </w:tc>
        <w:tc>
          <w:tcPr>
            <w:tcW w:w="60" w:type="dxa"/>
            <w:vAlign w:val="bottom"/>
          </w:tcPr>
          <w:p>
            <w:pPr>
              <w:spacing w:after="0"/>
              <w:rPr>
                <w:sz w:val="24"/>
                <w:szCs w:val="24"/>
                <w:color w:val="auto"/>
              </w:rPr>
            </w:pPr>
          </w:p>
        </w:tc>
        <w:tc>
          <w:tcPr>
            <w:tcW w:w="4820" w:type="dxa"/>
            <w:vAlign w:val="bottom"/>
            <w:vMerge w:val="restart"/>
          </w:tcPr>
          <w:p>
            <w:pPr>
              <w:jc w:val="center"/>
              <w:spacing w:after="0"/>
              <w:rPr>
                <w:sz w:val="20"/>
                <w:szCs w:val="20"/>
                <w:color w:val="auto"/>
              </w:rPr>
            </w:pPr>
            <w:r>
              <w:rPr>
                <w:rFonts w:ascii="Arial" w:cs="Arial" w:eastAsia="Arial" w:hAnsi="Arial"/>
                <w:sz w:val="20"/>
                <w:szCs w:val="20"/>
                <w:color w:val="auto"/>
                <w:w w:val="94"/>
              </w:rPr>
              <w:t>Director</w:t>
            </w:r>
          </w:p>
        </w:tc>
        <w:tc>
          <w:tcPr>
            <w:tcW w:w="1780" w:type="dxa"/>
            <w:vAlign w:val="bottom"/>
            <w:vMerge w:val="restart"/>
          </w:tcPr>
          <w:p>
            <w:pPr>
              <w:jc w:val="center"/>
              <w:ind w:left="241"/>
              <w:spacing w:after="0"/>
              <w:rPr>
                <w:sz w:val="20"/>
                <w:szCs w:val="20"/>
                <w:color w:val="auto"/>
              </w:rPr>
            </w:pPr>
            <w:r>
              <w:rPr>
                <w:rFonts w:ascii="Arial" w:cs="Arial" w:eastAsia="Arial" w:hAnsi="Arial"/>
                <w:sz w:val="20"/>
                <w:szCs w:val="20"/>
                <w:color w:val="auto"/>
                <w:w w:val="88"/>
              </w:rPr>
              <w:t>February 26, 2025</w:t>
            </w:r>
          </w:p>
        </w:tc>
        <w:tc>
          <w:tcPr>
            <w:tcW w:w="0" w:type="dxa"/>
            <w:vAlign w:val="bottom"/>
          </w:tcPr>
          <w:p>
            <w:pPr>
              <w:spacing w:after="0"/>
              <w:rPr>
                <w:sz w:val="1"/>
                <w:szCs w:val="1"/>
                <w:color w:val="auto"/>
              </w:rPr>
            </w:pPr>
          </w:p>
        </w:tc>
      </w:tr>
      <w:tr>
        <w:trPr>
          <w:trHeight w:val="119"/>
        </w:trPr>
        <w:tc>
          <w:tcPr>
            <w:tcW w:w="3260" w:type="dxa"/>
            <w:vAlign w:val="bottom"/>
            <w:gridSpan w:val="2"/>
            <w:vMerge w:val="restart"/>
          </w:tcPr>
          <w:p>
            <w:pPr>
              <w:jc w:val="center"/>
              <w:ind w:right="60"/>
              <w:spacing w:after="0"/>
              <w:rPr>
                <w:sz w:val="20"/>
                <w:szCs w:val="20"/>
                <w:color w:val="auto"/>
              </w:rPr>
            </w:pPr>
            <w:r>
              <w:rPr>
                <w:rFonts w:ascii="Arial" w:cs="Arial" w:eastAsia="Arial" w:hAnsi="Arial"/>
                <w:sz w:val="20"/>
                <w:szCs w:val="20"/>
                <w:color w:val="auto"/>
                <w:w w:val="89"/>
              </w:rPr>
              <w:t>Heather Cox</w:t>
            </w:r>
          </w:p>
        </w:tc>
        <w:tc>
          <w:tcPr>
            <w:tcW w:w="482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60" w:type="dxa"/>
            <w:vAlign w:val="bottom"/>
            <w:gridSpan w:val="2"/>
            <w:vMerge w:val="continue"/>
          </w:tcPr>
          <w:p>
            <w:pPr>
              <w:spacing w:after="0"/>
              <w:rPr>
                <w:sz w:val="12"/>
                <w:szCs w:val="12"/>
                <w:color w:val="auto"/>
              </w:rPr>
            </w:pPr>
          </w:p>
        </w:tc>
        <w:tc>
          <w:tcPr>
            <w:tcW w:w="4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5"/>
              </w:rPr>
              <w:t>/s/ ELISABETH B. DONOHUE</w:t>
            </w:r>
          </w:p>
        </w:tc>
        <w:tc>
          <w:tcPr>
            <w:tcW w:w="60" w:type="dxa"/>
            <w:vAlign w:val="bottom"/>
          </w:tcPr>
          <w:p>
            <w:pPr>
              <w:spacing w:after="0"/>
              <w:rPr>
                <w:sz w:val="24"/>
                <w:szCs w:val="24"/>
                <w:color w:val="auto"/>
              </w:rPr>
            </w:pPr>
          </w:p>
        </w:tc>
        <w:tc>
          <w:tcPr>
            <w:tcW w:w="4820" w:type="dxa"/>
            <w:vAlign w:val="bottom"/>
            <w:vMerge w:val="restart"/>
          </w:tcPr>
          <w:p>
            <w:pPr>
              <w:jc w:val="center"/>
              <w:spacing w:after="0"/>
              <w:rPr>
                <w:sz w:val="20"/>
                <w:szCs w:val="20"/>
                <w:color w:val="auto"/>
              </w:rPr>
            </w:pPr>
            <w:r>
              <w:rPr>
                <w:rFonts w:ascii="Arial" w:cs="Arial" w:eastAsia="Arial" w:hAnsi="Arial"/>
                <w:sz w:val="20"/>
                <w:szCs w:val="20"/>
                <w:color w:val="auto"/>
                <w:w w:val="94"/>
              </w:rPr>
              <w:t>Director</w:t>
            </w:r>
          </w:p>
        </w:tc>
        <w:tc>
          <w:tcPr>
            <w:tcW w:w="1780" w:type="dxa"/>
            <w:vAlign w:val="bottom"/>
            <w:vMerge w:val="restart"/>
          </w:tcPr>
          <w:p>
            <w:pPr>
              <w:jc w:val="center"/>
              <w:ind w:left="241"/>
              <w:spacing w:after="0"/>
              <w:rPr>
                <w:sz w:val="20"/>
                <w:szCs w:val="20"/>
                <w:color w:val="auto"/>
              </w:rPr>
            </w:pPr>
            <w:r>
              <w:rPr>
                <w:rFonts w:ascii="Arial" w:cs="Arial" w:eastAsia="Arial" w:hAnsi="Arial"/>
                <w:sz w:val="20"/>
                <w:szCs w:val="20"/>
                <w:color w:val="auto"/>
                <w:w w:val="88"/>
              </w:rPr>
              <w:t>February 26, 2025</w:t>
            </w:r>
          </w:p>
        </w:tc>
        <w:tc>
          <w:tcPr>
            <w:tcW w:w="0" w:type="dxa"/>
            <w:vAlign w:val="bottom"/>
          </w:tcPr>
          <w:p>
            <w:pPr>
              <w:spacing w:after="0"/>
              <w:rPr>
                <w:sz w:val="1"/>
                <w:szCs w:val="1"/>
                <w:color w:val="auto"/>
              </w:rPr>
            </w:pPr>
          </w:p>
        </w:tc>
      </w:tr>
      <w:tr>
        <w:trPr>
          <w:trHeight w:val="119"/>
        </w:trPr>
        <w:tc>
          <w:tcPr>
            <w:tcW w:w="3260" w:type="dxa"/>
            <w:vAlign w:val="bottom"/>
            <w:gridSpan w:val="2"/>
            <w:vMerge w:val="restart"/>
          </w:tcPr>
          <w:p>
            <w:pPr>
              <w:jc w:val="center"/>
              <w:ind w:right="80"/>
              <w:spacing w:after="0"/>
              <w:rPr>
                <w:sz w:val="20"/>
                <w:szCs w:val="20"/>
                <w:color w:val="auto"/>
              </w:rPr>
            </w:pPr>
            <w:r>
              <w:rPr>
                <w:rFonts w:ascii="Arial" w:cs="Arial" w:eastAsia="Arial" w:hAnsi="Arial"/>
                <w:sz w:val="20"/>
                <w:szCs w:val="20"/>
                <w:color w:val="auto"/>
                <w:w w:val="89"/>
              </w:rPr>
              <w:t>Elisabeth B. Donohue</w:t>
            </w:r>
          </w:p>
        </w:tc>
        <w:tc>
          <w:tcPr>
            <w:tcW w:w="482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60" w:type="dxa"/>
            <w:vAlign w:val="bottom"/>
            <w:gridSpan w:val="2"/>
            <w:vMerge w:val="continue"/>
          </w:tcPr>
          <w:p>
            <w:pPr>
              <w:spacing w:after="0"/>
              <w:rPr>
                <w:sz w:val="12"/>
                <w:szCs w:val="12"/>
                <w:color w:val="auto"/>
              </w:rPr>
            </w:pPr>
          </w:p>
        </w:tc>
        <w:tc>
          <w:tcPr>
            <w:tcW w:w="4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MARWAN FAWAZ</w:t>
            </w:r>
          </w:p>
        </w:tc>
        <w:tc>
          <w:tcPr>
            <w:tcW w:w="60" w:type="dxa"/>
            <w:vAlign w:val="bottom"/>
          </w:tcPr>
          <w:p>
            <w:pPr>
              <w:spacing w:after="0"/>
              <w:rPr>
                <w:sz w:val="24"/>
                <w:szCs w:val="24"/>
                <w:color w:val="auto"/>
              </w:rPr>
            </w:pPr>
          </w:p>
        </w:tc>
        <w:tc>
          <w:tcPr>
            <w:tcW w:w="4820" w:type="dxa"/>
            <w:vAlign w:val="bottom"/>
            <w:vMerge w:val="restart"/>
          </w:tcPr>
          <w:p>
            <w:pPr>
              <w:jc w:val="center"/>
              <w:spacing w:after="0"/>
              <w:rPr>
                <w:sz w:val="20"/>
                <w:szCs w:val="20"/>
                <w:color w:val="auto"/>
              </w:rPr>
            </w:pPr>
            <w:r>
              <w:rPr>
                <w:rFonts w:ascii="Arial" w:cs="Arial" w:eastAsia="Arial" w:hAnsi="Arial"/>
                <w:sz w:val="20"/>
                <w:szCs w:val="20"/>
                <w:color w:val="auto"/>
                <w:w w:val="94"/>
              </w:rPr>
              <w:t>Director</w:t>
            </w:r>
          </w:p>
        </w:tc>
        <w:tc>
          <w:tcPr>
            <w:tcW w:w="1780" w:type="dxa"/>
            <w:vAlign w:val="bottom"/>
            <w:vMerge w:val="restart"/>
          </w:tcPr>
          <w:p>
            <w:pPr>
              <w:jc w:val="center"/>
              <w:ind w:left="241"/>
              <w:spacing w:after="0"/>
              <w:rPr>
                <w:sz w:val="20"/>
                <w:szCs w:val="20"/>
                <w:color w:val="auto"/>
              </w:rPr>
            </w:pPr>
            <w:r>
              <w:rPr>
                <w:rFonts w:ascii="Arial" w:cs="Arial" w:eastAsia="Arial" w:hAnsi="Arial"/>
                <w:sz w:val="20"/>
                <w:szCs w:val="20"/>
                <w:color w:val="auto"/>
                <w:w w:val="88"/>
              </w:rPr>
              <w:t>February 26, 2025</w:t>
            </w:r>
          </w:p>
        </w:tc>
        <w:tc>
          <w:tcPr>
            <w:tcW w:w="0" w:type="dxa"/>
            <w:vAlign w:val="bottom"/>
          </w:tcPr>
          <w:p>
            <w:pPr>
              <w:spacing w:after="0"/>
              <w:rPr>
                <w:sz w:val="1"/>
                <w:szCs w:val="1"/>
                <w:color w:val="auto"/>
              </w:rPr>
            </w:pPr>
          </w:p>
        </w:tc>
      </w:tr>
      <w:tr>
        <w:trPr>
          <w:trHeight w:val="119"/>
        </w:trPr>
        <w:tc>
          <w:tcPr>
            <w:tcW w:w="3260" w:type="dxa"/>
            <w:vAlign w:val="bottom"/>
            <w:gridSpan w:val="2"/>
            <w:vMerge w:val="restart"/>
          </w:tcPr>
          <w:p>
            <w:pPr>
              <w:jc w:val="center"/>
              <w:ind w:right="60"/>
              <w:spacing w:after="0"/>
              <w:rPr>
                <w:sz w:val="20"/>
                <w:szCs w:val="20"/>
                <w:color w:val="auto"/>
              </w:rPr>
            </w:pPr>
            <w:r>
              <w:rPr>
                <w:rFonts w:ascii="Arial" w:cs="Arial" w:eastAsia="Arial" w:hAnsi="Arial"/>
                <w:sz w:val="20"/>
                <w:szCs w:val="20"/>
                <w:color w:val="auto"/>
                <w:w w:val="91"/>
              </w:rPr>
              <w:t>Marwan Fawaz</w:t>
            </w:r>
          </w:p>
        </w:tc>
        <w:tc>
          <w:tcPr>
            <w:tcW w:w="482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60" w:type="dxa"/>
            <w:vAlign w:val="bottom"/>
            <w:gridSpan w:val="2"/>
            <w:vMerge w:val="continue"/>
          </w:tcPr>
          <w:p>
            <w:pPr>
              <w:spacing w:after="0"/>
              <w:rPr>
                <w:sz w:val="12"/>
                <w:szCs w:val="12"/>
                <w:color w:val="auto"/>
              </w:rPr>
            </w:pPr>
          </w:p>
        </w:tc>
        <w:tc>
          <w:tcPr>
            <w:tcW w:w="4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KEVIN HOWELL</w:t>
            </w:r>
          </w:p>
        </w:tc>
        <w:tc>
          <w:tcPr>
            <w:tcW w:w="60" w:type="dxa"/>
            <w:vAlign w:val="bottom"/>
          </w:tcPr>
          <w:p>
            <w:pPr>
              <w:spacing w:after="0"/>
              <w:rPr>
                <w:sz w:val="24"/>
                <w:szCs w:val="24"/>
                <w:color w:val="auto"/>
              </w:rPr>
            </w:pPr>
          </w:p>
        </w:tc>
        <w:tc>
          <w:tcPr>
            <w:tcW w:w="4820" w:type="dxa"/>
            <w:vAlign w:val="bottom"/>
            <w:vMerge w:val="restart"/>
          </w:tcPr>
          <w:p>
            <w:pPr>
              <w:jc w:val="center"/>
              <w:spacing w:after="0"/>
              <w:rPr>
                <w:sz w:val="20"/>
                <w:szCs w:val="20"/>
                <w:color w:val="auto"/>
              </w:rPr>
            </w:pPr>
            <w:r>
              <w:rPr>
                <w:rFonts w:ascii="Arial" w:cs="Arial" w:eastAsia="Arial" w:hAnsi="Arial"/>
                <w:sz w:val="20"/>
                <w:szCs w:val="20"/>
                <w:color w:val="auto"/>
                <w:w w:val="94"/>
              </w:rPr>
              <w:t>Director</w:t>
            </w:r>
          </w:p>
        </w:tc>
        <w:tc>
          <w:tcPr>
            <w:tcW w:w="1780" w:type="dxa"/>
            <w:vAlign w:val="bottom"/>
            <w:vMerge w:val="restart"/>
          </w:tcPr>
          <w:p>
            <w:pPr>
              <w:jc w:val="center"/>
              <w:ind w:left="241"/>
              <w:spacing w:after="0"/>
              <w:rPr>
                <w:sz w:val="20"/>
                <w:szCs w:val="20"/>
                <w:color w:val="auto"/>
              </w:rPr>
            </w:pPr>
            <w:r>
              <w:rPr>
                <w:rFonts w:ascii="Arial" w:cs="Arial" w:eastAsia="Arial" w:hAnsi="Arial"/>
                <w:sz w:val="20"/>
                <w:szCs w:val="20"/>
                <w:color w:val="auto"/>
                <w:w w:val="88"/>
              </w:rPr>
              <w:t>February 26, 2025</w:t>
            </w:r>
          </w:p>
        </w:tc>
        <w:tc>
          <w:tcPr>
            <w:tcW w:w="0" w:type="dxa"/>
            <w:vAlign w:val="bottom"/>
          </w:tcPr>
          <w:p>
            <w:pPr>
              <w:spacing w:after="0"/>
              <w:rPr>
                <w:sz w:val="1"/>
                <w:szCs w:val="1"/>
                <w:color w:val="auto"/>
              </w:rPr>
            </w:pPr>
          </w:p>
        </w:tc>
      </w:tr>
      <w:tr>
        <w:trPr>
          <w:trHeight w:val="119"/>
        </w:trPr>
        <w:tc>
          <w:tcPr>
            <w:tcW w:w="3260" w:type="dxa"/>
            <w:vAlign w:val="bottom"/>
            <w:gridSpan w:val="2"/>
            <w:vMerge w:val="restart"/>
          </w:tcPr>
          <w:p>
            <w:pPr>
              <w:jc w:val="center"/>
              <w:ind w:right="60"/>
              <w:spacing w:after="0"/>
              <w:rPr>
                <w:sz w:val="20"/>
                <w:szCs w:val="20"/>
                <w:color w:val="auto"/>
              </w:rPr>
            </w:pPr>
            <w:r>
              <w:rPr>
                <w:rFonts w:ascii="Arial" w:cs="Arial" w:eastAsia="Arial" w:hAnsi="Arial"/>
                <w:sz w:val="20"/>
                <w:szCs w:val="20"/>
                <w:color w:val="auto"/>
                <w:w w:val="96"/>
              </w:rPr>
              <w:t>Kevin Howell</w:t>
            </w:r>
          </w:p>
        </w:tc>
        <w:tc>
          <w:tcPr>
            <w:tcW w:w="482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60" w:type="dxa"/>
            <w:vAlign w:val="bottom"/>
            <w:gridSpan w:val="2"/>
            <w:vMerge w:val="continue"/>
          </w:tcPr>
          <w:p>
            <w:pPr>
              <w:spacing w:after="0"/>
              <w:rPr>
                <w:sz w:val="12"/>
                <w:szCs w:val="12"/>
                <w:color w:val="auto"/>
              </w:rPr>
            </w:pPr>
          </w:p>
        </w:tc>
        <w:tc>
          <w:tcPr>
            <w:tcW w:w="4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ALEX POURBAIX</w:t>
            </w:r>
          </w:p>
        </w:tc>
        <w:tc>
          <w:tcPr>
            <w:tcW w:w="60" w:type="dxa"/>
            <w:vAlign w:val="bottom"/>
          </w:tcPr>
          <w:p>
            <w:pPr>
              <w:spacing w:after="0"/>
              <w:rPr>
                <w:sz w:val="24"/>
                <w:szCs w:val="24"/>
                <w:color w:val="auto"/>
              </w:rPr>
            </w:pPr>
          </w:p>
        </w:tc>
        <w:tc>
          <w:tcPr>
            <w:tcW w:w="4820" w:type="dxa"/>
            <w:vAlign w:val="bottom"/>
            <w:vMerge w:val="restart"/>
          </w:tcPr>
          <w:p>
            <w:pPr>
              <w:jc w:val="center"/>
              <w:spacing w:after="0"/>
              <w:rPr>
                <w:sz w:val="20"/>
                <w:szCs w:val="20"/>
                <w:color w:val="auto"/>
              </w:rPr>
            </w:pPr>
            <w:r>
              <w:rPr>
                <w:rFonts w:ascii="Arial" w:cs="Arial" w:eastAsia="Arial" w:hAnsi="Arial"/>
                <w:sz w:val="20"/>
                <w:szCs w:val="20"/>
                <w:color w:val="auto"/>
                <w:w w:val="94"/>
              </w:rPr>
              <w:t>Director</w:t>
            </w:r>
          </w:p>
        </w:tc>
        <w:tc>
          <w:tcPr>
            <w:tcW w:w="1780" w:type="dxa"/>
            <w:vAlign w:val="bottom"/>
            <w:vMerge w:val="restart"/>
          </w:tcPr>
          <w:p>
            <w:pPr>
              <w:jc w:val="center"/>
              <w:ind w:left="241"/>
              <w:spacing w:after="0"/>
              <w:rPr>
                <w:sz w:val="20"/>
                <w:szCs w:val="20"/>
                <w:color w:val="auto"/>
              </w:rPr>
            </w:pPr>
            <w:r>
              <w:rPr>
                <w:rFonts w:ascii="Arial" w:cs="Arial" w:eastAsia="Arial" w:hAnsi="Arial"/>
                <w:sz w:val="20"/>
                <w:szCs w:val="20"/>
                <w:color w:val="auto"/>
                <w:w w:val="88"/>
              </w:rPr>
              <w:t>February 26, 2025</w:t>
            </w:r>
          </w:p>
        </w:tc>
        <w:tc>
          <w:tcPr>
            <w:tcW w:w="0" w:type="dxa"/>
            <w:vAlign w:val="bottom"/>
          </w:tcPr>
          <w:p>
            <w:pPr>
              <w:spacing w:after="0"/>
              <w:rPr>
                <w:sz w:val="1"/>
                <w:szCs w:val="1"/>
                <w:color w:val="auto"/>
              </w:rPr>
            </w:pPr>
          </w:p>
        </w:tc>
      </w:tr>
      <w:tr>
        <w:trPr>
          <w:trHeight w:val="119"/>
        </w:trPr>
        <w:tc>
          <w:tcPr>
            <w:tcW w:w="3260" w:type="dxa"/>
            <w:vAlign w:val="bottom"/>
            <w:gridSpan w:val="2"/>
            <w:vMerge w:val="restart"/>
          </w:tcPr>
          <w:p>
            <w:pPr>
              <w:jc w:val="center"/>
              <w:ind w:right="60"/>
              <w:spacing w:after="0"/>
              <w:rPr>
                <w:sz w:val="20"/>
                <w:szCs w:val="20"/>
                <w:color w:val="auto"/>
              </w:rPr>
            </w:pPr>
            <w:r>
              <w:rPr>
                <w:rFonts w:ascii="Arial" w:cs="Arial" w:eastAsia="Arial" w:hAnsi="Arial"/>
                <w:sz w:val="20"/>
                <w:szCs w:val="20"/>
                <w:color w:val="auto"/>
                <w:w w:val="93"/>
              </w:rPr>
              <w:t>Alex Pourbaix</w:t>
            </w:r>
          </w:p>
        </w:tc>
        <w:tc>
          <w:tcPr>
            <w:tcW w:w="482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60" w:type="dxa"/>
            <w:vAlign w:val="bottom"/>
            <w:gridSpan w:val="2"/>
            <w:vMerge w:val="continue"/>
          </w:tcPr>
          <w:p>
            <w:pPr>
              <w:spacing w:after="0"/>
              <w:rPr>
                <w:sz w:val="12"/>
                <w:szCs w:val="12"/>
                <w:color w:val="auto"/>
              </w:rPr>
            </w:pPr>
          </w:p>
        </w:tc>
        <w:tc>
          <w:tcPr>
            <w:tcW w:w="4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6"/>
              </w:rPr>
              <w:t>/s/ ALEXANDRA PRUNER</w:t>
            </w:r>
          </w:p>
        </w:tc>
        <w:tc>
          <w:tcPr>
            <w:tcW w:w="60" w:type="dxa"/>
            <w:vAlign w:val="bottom"/>
          </w:tcPr>
          <w:p>
            <w:pPr>
              <w:spacing w:after="0"/>
              <w:rPr>
                <w:sz w:val="24"/>
                <w:szCs w:val="24"/>
                <w:color w:val="auto"/>
              </w:rPr>
            </w:pPr>
          </w:p>
        </w:tc>
        <w:tc>
          <w:tcPr>
            <w:tcW w:w="4820" w:type="dxa"/>
            <w:vAlign w:val="bottom"/>
            <w:vMerge w:val="restart"/>
          </w:tcPr>
          <w:p>
            <w:pPr>
              <w:jc w:val="center"/>
              <w:spacing w:after="0"/>
              <w:rPr>
                <w:sz w:val="20"/>
                <w:szCs w:val="20"/>
                <w:color w:val="auto"/>
              </w:rPr>
            </w:pPr>
            <w:r>
              <w:rPr>
                <w:rFonts w:ascii="Arial" w:cs="Arial" w:eastAsia="Arial" w:hAnsi="Arial"/>
                <w:sz w:val="20"/>
                <w:szCs w:val="20"/>
                <w:color w:val="auto"/>
                <w:w w:val="94"/>
              </w:rPr>
              <w:t>Director</w:t>
            </w:r>
          </w:p>
        </w:tc>
        <w:tc>
          <w:tcPr>
            <w:tcW w:w="1780" w:type="dxa"/>
            <w:vAlign w:val="bottom"/>
            <w:vMerge w:val="restart"/>
          </w:tcPr>
          <w:p>
            <w:pPr>
              <w:jc w:val="center"/>
              <w:ind w:left="241"/>
              <w:spacing w:after="0"/>
              <w:rPr>
                <w:sz w:val="20"/>
                <w:szCs w:val="20"/>
                <w:color w:val="auto"/>
              </w:rPr>
            </w:pPr>
            <w:r>
              <w:rPr>
                <w:rFonts w:ascii="Arial" w:cs="Arial" w:eastAsia="Arial" w:hAnsi="Arial"/>
                <w:sz w:val="20"/>
                <w:szCs w:val="20"/>
                <w:color w:val="auto"/>
                <w:w w:val="88"/>
              </w:rPr>
              <w:t>February 26, 2025</w:t>
            </w:r>
          </w:p>
        </w:tc>
        <w:tc>
          <w:tcPr>
            <w:tcW w:w="0" w:type="dxa"/>
            <w:vAlign w:val="bottom"/>
          </w:tcPr>
          <w:p>
            <w:pPr>
              <w:spacing w:after="0"/>
              <w:rPr>
                <w:sz w:val="1"/>
                <w:szCs w:val="1"/>
                <w:color w:val="auto"/>
              </w:rPr>
            </w:pPr>
          </w:p>
        </w:tc>
      </w:tr>
      <w:tr>
        <w:trPr>
          <w:trHeight w:val="119"/>
        </w:trPr>
        <w:tc>
          <w:tcPr>
            <w:tcW w:w="3260" w:type="dxa"/>
            <w:vAlign w:val="bottom"/>
            <w:gridSpan w:val="2"/>
            <w:vMerge w:val="restart"/>
          </w:tcPr>
          <w:p>
            <w:pPr>
              <w:jc w:val="center"/>
              <w:ind w:right="60"/>
              <w:spacing w:after="0"/>
              <w:rPr>
                <w:sz w:val="20"/>
                <w:szCs w:val="20"/>
                <w:color w:val="auto"/>
              </w:rPr>
            </w:pPr>
            <w:r>
              <w:rPr>
                <w:rFonts w:ascii="Arial" w:cs="Arial" w:eastAsia="Arial" w:hAnsi="Arial"/>
                <w:sz w:val="20"/>
                <w:szCs w:val="20"/>
                <w:color w:val="auto"/>
                <w:w w:val="89"/>
              </w:rPr>
              <w:t>Alexandra Pruner</w:t>
            </w:r>
          </w:p>
        </w:tc>
        <w:tc>
          <w:tcPr>
            <w:tcW w:w="482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60" w:type="dxa"/>
            <w:vAlign w:val="bottom"/>
            <w:gridSpan w:val="2"/>
            <w:vMerge w:val="continue"/>
          </w:tcPr>
          <w:p>
            <w:pPr>
              <w:spacing w:after="0"/>
              <w:rPr>
                <w:sz w:val="12"/>
                <w:szCs w:val="12"/>
                <w:color w:val="auto"/>
              </w:rPr>
            </w:pPr>
          </w:p>
        </w:tc>
        <w:tc>
          <w:tcPr>
            <w:tcW w:w="4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/s/ MARCIE C. ZLOTNIK</w:t>
            </w:r>
          </w:p>
        </w:tc>
        <w:tc>
          <w:tcPr>
            <w:tcW w:w="60" w:type="dxa"/>
            <w:vAlign w:val="bottom"/>
          </w:tcPr>
          <w:p>
            <w:pPr>
              <w:spacing w:after="0"/>
              <w:rPr>
                <w:sz w:val="24"/>
                <w:szCs w:val="24"/>
                <w:color w:val="auto"/>
              </w:rPr>
            </w:pPr>
          </w:p>
        </w:tc>
        <w:tc>
          <w:tcPr>
            <w:tcW w:w="4820" w:type="dxa"/>
            <w:vAlign w:val="bottom"/>
            <w:vMerge w:val="restart"/>
          </w:tcPr>
          <w:p>
            <w:pPr>
              <w:jc w:val="center"/>
              <w:spacing w:after="0"/>
              <w:rPr>
                <w:sz w:val="20"/>
                <w:szCs w:val="20"/>
                <w:color w:val="auto"/>
              </w:rPr>
            </w:pPr>
            <w:r>
              <w:rPr>
                <w:rFonts w:ascii="Arial" w:cs="Arial" w:eastAsia="Arial" w:hAnsi="Arial"/>
                <w:sz w:val="20"/>
                <w:szCs w:val="20"/>
                <w:color w:val="auto"/>
                <w:w w:val="94"/>
              </w:rPr>
              <w:t>Director</w:t>
            </w:r>
          </w:p>
        </w:tc>
        <w:tc>
          <w:tcPr>
            <w:tcW w:w="1780" w:type="dxa"/>
            <w:vAlign w:val="bottom"/>
            <w:vMerge w:val="restart"/>
          </w:tcPr>
          <w:p>
            <w:pPr>
              <w:jc w:val="center"/>
              <w:ind w:left="241"/>
              <w:spacing w:after="0"/>
              <w:rPr>
                <w:sz w:val="20"/>
                <w:szCs w:val="20"/>
                <w:color w:val="auto"/>
              </w:rPr>
            </w:pPr>
            <w:r>
              <w:rPr>
                <w:rFonts w:ascii="Arial" w:cs="Arial" w:eastAsia="Arial" w:hAnsi="Arial"/>
                <w:sz w:val="20"/>
                <w:szCs w:val="20"/>
                <w:color w:val="auto"/>
                <w:w w:val="88"/>
              </w:rPr>
              <w:t>February 26, 2025</w:t>
            </w:r>
          </w:p>
        </w:tc>
        <w:tc>
          <w:tcPr>
            <w:tcW w:w="0" w:type="dxa"/>
            <w:vAlign w:val="bottom"/>
          </w:tcPr>
          <w:p>
            <w:pPr>
              <w:spacing w:after="0"/>
              <w:rPr>
                <w:sz w:val="1"/>
                <w:szCs w:val="1"/>
                <w:color w:val="auto"/>
              </w:rPr>
            </w:pPr>
          </w:p>
        </w:tc>
      </w:tr>
      <w:tr>
        <w:trPr>
          <w:trHeight w:val="119"/>
        </w:trPr>
        <w:tc>
          <w:tcPr>
            <w:tcW w:w="3260" w:type="dxa"/>
            <w:vAlign w:val="bottom"/>
            <w:gridSpan w:val="2"/>
            <w:vMerge w:val="restart"/>
          </w:tcPr>
          <w:p>
            <w:pPr>
              <w:jc w:val="center"/>
              <w:ind w:right="80"/>
              <w:spacing w:after="0"/>
              <w:rPr>
                <w:sz w:val="20"/>
                <w:szCs w:val="20"/>
                <w:color w:val="auto"/>
              </w:rPr>
            </w:pPr>
            <w:r>
              <w:rPr>
                <w:rFonts w:ascii="Arial" w:cs="Arial" w:eastAsia="Arial" w:hAnsi="Arial"/>
                <w:sz w:val="20"/>
                <w:szCs w:val="20"/>
                <w:color w:val="auto"/>
                <w:w w:val="94"/>
              </w:rPr>
              <w:t>Marcie C. Zlotnik</w:t>
            </w:r>
          </w:p>
        </w:tc>
        <w:tc>
          <w:tcPr>
            <w:tcW w:w="482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60" w:type="dxa"/>
            <w:vAlign w:val="bottom"/>
            <w:gridSpan w:val="2"/>
            <w:vMerge w:val="continue"/>
          </w:tcPr>
          <w:p>
            <w:pPr>
              <w:spacing w:after="0"/>
              <w:rPr>
                <w:sz w:val="12"/>
                <w:szCs w:val="12"/>
                <w:color w:val="auto"/>
              </w:rPr>
            </w:pPr>
          </w:p>
        </w:tc>
        <w:tc>
          <w:tcPr>
            <w:tcW w:w="4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160"/>
          </w:cols>
          <w:pgMar w:left="860" w:top="5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171</w:t>
      </w:r>
    </w:p>
    <w:p>
      <w:pPr>
        <w:sectPr>
          <w:pgSz w:w="11880" w:h="15480" w:orient="portrait"/>
          <w:cols w:equalWidth="0" w:num="1">
            <w:col w:w="10160"/>
          </w:cols>
          <w:pgMar w:left="860" w:top="505" w:right="860" w:bottom="0" w:gutter="0" w:footer="0" w:header="0"/>
          <w:type w:val="continuous"/>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74" w:name="page175"/>
    <w:bookmarkEnd w:id="1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720"/>
        <w:spacing w:after="0"/>
        <w:rPr>
          <w:sz w:val="20"/>
          <w:szCs w:val="20"/>
          <w:color w:val="auto"/>
        </w:rPr>
      </w:pPr>
      <w:r>
        <w:rPr>
          <w:rFonts w:ascii="Arial" w:cs="Arial" w:eastAsia="Arial" w:hAnsi="Arial"/>
          <w:sz w:val="18"/>
          <w:szCs w:val="18"/>
          <w:color w:val="00002E"/>
        </w:rPr>
        <w:t>NRG Energy</w:t>
      </w:r>
    </w:p>
    <w:p>
      <w:pPr>
        <w:spacing w:after="0" w:line="135" w:lineRule="exact"/>
        <w:rPr>
          <w:sz w:val="20"/>
          <w:szCs w:val="20"/>
          <w:color w:val="auto"/>
        </w:rPr>
      </w:pPr>
    </w:p>
    <w:p>
      <w:pPr>
        <w:ind w:left="7720"/>
        <w:spacing w:after="0"/>
        <w:rPr>
          <w:sz w:val="20"/>
          <w:szCs w:val="20"/>
          <w:color w:val="auto"/>
        </w:rPr>
      </w:pPr>
      <w:r>
        <w:rPr>
          <w:rFonts w:ascii="Arial" w:cs="Arial" w:eastAsia="Arial" w:hAnsi="Arial"/>
          <w:sz w:val="16"/>
          <w:szCs w:val="16"/>
          <w:color w:val="00002E"/>
        </w:rPr>
        <w:t>910 Louisiana St.</w:t>
      </w:r>
    </w:p>
    <w:p>
      <w:pPr>
        <w:spacing w:after="0" w:line="26" w:lineRule="exact"/>
        <w:rPr>
          <w:sz w:val="20"/>
          <w:szCs w:val="20"/>
          <w:color w:val="auto"/>
        </w:rPr>
      </w:pPr>
    </w:p>
    <w:p>
      <w:pPr>
        <w:ind w:left="7720"/>
        <w:spacing w:after="0"/>
        <w:rPr>
          <w:sz w:val="20"/>
          <w:szCs w:val="20"/>
          <w:color w:val="auto"/>
        </w:rPr>
      </w:pPr>
      <w:r>
        <w:rPr>
          <w:rFonts w:ascii="Arial" w:cs="Arial" w:eastAsia="Arial" w:hAnsi="Arial"/>
          <w:sz w:val="18"/>
          <w:szCs w:val="18"/>
          <w:color w:val="00002E"/>
        </w:rPr>
        <w:t>Houston, TX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676910</wp:posOffset>
                </wp:positionH>
                <wp:positionV relativeFrom="paragraph">
                  <wp:posOffset>-122555</wp:posOffset>
                </wp:positionV>
                <wp:extent cx="48895" cy="7874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895" cy="78740"/>
                        </a:xfrm>
                        <a:prstGeom prst="rect">
                          <a:avLst/>
                        </a:prstGeom>
                        <a:solidFill>
                          <a:srgbClr val="E9008A"/>
                        </a:solidFill>
                      </wps:spPr>
                      <wps:bodyPr/>
                    </wps:wsp>
                  </a:graphicData>
                </a:graphic>
              </wp:anchor>
            </w:drawing>
          </mc:Choice>
          <mc:Fallback>
            <w:pict>
              <v:rect id="Shape 193" o:spid="_x0000_s1218" style="position:absolute;margin-left:53.3pt;margin-top:-9.6499pt;width:3.85pt;height:6.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008A" stroked="f"/>
            </w:pict>
          </mc:Fallback>
        </mc:AlternateContent>
        <mc:AlternateContent>
          <mc:Choice Requires="wps">
            <w:drawing>
              <wp:anchor simplePos="0" relativeHeight="251657728" behindDoc="1" locked="0" layoutInCell="0" allowOverlap="1">
                <wp:simplePos x="0" y="0"/>
                <wp:positionH relativeFrom="column">
                  <wp:posOffset>591185</wp:posOffset>
                </wp:positionH>
                <wp:positionV relativeFrom="paragraph">
                  <wp:posOffset>-37465</wp:posOffset>
                </wp:positionV>
                <wp:extent cx="78740" cy="48895"/>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740" cy="48895"/>
                        </a:xfrm>
                        <a:prstGeom prst="rect">
                          <a:avLst/>
                        </a:prstGeom>
                        <a:solidFill>
                          <a:srgbClr val="E9008A"/>
                        </a:solidFill>
                      </wps:spPr>
                      <wps:bodyPr/>
                    </wps:wsp>
                  </a:graphicData>
                </a:graphic>
              </wp:anchor>
            </w:drawing>
          </mc:Choice>
          <mc:Fallback>
            <w:pict>
              <v:rect id="Shape 194" o:spid="_x0000_s1219" style="position:absolute;margin-left:46.55pt;margin-top:-2.9499pt;width:6.2pt;height: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008A" stroked="f"/>
            </w:pict>
          </mc:Fallback>
        </mc:AlternateContent>
        <mc:AlternateContent>
          <mc:Choice Requires="wps">
            <w:drawing>
              <wp:anchor simplePos="0" relativeHeight="251657728" behindDoc="1" locked="0" layoutInCell="0" allowOverlap="1">
                <wp:simplePos x="0" y="0"/>
                <wp:positionH relativeFrom="column">
                  <wp:posOffset>732790</wp:posOffset>
                </wp:positionH>
                <wp:positionV relativeFrom="paragraph">
                  <wp:posOffset>-37465</wp:posOffset>
                </wp:positionV>
                <wp:extent cx="78740" cy="48895"/>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740" cy="48895"/>
                        </a:xfrm>
                        <a:prstGeom prst="rect">
                          <a:avLst/>
                        </a:prstGeom>
                        <a:solidFill>
                          <a:srgbClr val="E9008A"/>
                        </a:solidFill>
                      </wps:spPr>
                      <wps:bodyPr/>
                    </wps:wsp>
                  </a:graphicData>
                </a:graphic>
              </wp:anchor>
            </w:drawing>
          </mc:Choice>
          <mc:Fallback>
            <w:pict>
              <v:rect id="Shape 195" o:spid="_x0000_s1220" style="position:absolute;margin-left:57.7pt;margin-top:-2.9499pt;width:6.2pt;height: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008A" stroked="f"/>
            </w:pict>
          </mc:Fallback>
        </mc:AlternateContent>
      </w:r>
    </w:p>
    <w:p>
      <w:pPr>
        <w:ind w:left="7720"/>
        <w:spacing w:after="0"/>
        <w:rPr>
          <w:sz w:val="20"/>
          <w:szCs w:val="20"/>
          <w:color w:val="auto"/>
        </w:rPr>
      </w:pPr>
      <w:r>
        <w:rPr>
          <w:rFonts w:ascii="Arial" w:cs="Arial" w:eastAsia="Arial" w:hAnsi="Arial"/>
          <w:sz w:val="18"/>
          <w:szCs w:val="18"/>
          <w:color w:val="00002E"/>
        </w:rPr>
        <w:t>77002-6929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817880</wp:posOffset>
                </wp:positionH>
                <wp:positionV relativeFrom="paragraph">
                  <wp:posOffset>-118110</wp:posOffset>
                </wp:positionV>
                <wp:extent cx="49530" cy="7874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530" cy="78740"/>
                        </a:xfrm>
                        <a:prstGeom prst="rect">
                          <a:avLst/>
                        </a:prstGeom>
                        <a:solidFill>
                          <a:srgbClr val="FED603"/>
                        </a:solidFill>
                      </wps:spPr>
                      <wps:bodyPr/>
                    </wps:wsp>
                  </a:graphicData>
                </a:graphic>
              </wp:anchor>
            </w:drawing>
          </mc:Choice>
          <mc:Fallback>
            <w:pict>
              <v:rect id="Shape 196" o:spid="_x0000_s1221" style="position:absolute;margin-left:64.4pt;margin-top:-9.2999pt;width:3.9pt;height:6.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D603" stroked="f"/>
            </w:pict>
          </mc:Fallback>
        </mc:AlternateContent>
        <mc:AlternateContent>
          <mc:Choice Requires="wps">
            <w:drawing>
              <wp:anchor simplePos="0" relativeHeight="251657728" behindDoc="1" locked="0" layoutInCell="0" allowOverlap="1">
                <wp:simplePos x="0" y="0"/>
                <wp:positionH relativeFrom="column">
                  <wp:posOffset>817880</wp:posOffset>
                </wp:positionH>
                <wp:positionV relativeFrom="paragraph">
                  <wp:posOffset>22860</wp:posOffset>
                </wp:positionV>
                <wp:extent cx="49530" cy="78105"/>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530" cy="78105"/>
                        </a:xfrm>
                        <a:prstGeom prst="rect">
                          <a:avLst/>
                        </a:prstGeom>
                        <a:solidFill>
                          <a:srgbClr val="FED603"/>
                        </a:solidFill>
                      </wps:spPr>
                      <wps:bodyPr/>
                    </wps:wsp>
                  </a:graphicData>
                </a:graphic>
              </wp:anchor>
            </w:drawing>
          </mc:Choice>
          <mc:Fallback>
            <w:pict>
              <v:rect id="Shape 197" o:spid="_x0000_s1222" style="position:absolute;margin-left:64.4pt;margin-top:1.8pt;width:3.9pt;height:6.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D603" stroked="f"/>
            </w:pict>
          </mc:Fallback>
        </mc:AlternateContent>
        <mc:AlternateContent>
          <mc:Choice Requires="wps">
            <w:drawing>
              <wp:anchor simplePos="0" relativeHeight="251657728" behindDoc="1" locked="0" layoutInCell="0" allowOverlap="1">
                <wp:simplePos x="0" y="0"/>
                <wp:positionH relativeFrom="column">
                  <wp:posOffset>732790</wp:posOffset>
                </wp:positionH>
                <wp:positionV relativeFrom="paragraph">
                  <wp:posOffset>-33020</wp:posOffset>
                </wp:positionV>
                <wp:extent cx="78740" cy="48895"/>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740" cy="48895"/>
                        </a:xfrm>
                        <a:prstGeom prst="rect">
                          <a:avLst/>
                        </a:prstGeom>
                        <a:solidFill>
                          <a:srgbClr val="146C26"/>
                        </a:solidFill>
                      </wps:spPr>
                      <wps:bodyPr/>
                    </wps:wsp>
                  </a:graphicData>
                </a:graphic>
              </wp:anchor>
            </w:drawing>
          </mc:Choice>
          <mc:Fallback>
            <w:pict>
              <v:rect id="Shape 198" o:spid="_x0000_s1223" style="position:absolute;margin-left:57.7pt;margin-top:-2.5999pt;width:6.2pt;height: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46C26" stroked="f"/>
            </w:pict>
          </mc:Fallback>
        </mc:AlternateContent>
        <mc:AlternateContent>
          <mc:Choice Requires="wps">
            <w:drawing>
              <wp:anchor simplePos="0" relativeHeight="251657728" behindDoc="1" locked="0" layoutInCell="0" allowOverlap="1">
                <wp:simplePos x="0" y="0"/>
                <wp:positionH relativeFrom="column">
                  <wp:posOffset>874395</wp:posOffset>
                </wp:positionH>
                <wp:positionV relativeFrom="paragraph">
                  <wp:posOffset>-33020</wp:posOffset>
                </wp:positionV>
                <wp:extent cx="78740" cy="48895"/>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740" cy="48895"/>
                        </a:xfrm>
                        <a:prstGeom prst="rect">
                          <a:avLst/>
                        </a:prstGeom>
                        <a:solidFill>
                          <a:srgbClr val="FED603"/>
                        </a:solidFill>
                      </wps:spPr>
                      <wps:bodyPr/>
                    </wps:wsp>
                  </a:graphicData>
                </a:graphic>
              </wp:anchor>
            </w:drawing>
          </mc:Choice>
          <mc:Fallback>
            <w:pict>
              <v:rect id="Shape 199" o:spid="_x0000_s1224" style="position:absolute;margin-left:68.85pt;margin-top:-2.5999pt;width:6.2pt;height: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D603" stroked="f"/>
            </w:pict>
          </mc:Fallback>
        </mc:AlternateContent>
        <mc:AlternateContent>
          <mc:Choice Requires="wps">
            <w:drawing>
              <wp:anchor simplePos="0" relativeHeight="251657728" behindDoc="1" locked="0" layoutInCell="0" allowOverlap="1">
                <wp:simplePos x="0" y="0"/>
                <wp:positionH relativeFrom="column">
                  <wp:posOffset>676910</wp:posOffset>
                </wp:positionH>
                <wp:positionV relativeFrom="paragraph">
                  <wp:posOffset>-118110</wp:posOffset>
                </wp:positionV>
                <wp:extent cx="48895" cy="7874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895" cy="78740"/>
                        </a:xfrm>
                        <a:prstGeom prst="rect">
                          <a:avLst/>
                        </a:prstGeom>
                        <a:solidFill>
                          <a:srgbClr val="05007C"/>
                        </a:solidFill>
                      </wps:spPr>
                      <wps:bodyPr/>
                    </wps:wsp>
                  </a:graphicData>
                </a:graphic>
              </wp:anchor>
            </w:drawing>
          </mc:Choice>
          <mc:Fallback>
            <w:pict>
              <v:rect id="Shape 200" o:spid="_x0000_s1225" style="position:absolute;margin-left:53.3pt;margin-top:-9.2999pt;width:3.85pt;height:6.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5007C" stroked="f"/>
            </w:pict>
          </mc:Fallback>
        </mc:AlternateContent>
        <w:drawing>
          <wp:anchor simplePos="0" relativeHeight="251657728" behindDoc="1" locked="0" layoutInCell="0" allowOverlap="1">
            <wp:simplePos x="0" y="0"/>
            <wp:positionH relativeFrom="column">
              <wp:posOffset>-227965</wp:posOffset>
            </wp:positionH>
            <wp:positionV relativeFrom="paragraph">
              <wp:posOffset>-32385</wp:posOffset>
            </wp:positionV>
            <wp:extent cx="955040" cy="5689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81">
                      <a:extLst>
                        <a:ext uri="{28A0092B-C50C-407E-A947-70E740481C1C}"/>
                      </a:extLst>
                    </a:blip>
                    <a:srcRect/>
                    <a:stretch>
                      <a:fillRect/>
                    </a:stretch>
                  </pic:blipFill>
                  <pic:spPr bwMode="auto">
                    <a:xfrm>
                      <a:off x="0" y="0"/>
                      <a:ext cx="955040" cy="568960"/>
                    </a:xfrm>
                    <a:prstGeom prst="rect">
                      <a:avLst/>
                    </a:prstGeom>
                    <a:noFill/>
                  </pic:spPr>
                </pic:pic>
              </a:graphicData>
            </a:graphic>
          </wp:anchor>
        </w:drawing>
      </w:r>
    </w:p>
    <w:p>
      <w:pPr>
        <w:spacing w:after="0" w:line="109" w:lineRule="exact"/>
        <w:rPr>
          <w:sz w:val="20"/>
          <w:szCs w:val="20"/>
          <w:color w:val="auto"/>
        </w:rPr>
      </w:pPr>
    </w:p>
    <w:p>
      <w:pPr>
        <w:ind w:left="7720"/>
        <w:spacing w:after="0"/>
        <w:rPr>
          <w:sz w:val="20"/>
          <w:szCs w:val="20"/>
          <w:color w:val="auto"/>
        </w:rPr>
      </w:pPr>
      <w:r>
        <w:rPr>
          <w:rFonts w:ascii="Arial" w:cs="Arial" w:eastAsia="Arial" w:hAnsi="Arial"/>
          <w:sz w:val="18"/>
          <w:szCs w:val="18"/>
          <w:color w:val="00002E"/>
        </w:rPr>
        <w:t>713.537.3000</w:t>
      </w:r>
    </w:p>
    <w:p>
      <w:pPr>
        <w:spacing w:after="0" w:line="128" w:lineRule="exact"/>
        <w:rPr>
          <w:sz w:val="20"/>
          <w:szCs w:val="20"/>
          <w:color w:val="auto"/>
        </w:rPr>
      </w:pPr>
    </w:p>
    <w:p>
      <w:pPr>
        <w:ind w:left="7720"/>
        <w:spacing w:after="0"/>
        <w:rPr>
          <w:sz w:val="20"/>
          <w:szCs w:val="20"/>
          <w:color w:val="auto"/>
        </w:rPr>
      </w:pPr>
      <w:r>
        <w:rPr>
          <w:rFonts w:ascii="Arial" w:cs="Arial" w:eastAsia="Arial" w:hAnsi="Arial"/>
          <w:sz w:val="18"/>
          <w:szCs w:val="18"/>
          <w:color w:val="00002E"/>
        </w:rPr>
        <w:t>nrg.com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-129540</wp:posOffset>
            </wp:positionV>
            <wp:extent cx="109220" cy="1098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82">
                      <a:extLst>
                        <a:ext uri="{28A0092B-C50C-407E-A947-70E740481C1C}"/>
                      </a:extLst>
                    </a:blip>
                    <a:srcRect/>
                    <a:stretch>
                      <a:fillRect/>
                    </a:stretch>
                  </pic:blipFill>
                  <pic:spPr bwMode="auto">
                    <a:xfrm>
                      <a:off x="0" y="0"/>
                      <a:ext cx="109220" cy="109855"/>
                    </a:xfrm>
                    <a:prstGeom prst="rect">
                      <a:avLst/>
                    </a:prstGeom>
                    <a:noFill/>
                  </pic:spPr>
                </pic:pic>
              </a:graphicData>
            </a:graphic>
          </wp:anchor>
        </w:drawing>
      </w:r>
    </w:p>
    <w:sectPr>
      <w:pgSz w:w="11880" w:h="15480" w:orient="portrait"/>
      <w:cols w:equalWidth="0" w:num="1">
        <w:col w:w="9000"/>
      </w:cols>
      <w:pgMar w:left="1440" w:top="1440" w:right="1440" w:bottom="11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1)"/>
      <w:numFmt w:val="lowerLetter"/>
      <w:start w:val="1"/>
    </w:lvl>
  </w:abstractNum>
  <w:abstractNum w:abstractNumId="4">
    <w:nsid w:val="3DC240FB"/>
    <w:multiLevelType w:val="hybridMultilevel"/>
    <w:lvl w:ilvl="0">
      <w:lvlJc w:val="left"/>
      <w:lvlText w:val="(%1)"/>
      <w:numFmt w:val="lowerLetter"/>
      <w:start w:val="1"/>
    </w:lvl>
  </w:abstractNum>
  <w:abstractNum w:abstractNumId="5">
    <w:nsid w:val="1BA026FA"/>
    <w:multiLevelType w:val="hybridMultilevel"/>
    <w:lvl w:ilvl="0">
      <w:lvlJc w:val="left"/>
      <w:lvlText w:val="(%1)"/>
      <w:numFmt w:val="lowerLetter"/>
      <w:start w:val="1"/>
    </w:lvl>
  </w:abstractNum>
  <w:abstractNum w:abstractNumId="6">
    <w:nsid w:val="79A1DEAA"/>
    <w:multiLevelType w:val="hybridMultilevel"/>
    <w:lvl w:ilvl="0">
      <w:lvlJc w:val="left"/>
      <w:lvlText w:val="(%1)"/>
      <w:numFmt w:val="lowerLetter"/>
      <w:start w:val="1"/>
    </w:lvl>
  </w:abstractNum>
  <w:abstractNum w:abstractNumId="7">
    <w:nsid w:val="75C6C33A"/>
    <w:multiLevelType w:val="hybridMultilevel"/>
    <w:lvl w:ilvl="0">
      <w:lvlJc w:val="left"/>
      <w:lvlText w:val="(%1)"/>
      <w:numFmt w:val="lowerLetter"/>
      <w:start w:val="1"/>
    </w:lvl>
  </w:abstractNum>
  <w:abstractNum w:abstractNumId="8">
    <w:nsid w:val="12E685FB"/>
    <w:multiLevelType w:val="hybridMultilevel"/>
    <w:lvl w:ilvl="0">
      <w:lvlJc w:val="left"/>
      <w:lvlText w:val="1"/>
      <w:numFmt w:val="bullet"/>
      <w:start w:val="1"/>
    </w:lvl>
  </w:abstractNum>
  <w:abstractNum w:abstractNumId="9">
    <w:nsid w:val="70C6A529"/>
    <w:multiLevelType w:val="hybridMultilevel"/>
    <w:lvl w:ilvl="0">
      <w:lvlJc w:val="left"/>
      <w:lvlText w:val="(%1)"/>
      <w:numFmt w:val="lowerRoman"/>
      <w:start w:val="2"/>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1)"/>
      <w:numFmt w:val="lowerLetter"/>
      <w:start w:val="1"/>
    </w:lvl>
  </w:abstractNum>
  <w:abstractNum w:abstractNumId="17">
    <w:nsid w:val="1CF10FD8"/>
    <w:multiLevelType w:val="hybridMultilevel"/>
    <w:lvl w:ilvl="0">
      <w:lvlJc w:val="left"/>
      <w:lvlText w:val="(%1)"/>
      <w:numFmt w:val="lowerLetter"/>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1)"/>
      <w:numFmt w:val="lowerLetter"/>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1)"/>
      <w:numFmt w:val="lowerLetter"/>
      <w:start w:val="1"/>
    </w:lvl>
  </w:abstractNum>
  <w:abstractNum w:abstractNumId="23">
    <w:nsid w:val="741226BB"/>
    <w:multiLevelType w:val="hybridMultilevel"/>
    <w:lvl w:ilvl="0">
      <w:lvlJc w:val="left"/>
      <w:lvlText w:val="(%1)"/>
      <w:numFmt w:val="lowerLetter"/>
      <w:start w:val="1"/>
    </w:lvl>
  </w:abstractNum>
  <w:abstractNum w:abstractNumId="24">
    <w:nsid w:val="D34B6A8"/>
    <w:multiLevelType w:val="hybridMultilevel"/>
    <w:lvl w:ilvl="0">
      <w:lvlJc w:val="left"/>
      <w:lvlText w:val="(%1)"/>
      <w:numFmt w:val="lowerLetter"/>
      <w:start w:val="1"/>
    </w:lvl>
  </w:abstractNum>
  <w:abstractNum w:abstractNumId="25">
    <w:nsid w:val="10233C99"/>
    <w:multiLevelType w:val="hybridMultilevel"/>
    <w:lvl w:ilvl="0">
      <w:lvlJc w:val="left"/>
      <w:lvlText w:val="(%1)"/>
      <w:numFmt w:val="lowerLetter"/>
      <w:start w:val="1"/>
    </w:lvl>
  </w:abstractNum>
  <w:abstractNum w:abstractNumId="26">
    <w:nsid w:val="3F6AB60F"/>
    <w:multiLevelType w:val="hybridMultilevel"/>
    <w:lvl w:ilvl="0">
      <w:lvlJc w:val="left"/>
      <w:lvlText w:val="(%1)"/>
      <w:numFmt w:val="lowerLetter"/>
      <w:start w:val="1"/>
    </w:lvl>
  </w:abstractNum>
  <w:abstractNum w:abstractNumId="27">
    <w:nsid w:val="61574095"/>
    <w:multiLevelType w:val="hybridMultilevel"/>
    <w:lvl w:ilvl="0">
      <w:lvlJc w:val="left"/>
      <w:lvlText w:val="(%1)"/>
      <w:numFmt w:val="lowerLetter"/>
      <w:start w:val="1"/>
    </w:lvl>
  </w:abstractNum>
  <w:abstractNum w:abstractNumId="28">
    <w:nsid w:val="7E0C57B1"/>
    <w:multiLevelType w:val="hybridMultilevel"/>
    <w:lvl w:ilvl="0">
      <w:lvlJc w:val="left"/>
      <w:lvlText w:val="(%1)"/>
      <w:numFmt w:val="lowerLetter"/>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1)"/>
      <w:numFmt w:val="lowerLetter"/>
      <w:start w:val="1"/>
    </w:lvl>
  </w:abstractNum>
  <w:abstractNum w:abstractNumId="40">
    <w:nsid w:val="100F8FCA"/>
    <w:multiLevelType w:val="hybridMultilevel"/>
    <w:lvl w:ilvl="0">
      <w:lvlJc w:val="left"/>
      <w:lvlText w:val="(%1)"/>
      <w:numFmt w:val="lowerLetter"/>
      <w:start w:val="1"/>
    </w:lvl>
  </w:abstractNum>
  <w:abstractNum w:abstractNumId="41">
    <w:nsid w:val="6590700B"/>
    <w:multiLevelType w:val="hybridMultilevel"/>
    <w:lvl w:ilvl="0">
      <w:lvlJc w:val="left"/>
      <w:lvlText w:val="(%1)"/>
      <w:numFmt w:val="lowerLetter"/>
      <w:start w:val="1"/>
    </w:lvl>
  </w:abstractNum>
  <w:abstractNum w:abstractNumId="42">
    <w:nsid w:val="15014ACB"/>
    <w:multiLevelType w:val="hybridMultilevel"/>
    <w:lvl w:ilvl="0">
      <w:lvlJc w:val="left"/>
      <w:lvlText w:val="(%1)"/>
      <w:numFmt w:val="lowerLetter"/>
      <w:start w:val="1"/>
    </w:lvl>
  </w:abstractNum>
  <w:abstractNum w:abstractNumId="43">
    <w:nsid w:val="5F5E7FD0"/>
    <w:multiLevelType w:val="hybridMultilevel"/>
    <w:lvl w:ilvl="0">
      <w:lvlJc w:val="left"/>
      <w:lvlText w:val="(%1)"/>
      <w:numFmt w:val="lowerLetter"/>
      <w:start w:val="1"/>
    </w:lvl>
  </w:abstractNum>
  <w:abstractNum w:abstractNumId="44">
    <w:nsid w:val="98A3148"/>
    <w:multiLevelType w:val="hybridMultilevel"/>
    <w:lvl w:ilvl="0">
      <w:lvlJc w:val="left"/>
      <w:lvlText w:val="(%1)"/>
      <w:numFmt w:val="lowerLetter"/>
      <w:start w:val="1"/>
    </w:lvl>
  </w:abstractNum>
  <w:abstractNum w:abstractNumId="45">
    <w:nsid w:val="799D0247"/>
    <w:multiLevelType w:val="hybridMultilevel"/>
    <w:lvl w:ilvl="0">
      <w:lvlJc w:val="left"/>
      <w:lvlText w:val="(%1)"/>
      <w:numFmt w:val="lowerLetter"/>
      <w:start w:val="1"/>
    </w:lvl>
  </w:abstractNum>
  <w:abstractNum w:abstractNumId="46">
    <w:nsid w:val="6B94764"/>
    <w:multiLevelType w:val="hybridMultilevel"/>
    <w:lvl w:ilvl="0">
      <w:lvlJc w:val="left"/>
      <w:lvlText w:val="(%1)"/>
      <w:numFmt w:val="lowerLetter"/>
      <w:start w:val="1"/>
    </w:lvl>
  </w:abstractNum>
  <w:abstractNum w:abstractNumId="47">
    <w:nsid w:val="42C296BD"/>
    <w:multiLevelType w:val="hybridMultilevel"/>
    <w:lvl w:ilvl="0">
      <w:lvlJc w:val="left"/>
      <w:lvlText w:val="(%1)"/>
      <w:numFmt w:val="lowerLetter"/>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1)"/>
      <w:numFmt w:val="lowerLetter"/>
      <w:start w:val="1"/>
    </w:lvl>
  </w:abstractNum>
  <w:abstractNum w:abstractNumId="51">
    <w:nsid w:val="5DC79EA8"/>
    <w:multiLevelType w:val="hybridMultilevel"/>
    <w:lvl w:ilvl="0">
      <w:lvlJc w:val="left"/>
      <w:lvlText w:val="%1."/>
      <w:numFmt w:val="decimal"/>
      <w:start w:val="1"/>
    </w:lvl>
  </w:abstractNum>
  <w:abstractNum w:abstractNumId="52">
    <w:nsid w:val="540A471C"/>
    <w:multiLevelType w:val="hybridMultilevel"/>
    <w:lvl w:ilvl="0">
      <w:lvlJc w:val="left"/>
      <w:lvlText w:val="(%1)"/>
      <w:numFmt w:val="decimal"/>
      <w:start w:val="1"/>
    </w:lvl>
  </w:abstractNum>
  <w:abstractNum w:abstractNumId="53">
    <w:nsid w:val="7BD3EE7B"/>
    <w:multiLevelType w:val="hybridMultilevel"/>
    <w:lvl w:ilvl="0">
      <w:lvlJc w:val="left"/>
      <w:lvlText w:val="(%1)"/>
      <w:numFmt w:val="lowerLetter"/>
      <w:start w:val="1"/>
    </w:lvl>
  </w:abstractNum>
  <w:abstractNum w:abstractNumId="54">
    <w:nsid w:val="51D9C564"/>
    <w:multiLevelType w:val="hybridMultilevel"/>
    <w:lvl w:ilvl="0">
      <w:lvlJc w:val="left"/>
      <w:lvlText w:val="(%1)"/>
      <w:numFmt w:val="lowerLetter"/>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1)"/>
      <w:numFmt w:val="lowerLetter"/>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1)"/>
      <w:numFmt w:val="lowerLetter"/>
      <w:start w:val="1"/>
    </w:lvl>
  </w:abstractNum>
  <w:abstractNum w:abstractNumId="61">
    <w:nsid w:val="1A32234B"/>
    <w:multiLevelType w:val="hybridMultilevel"/>
    <w:lvl w:ilvl="0">
      <w:lvlJc w:val="left"/>
      <w:lvlText w:val="(%1)"/>
      <w:numFmt w:val="lowerLetter"/>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1)"/>
      <w:numFmt w:val="lowerLetter"/>
      <w:start w:val="1"/>
    </w:lvl>
  </w:abstractNum>
  <w:abstractNum w:abstractNumId="64">
    <w:nsid w:val="4962813B"/>
    <w:multiLevelType w:val="hybridMultilevel"/>
    <w:lvl w:ilvl="0">
      <w:lvlJc w:val="left"/>
      <w:lvlText w:val="(%1)"/>
      <w:numFmt w:val="lowerLetter"/>
      <w:start w:val="1"/>
    </w:lvl>
  </w:abstractNum>
  <w:abstractNum w:abstractNumId="65">
    <w:nsid w:val="60B6DF70"/>
    <w:multiLevelType w:val="hybridMultilevel"/>
    <w:lvl w:ilvl="0">
      <w:lvlJc w:val="left"/>
      <w:lvlText w:val="(%1)"/>
      <w:numFmt w:val="lowerRoman"/>
      <w:start w:val="2"/>
    </w:lvl>
  </w:abstractNum>
  <w:abstractNum w:abstractNumId="66">
    <w:nsid w:val="6A5EE64"/>
    <w:multiLevelType w:val="hybridMultilevel"/>
    <w:lvl w:ilvl="0">
      <w:lvlJc w:val="left"/>
      <w:lvlText w:val="(%1)"/>
      <w:numFmt w:val="lowerLetter"/>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
      <w:numFmt w:val="bullet"/>
      <w:start w:val="1"/>
    </w:lvl>
  </w:abstractNum>
  <w:abstractNum w:abstractNumId="69">
    <w:nsid w:val="1A27709E"/>
    <w:multiLevelType w:val="hybridMultilevel"/>
    <w:lvl w:ilvl="0">
      <w:lvlJc w:val="left"/>
      <w:lvlText w:val="•"/>
      <w:numFmt w:val="bullet"/>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
      <w:numFmt w:val="bullet"/>
      <w:start w:val="1"/>
    </w:lvl>
  </w:abstractNum>
  <w:abstractNum w:abstractNumId="73">
    <w:nsid w:val="6EB5BD4"/>
    <w:multiLevelType w:val="hybridMultilevel"/>
    <w:lvl w:ilvl="0">
      <w:lvlJc w:val="left"/>
      <w:lvlText w:val="(%1)"/>
      <w:numFmt w:val="lowerLetter"/>
      <w:start w:val="1"/>
    </w:lvl>
  </w:abstractNum>
  <w:abstractNum w:abstractNumId="74">
    <w:nsid w:val="6F6DD9AC"/>
    <w:multiLevelType w:val="hybridMultilevel"/>
    <w:lvl w:ilvl="0">
      <w:lvlJc w:val="left"/>
      <w:lvlText w:val="(%1)"/>
      <w:numFmt w:val="lowerLetter"/>
      <w:start w:val="1"/>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1)"/>
      <w:numFmt w:val="lowerLetter"/>
      <w:start w:val="1"/>
    </w:lvl>
  </w:abstractNum>
  <w:abstractNum w:abstractNumId="77">
    <w:nsid w:val="76272110"/>
    <w:multiLevelType w:val="hybridMultilevel"/>
    <w:lvl w:ilvl="0">
      <w:lvlJc w:val="left"/>
      <w:lvlText w:val="(%1)"/>
      <w:numFmt w:val="lowerLetter"/>
      <w:start w:val="1"/>
    </w:lvl>
  </w:abstractNum>
  <w:abstractNum w:abstractNumId="78">
    <w:nsid w:val="4C04A8AF"/>
    <w:multiLevelType w:val="hybridMultilevel"/>
    <w:lvl w:ilvl="0">
      <w:lvlJc w:val="left"/>
      <w:lvlText w:val="(%1)"/>
      <w:numFmt w:val="lowerLetter"/>
      <w:start w:val="1"/>
    </w:lvl>
  </w:abstractNum>
  <w:abstractNum w:abstractNumId="79">
    <w:nsid w:val="1716703B"/>
    <w:multiLevelType w:val="hybridMultilevel"/>
    <w:lvl w:ilvl="0">
      <w:lvlJc w:val="left"/>
      <w:lvlText w:val="(%1)"/>
      <w:numFmt w:val="lowerLetter"/>
      <w:start w:val="1"/>
    </w:lvl>
  </w:abstractNum>
  <w:abstractNum w:abstractNumId="80">
    <w:nsid w:val="14E17E33"/>
    <w:multiLevelType w:val="hybridMultilevel"/>
    <w:lvl w:ilvl="0">
      <w:lvlJc w:val="left"/>
      <w:lvlText w:val="(%1)"/>
      <w:numFmt w:val="lowerRoman"/>
      <w:start w:val="2"/>
    </w:lvl>
  </w:abstractNum>
  <w:abstractNum w:abstractNumId="81">
    <w:nsid w:val="3222E7CD"/>
    <w:multiLevelType w:val="hybridMultilevel"/>
    <w:lvl w:ilvl="0">
      <w:lvlJc w:val="left"/>
      <w:lvlText w:val="•"/>
      <w:numFmt w:val="bullet"/>
      <w:start w:val="1"/>
    </w:lvl>
  </w:abstractNum>
  <w:abstractNum w:abstractNumId="82">
    <w:nsid w:val="74DE0EE3"/>
    <w:multiLevelType w:val="hybridMultilevel"/>
    <w:lvl w:ilvl="0">
      <w:lvlJc w:val="left"/>
      <w:lvlText w:val="%1."/>
      <w:numFmt w:val="lowerRoman"/>
      <w:start w:val="1"/>
    </w:lvl>
  </w:abstractNum>
  <w:abstractNum w:abstractNumId="83">
    <w:nsid w:val="68EBC550"/>
    <w:multiLevelType w:val="hybridMultilevel"/>
    <w:lvl w:ilvl="0">
      <w:lvlJc w:val="left"/>
      <w:lvlText w:val="(%1)"/>
      <w:numFmt w:val="lowerLetter"/>
      <w:start w:val="1"/>
    </w:lvl>
  </w:abstractNum>
  <w:abstractNum w:abstractNumId="84">
    <w:nsid w:val="2DF6D648"/>
    <w:multiLevelType w:val="hybridMultilevel"/>
    <w:lvl w:ilvl="0">
      <w:lvlJc w:val="left"/>
      <w:lvlText w:val="(%1)"/>
      <w:numFmt w:val="lowerLetter"/>
      <w:start w:val="1"/>
    </w:lvl>
  </w:abstractNum>
  <w:abstractNum w:abstractNumId="85">
    <w:nsid w:val="46B7D447"/>
    <w:multiLevelType w:val="hybridMultilevel"/>
    <w:lvl w:ilvl="0">
      <w:lvlJc w:val="left"/>
      <w:lvlText w:val="(%1)"/>
      <w:numFmt w:val="lowerLetter"/>
      <w:start w:val="1"/>
    </w:lvl>
  </w:abstractNum>
  <w:abstractNum w:abstractNumId="86">
    <w:nsid w:val="4A2AC315"/>
    <w:multiLevelType w:val="hybridMultilevel"/>
    <w:lvl w:ilvl="0">
      <w:lvlJc w:val="left"/>
      <w:lvlText w:val="(%1)"/>
      <w:numFmt w:val="lowerLetter"/>
      <w:start w:val="1"/>
    </w:lvl>
  </w:abstractNum>
  <w:abstractNum w:abstractNumId="87">
    <w:nsid w:val="39EE015C"/>
    <w:multiLevelType w:val="hybridMultilevel"/>
    <w:lvl w:ilvl="0">
      <w:lvlJc w:val="left"/>
      <w:lvlText w:val="(%1)"/>
      <w:numFmt w:val="lowerLetter"/>
      <w:start w:val="1"/>
    </w:lvl>
  </w:abstractNum>
  <w:abstractNum w:abstractNumId="88">
    <w:nsid w:val="57FC4FBB"/>
    <w:multiLevelType w:val="hybridMultilevel"/>
    <w:lvl w:ilvl="0">
      <w:lvlJc w:val="left"/>
      <w:lvlText w:val="(%1)"/>
      <w:numFmt w:val="lowerLetter"/>
      <w:start w:val="1"/>
    </w:lvl>
  </w:abstractNum>
  <w:abstractNum w:abstractNumId="89">
    <w:nsid w:val="CC1016F"/>
    <w:multiLevelType w:val="hybridMultilevel"/>
    <w:lvl w:ilvl="0">
      <w:lvlJc w:val="left"/>
      <w:lvlText w:val="(%1)"/>
      <w:numFmt w:val="lowerLetter"/>
      <w:start w:val="1"/>
    </w:lvl>
  </w:abstractNum>
  <w:abstractNum w:abstractNumId="90">
    <w:nsid w:val="43F18422"/>
    <w:multiLevelType w:val="hybridMultilevel"/>
    <w:lvl w:ilvl="0">
      <w:lvlJc w:val="left"/>
      <w:lvlText w:val="(%1)"/>
      <w:numFmt w:val="lowerLetter"/>
      <w:start w:val="1"/>
    </w:lvl>
  </w:abstractNum>
  <w:abstractNum w:abstractNumId="91">
    <w:nsid w:val="60EF0119"/>
    <w:multiLevelType w:val="hybridMultilevel"/>
    <w:lvl w:ilvl="0">
      <w:lvlJc w:val="left"/>
      <w:lvlText w:val="%1"/>
      <w:numFmt w:val="decimal"/>
      <w:start w:val="104"/>
    </w:lvl>
  </w:abstractNum>
  <w:abstractNum w:abstractNumId="92">
    <w:nsid w:val="26F324BA"/>
    <w:multiLevelType w:val="hybridMultilevel"/>
    <w:lvl w:ilvl="0">
      <w:lvlJc w:val="left"/>
      <w:lvlText w:val="*"/>
      <w:numFmt w:val="bullet"/>
      <w:start w:val="1"/>
    </w:lvl>
  </w:abstractNum>
  <w:abstractNum w:abstractNumId="93">
    <w:nsid w:val="7F01579B"/>
    <w:multiLevelType w:val="hybridMultilevel"/>
    <w:lvl w:ilvl="0">
      <w:lvlJc w:val="left"/>
      <w:lvlText w:val="†"/>
      <w:numFmt w:val="bullet"/>
      <w:start w:val="1"/>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2025-03-19T15:12:39Z</dcterms:created>
  <dcterms:modified xsi:type="dcterms:W3CDTF">2025-03-19T15:12:39Z</dcterms:modified>
</cp:coreProperties>
</file>