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0335d1_8k.htm"/>
      <w:bookmarkStart w:id="1" w:name="kstm2620335d1_8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B_edei--DocumentType_c2026071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July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A_edei--EntityRegistrantName_c2026"/>
      <w:bookmarkEnd w:id="4"/>
      <w:r>
        <w:rPr>
          <w:rFonts w:ascii="Times New Roman;Times;Serif" w:hAnsi="Times New Roman;Times;Serif"/>
          <w:b/>
          <w:i w:val="false"/>
          <w:caps w:val="false"/>
          <w:smallCaps w:val="false"/>
          <w:sz w:val="36"/>
        </w:rPr>
        <w:t>NRG ENERGY,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610" w:type="dxa"/>
        <w:jc w:val="left"/>
        <w:tblInd w:w="0" w:type="dxa"/>
        <w:tblLayout w:type="fixed"/>
        <w:tblCellMar>
          <w:top w:w="0" w:type="dxa"/>
          <w:left w:w="0" w:type="dxa"/>
          <w:bottom w:w="0" w:type="dxa"/>
          <w:right w:w="0" w:type="dxa"/>
        </w:tblCellMar>
      </w:tblPr>
      <w:tblGrid>
        <w:gridCol w:w="4115"/>
        <w:gridCol w:w="60"/>
        <w:gridCol w:w="2615"/>
        <w:gridCol w:w="60"/>
        <w:gridCol w:w="1760"/>
      </w:tblGrid>
      <w:tr>
        <w:trPr/>
        <w:tc>
          <w:tcPr>
            <w:tcW w:w="4115" w:type="dxa"/>
            <w:tcBorders/>
            <w:vAlign w:val="center"/>
          </w:tcPr>
          <w:p>
            <w:pPr>
              <w:pStyle w:val="TableContents"/>
              <w:bidi w:val="0"/>
              <w:spacing w:before="0" w:after="283"/>
              <w:jc w:val="center"/>
              <w:rPr/>
            </w:pPr>
            <w:bookmarkStart w:id="5" w:name="xdx_905_edei--EntityIncorporationStateCo"/>
            <w:bookmarkEnd w:id="5"/>
            <w:r>
              <w:rPr>
                <w:rFonts w:ascii="Times New Roman;Times;Serif" w:hAnsi="Times New Roman;Times;Serif"/>
                <w:b/>
                <w:i w:val="false"/>
                <w:caps w:val="false"/>
                <w:smallCaps w:val="false"/>
                <w:sz w:val="20"/>
              </w:rPr>
              <w:t>Delaware</w:t>
            </w:r>
            <w:r>
              <w:rPr/>
              <w:br/>
              <w:t>(State or other jurisdiction of incorporation)</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center"/>
              <w:rPr/>
            </w:pPr>
            <w:bookmarkStart w:id="6" w:name="xdx_900_edei--EntityFileNumber_c20260714"/>
            <w:bookmarkEnd w:id="6"/>
            <w:r>
              <w:rPr>
                <w:rFonts w:ascii="Times New Roman;Times;Serif" w:hAnsi="Times New Roman;Times;Serif"/>
                <w:b/>
                <w:i w:val="false"/>
                <w:caps w:val="false"/>
                <w:smallCaps w:val="false"/>
                <w:sz w:val="20"/>
              </w:rPr>
              <w:t>001-15891</w:t>
            </w:r>
            <w:r>
              <w:rPr/>
              <w:br/>
              <w:t>(Commission File Number)</w:t>
            </w:r>
          </w:p>
        </w:tc>
        <w:tc>
          <w:tcPr>
            <w:tcW w:w="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center"/>
              <w:rPr/>
            </w:pPr>
            <w:bookmarkStart w:id="7" w:name="xdx_904_edei--EntityTaxIdentificationNum"/>
            <w:bookmarkEnd w:id="7"/>
            <w:r>
              <w:rPr>
                <w:rFonts w:ascii="Times New Roman;Times;Serif" w:hAnsi="Times New Roman;Times;Serif"/>
                <w:b/>
                <w:i w:val="false"/>
                <w:caps w:val="false"/>
                <w:smallCaps w:val="false"/>
                <w:sz w:val="20"/>
              </w:rPr>
              <w:t>41-1724239</w:t>
            </w:r>
            <w:r>
              <w:rPr/>
              <w:br/>
              <w:t xml:space="preserve">(IRS Employer </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 xml:space="preserve">1301 McKinney Street, </w:t>
      </w:r>
      <w:bookmarkStart w:id="9" w:name="xdx_909_edei--EntityAddressCityOrTown_c2"/>
      <w:bookmarkEnd w:id="9"/>
      <w:r>
        <w:rPr>
          <w:rFonts w:ascii="Times New Roman;Times;Serif" w:hAnsi="Times New Roman;Times;Serif"/>
          <w:b/>
          <w:i w:val="false"/>
          <w:caps w:val="false"/>
          <w:smallCaps w:val="false"/>
          <w:sz w:val="20"/>
        </w:rPr>
        <w:t xml:space="preserve">Houston, </w:t>
      </w:r>
      <w:bookmarkStart w:id="10" w:name="xdx_901_edei--EntityAddressStateOrProvin"/>
      <w:bookmarkEnd w:id="10"/>
      <w:r>
        <w:rPr>
          <w:rFonts w:ascii="Times New Roman;Times;Serif" w:hAnsi="Times New Roman;Times;Serif"/>
          <w:b/>
          <w:i w:val="false"/>
          <w:caps w:val="false"/>
          <w:smallCaps w:val="false"/>
          <w:sz w:val="20"/>
        </w:rPr>
        <w:t xml:space="preserve">Texas </w:t>
      </w:r>
      <w:bookmarkStart w:id="11" w:name="xdx_901_edei--EntityAddressPostalZipCode"/>
      <w:bookmarkEnd w:id="11"/>
      <w:r>
        <w:rPr>
          <w:rFonts w:ascii="Times New Roman;Times;Serif" w:hAnsi="Times New Roman;Times;Serif"/>
          <w:b/>
          <w:i w:val="false"/>
          <w:caps w:val="false"/>
          <w:smallCaps w:val="false"/>
          <w:sz w:val="20"/>
        </w:rPr>
        <w:t>77010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rPr>
      </w:pPr>
      <w:r>
        <w:rPr>
          <w:rFonts w:ascii="Times New Roman;Times;Serif" w:hAnsi="Times New Roman;Times;Serif"/>
          <w:b/>
          <w:i w:val="false"/>
          <w:caps w:val="false"/>
          <w:smallCaps w:val="false"/>
          <w:sz w:val="20"/>
        </w:rPr>
        <w:t>(</w:t>
      </w:r>
      <w:bookmarkStart w:id="12" w:name="xdx_906_edei--CityAreaCode_c20260714__20"/>
      <w:bookmarkEnd w:id="12"/>
      <w:r>
        <w:rPr>
          <w:rFonts w:ascii="Times New Roman;Times;Serif" w:hAnsi="Times New Roman;Times;Serif"/>
          <w:b/>
          <w:i w:val="false"/>
          <w:caps w:val="false"/>
          <w:smallCaps w:val="false"/>
          <w:sz w:val="20"/>
        </w:rPr>
        <w:t xml:space="preserve">713) </w:t>
      </w:r>
      <w:bookmarkStart w:id="13" w:name="xdx_908_edei--LocalPhoneNumber_c20260714"/>
      <w:bookmarkEnd w:id="13"/>
      <w:r>
        <w:rPr>
          <w:rFonts w:ascii="Times New Roman;Times;Serif" w:hAnsi="Times New Roman;Times;Serif"/>
          <w:b/>
          <w:i w:val="false"/>
          <w:caps w:val="false"/>
          <w:smallCaps w:val="false"/>
          <w:sz w:val="20"/>
        </w:rPr>
        <w:t>537-3000</w:t>
      </w:r>
      <w:r>
        <w:rPr>
          <w:sz w:val="20"/>
        </w:rPr>
        <w:b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4" w:name="xdx_90B_edei--WrittenCommunications_c202"/>
            <w:bookmarkEnd w:id="14"/>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5" w:name="xdx_905_edei--SolicitingMaterial_c202607"/>
            <w:bookmarkEnd w:id="15"/>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7_edei--PreCommencementTenderOffer"/>
            <w:bookmarkEnd w:id="16"/>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3_edei--PreCommencementIssuerTende"/>
            <w:bookmarkEnd w:id="17"/>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jc w:val="left"/>
        <w:rPr>
          <w:caps w:val="false"/>
          <w:smallCaps w:val="false"/>
        </w:rPr>
      </w:pPr>
      <w:r>
        <w:rPr>
          <w:caps w:val="false"/>
          <w:smallCaps w:val="false"/>
        </w:rPr>
        <w:t> </w:t>
      </w:r>
    </w:p>
    <w:tbl>
      <w:tblPr>
        <w:tblW w:w="7620" w:type="dxa"/>
        <w:jc w:val="left"/>
        <w:tblInd w:w="0" w:type="dxa"/>
        <w:tblLayout w:type="fixed"/>
        <w:tblCellMar>
          <w:top w:w="0" w:type="dxa"/>
          <w:left w:w="0" w:type="dxa"/>
          <w:bottom w:w="28" w:type="dxa"/>
          <w:right w:w="0" w:type="dxa"/>
        </w:tblCellMar>
      </w:tblPr>
      <w:tblGrid>
        <w:gridCol w:w="3095"/>
        <w:gridCol w:w="60"/>
        <w:gridCol w:w="1610"/>
        <w:gridCol w:w="60"/>
        <w:gridCol w:w="2795"/>
      </w:tblGrid>
      <w:tr>
        <w:trPr/>
        <w:tc>
          <w:tcPr>
            <w:tcW w:w="30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7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w:t>
              <w:br/>
              <w:t>registered</w:t>
            </w:r>
          </w:p>
        </w:tc>
      </w:tr>
      <w:tr>
        <w:trPr/>
        <w:tc>
          <w:tcPr>
            <w:tcW w:w="3095" w:type="dxa"/>
            <w:tcBorders/>
            <w:tcMar>
              <w:bottom w:w="0" w:type="dxa"/>
            </w:tcMar>
            <w:vAlign w:val="center"/>
          </w:tcPr>
          <w:p>
            <w:pPr>
              <w:pStyle w:val="TableContents"/>
              <w:bidi w:val="0"/>
              <w:spacing w:before="0" w:after="283"/>
              <w:jc w:val="center"/>
              <w:rPr/>
            </w:pPr>
            <w:bookmarkStart w:id="18" w:name="xdx_904_edei--Security12bTitle_c20260714"/>
            <w:bookmarkEnd w:id="18"/>
            <w:r>
              <w:rPr/>
              <w:t>Common Stock, par value $0.01</w:t>
            </w:r>
          </w:p>
        </w:tc>
        <w:tc>
          <w:tcPr>
            <w:tcW w:w="6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b w:val="false"/>
              </w:rPr>
            </w:pPr>
            <w:bookmarkStart w:id="19" w:name="xdx_90C_edei--TradingSymbol_c20260714__2"/>
            <w:bookmarkEnd w:id="19"/>
            <w:r>
              <w:rPr>
                <w:b w:val="false"/>
              </w:rPr>
              <w:t>NRG</w:t>
            </w:r>
          </w:p>
        </w:tc>
        <w:tc>
          <w:tcPr>
            <w:tcW w:w="60" w:type="dxa"/>
            <w:tcBorders/>
            <w:tcMar>
              <w:bottom w:w="0" w:type="dxa"/>
            </w:tcMar>
            <w:vAlign w:val="center"/>
          </w:tcPr>
          <w:p>
            <w:pPr>
              <w:pStyle w:val="TableContents"/>
              <w:bidi w:val="0"/>
              <w:spacing w:before="0" w:after="283"/>
              <w:jc w:val="center"/>
              <w:rPr/>
            </w:pPr>
            <w:r>
              <w:rPr/>
              <w:t> </w:t>
            </w:r>
          </w:p>
        </w:tc>
        <w:tc>
          <w:tcPr>
            <w:tcW w:w="2795" w:type="dxa"/>
            <w:tcBorders/>
            <w:tcMar>
              <w:bottom w:w="0" w:type="dxa"/>
            </w:tcMar>
            <w:vAlign w:val="center"/>
          </w:tcPr>
          <w:p>
            <w:pPr>
              <w:pStyle w:val="TableContents"/>
              <w:bidi w:val="0"/>
              <w:spacing w:before="0" w:after="283"/>
              <w:jc w:val="center"/>
              <w:rPr>
                <w:b w:val="false"/>
              </w:rPr>
            </w:pPr>
            <w:bookmarkStart w:id="20" w:name="xdx_907_edei--SecurityExchangeName_c2026"/>
            <w:bookmarkEnd w:id="20"/>
            <w:r>
              <w:rPr>
                <w:b w:val="false"/>
              </w:rPr>
              <w:t>New York Stock Exchange</w:t>
            </w:r>
          </w:p>
        </w:tc>
      </w:tr>
      <w:tr>
        <w:trPr/>
        <w:tc>
          <w:tcPr>
            <w:tcW w:w="3095" w:type="dxa"/>
            <w:tcBorders/>
            <w:tcMar>
              <w:bottom w:w="0" w:type="dxa"/>
            </w:tcMar>
            <w:vAlign w:val="center"/>
          </w:tcPr>
          <w:p>
            <w:pPr>
              <w:pStyle w:val="TableContents"/>
              <w:bidi w:val="0"/>
              <w:spacing w:before="0" w:after="283"/>
              <w:jc w:val="center"/>
              <w:rPr/>
            </w:pPr>
            <w:bookmarkStart w:id="21" w:name="xdx_90A_edei--Security12bTitle_c20260714"/>
            <w:bookmarkEnd w:id="21"/>
            <w:r>
              <w:rPr/>
              <w:t>Common Stock, par value $0.01</w:t>
            </w:r>
          </w:p>
        </w:tc>
        <w:tc>
          <w:tcPr>
            <w:tcW w:w="6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b w:val="false"/>
              </w:rPr>
            </w:pPr>
            <w:bookmarkStart w:id="22" w:name="xdx_90E_edei--TradingSymbol_c20260714__2"/>
            <w:bookmarkEnd w:id="22"/>
            <w:r>
              <w:rPr>
                <w:b w:val="false"/>
              </w:rPr>
              <w:t>NRG</w:t>
            </w:r>
          </w:p>
        </w:tc>
        <w:tc>
          <w:tcPr>
            <w:tcW w:w="60" w:type="dxa"/>
            <w:tcBorders/>
            <w:tcMar>
              <w:bottom w:w="0" w:type="dxa"/>
            </w:tcMar>
            <w:vAlign w:val="center"/>
          </w:tcPr>
          <w:p>
            <w:pPr>
              <w:pStyle w:val="TableContents"/>
              <w:bidi w:val="0"/>
              <w:spacing w:before="0" w:after="283"/>
              <w:jc w:val="center"/>
              <w:rPr/>
            </w:pPr>
            <w:r>
              <w:rPr/>
              <w:t> </w:t>
            </w:r>
          </w:p>
        </w:tc>
        <w:tc>
          <w:tcPr>
            <w:tcW w:w="2795" w:type="dxa"/>
            <w:tcBorders/>
            <w:tcMar>
              <w:bottom w:w="0" w:type="dxa"/>
            </w:tcMar>
            <w:vAlign w:val="center"/>
          </w:tcPr>
          <w:p>
            <w:pPr>
              <w:pStyle w:val="TableContents"/>
              <w:bidi w:val="0"/>
              <w:spacing w:before="0" w:after="283"/>
              <w:jc w:val="center"/>
              <w:rPr>
                <w:b w:val="false"/>
              </w:rPr>
            </w:pPr>
            <w:bookmarkStart w:id="23" w:name="xdx_90B_edei--SecurityExchangeName_c2026"/>
            <w:bookmarkEnd w:id="23"/>
            <w:r>
              <w:rPr>
                <w:b w:val="false"/>
              </w:rPr>
              <w:t>NYSE Texas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sz w:val="20"/>
        </w:rPr>
      </w:pPr>
      <w:r>
        <w:rPr>
          <w:rFonts w:ascii="Times New Roman;Times;Serif" w:hAnsi="Times New Roman;Times;Serif"/>
          <w:b w:val="false"/>
          <w:i w:val="false"/>
          <w:caps w:val="false"/>
          <w:smallCaps w:val="false"/>
          <w:sz w:val="20"/>
        </w:rPr>
        <w:t>Emerging growth company  </w:t>
      </w:r>
      <w:bookmarkStart w:id="24" w:name="xdx_900_edei--EntityEmergingGrowthCompan"/>
      <w:bookmarkEnd w:id="24"/>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14, 2026, PJM Interconnection, L.L.C. (“PJM”) announced the results of its capacity auction for the 2028-2029 delivery year. The total cleared power plant generation capacity of NRG Energy, Inc. (the “Company”) in PJM was 6,839 MW at an average clearing price of $325 per MW-day.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Current Report on Form 8-K includes forward-looking statements within the meaning of Section 27A of the Securities Act of 1933 and Section 21E of the Securities Exchange Act of 1934. Such forward-looking statements are subject to certain risks, uncertainties and assumptions. Although the Company believes that its expectations are reasonable, it can give no assurance that these expectations will prove to be correct, and actual results may vary materially. Factors that could cause actual results to differ materially from those contemplated above include, among others, general economic conditions, hazards customary in the power industry, and the other risks and uncertainties detailed in the Company’s most recent Forms 10-K, 10-Q and 8-K filed with or furnished to the SEC at </w:t>
      </w:r>
      <w:r>
        <w:rPr>
          <w:rFonts w:ascii="Times New Roman;Times;Serif" w:hAnsi="Times New Roman;Times;Serif"/>
          <w:b w:val="false"/>
          <w:i/>
          <w:caps w:val="false"/>
          <w:smallCaps w:val="false"/>
          <w:sz w:val="20"/>
          <w:u w:val="single"/>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335"/>
        <w:gridCol w:w="1775"/>
        <w:gridCol w:w="75"/>
      </w:tblGrid>
      <w:tr>
        <w:trPr/>
        <w:tc>
          <w:tcPr>
            <w:tcW w:w="211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NRG Energy, Inc.</w:t>
            </w:r>
          </w:p>
        </w:tc>
        <w:tc>
          <w:tcPr>
            <w:tcW w:w="75" w:type="dxa"/>
            <w:tcBorders/>
            <w:vAlign w:val="center"/>
          </w:tcPr>
          <w:p>
            <w:pPr>
              <w:pStyle w:val="TableContents"/>
              <w:bidi w:val="0"/>
              <w:spacing w:before="0" w:after="283"/>
              <w:jc w:val="left"/>
              <w:rPr/>
            </w:pPr>
            <w:r>
              <w:rPr/>
              <w:t> </w:t>
            </w:r>
          </w:p>
        </w:tc>
      </w:tr>
      <w:tr>
        <w:trPr/>
        <w:tc>
          <w:tcPr>
            <w:tcW w:w="211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(Registrant)</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Christine A. Zoino</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Christine A. Zoino</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Secretary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15, 2026</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530</Words>
  <Characters>2918</Characters>
  <CharactersWithSpaces>3460</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