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Kinney Virginia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804 CARNEGIE CENTER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PRINCETON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08540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NRG ENERGY, INC.</w:t>
              </w:r>
            </w:hyperlink>
            <w:r>
              <w:rPr/>
              <w:t xml:space="preserve"> [ </w:t>
            </w:r>
            <w:r>
              <w:rPr>
                <w:rFonts w:ascii="Times;serif" w:hAnsi="Times;serif"/>
                <w:color w:val="0000FF"/>
                <w:sz w:val="24"/>
                <w:shd w:fill="FFFFFF" w:val="clear"/>
              </w:rPr>
              <w:t>NRG</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 VP, Chief Admin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65"/>
        <w:gridCol w:w="446"/>
        <w:gridCol w:w="835"/>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$.01 per share</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11,145</w:t>
            </w:r>
            <w:r>
              <w:rPr>
                <w:rFonts w:ascii="Times;serif" w:hAnsi="Times;serif"/>
                <w:color w:val="008000"/>
                <w:position w:val="7"/>
                <w:sz w:val="16"/>
                <w:sz w:val="20"/>
                <w:shd w:fill="FFFFFF" w:val="clear"/>
              </w:rPr>
              <w:t>(1)</w:t>
            </w:r>
            <w:r>
              <w:rPr/>
              <w:t xml:space="preserve"> </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140.64</w:t>
            </w:r>
            <w:r>
              <w:rPr/>
              <w:t xml:space="preserve"> </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33,966</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executed in multiple trades. The price reported reflects the weighted average sale price. The Reporting Person hereby undertakes to provide upon request to the SEC staff, the issuer or a security holder of the issuer full information regarding the number of shares and prices at which the transaction was effected. The sales reported in this Form 4 were effected pursuant to a Rule 10b5-1 trading plan adopted by the Reporting Person on August 8, 2025.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Christine Zoino,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48902" TargetMode="External"/><Relationship Id="rId5" Type="http://schemas.openxmlformats.org/officeDocument/2006/relationships/hyperlink" Target="http://www.sec.gov/cgi-bin/browse-edgar?action=getcompany&amp;CIK=000101387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646</Words>
  <Characters>3472</Characters>
  <CharactersWithSpaces>4059</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