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206375</wp:posOffset>
            </wp:positionH>
            <wp:positionV relativeFrom="page">
              <wp:posOffset>615315</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573405</wp:posOffset>
            </wp:positionV>
            <wp:extent cx="711898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16510"/>
                    </a:xfrm>
                    <a:prstGeom prst="rect">
                      <a:avLst/>
                    </a:prstGeom>
                    <a:noFill/>
                  </pic:spPr>
                </pic:pic>
              </a:graphicData>
            </a:graphic>
          </wp:anchor>
        </w:drawing>
        <w:t>UNITED STATES SECURITIES AND EXCHANGE COMMISSION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7" w:lineRule="exact"/>
        <w:rPr>
          <w:sz w:val="24"/>
          <w:szCs w:val="24"/>
          <w:color w:val="auto"/>
        </w:rPr>
      </w:pPr>
    </w:p>
    <w:p>
      <w:pPr>
        <w:ind w:left="880" w:hanging="612"/>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9" w:lineRule="exact"/>
        <w:rPr>
          <w:sz w:val="24"/>
          <w:szCs w:val="24"/>
          <w:color w:val="auto"/>
        </w:rPr>
      </w:pPr>
    </w:p>
    <w:p>
      <w:pPr>
        <w:ind w:left="880"/>
        <w:spacing w:after="0"/>
        <w:tabs>
          <w:tab w:leader="none" w:pos="408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6"/>
          <w:szCs w:val="16"/>
          <w:b w:val="1"/>
          <w:bCs w:val="1"/>
          <w:color w:val="auto"/>
        </w:rPr>
        <w:t>March 31, 2026</w:t>
      </w:r>
    </w:p>
    <w:p>
      <w:pPr>
        <w:spacing w:after="0" w:line="69" w:lineRule="exact"/>
        <w:rPr>
          <w:sz w:val="24"/>
          <w:szCs w:val="24"/>
          <w:color w:val="auto"/>
        </w:rPr>
      </w:pPr>
    </w:p>
    <w:p>
      <w:pPr>
        <w:ind w:left="880" w:hanging="612"/>
        <w:spacing w:after="0"/>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001-15891</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NRG Energy,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257" w:right="339" w:bottom="1440" w:gutter="0" w:footer="0" w:header="0"/>
        </w:sectPr>
      </w:pPr>
    </w:p>
    <w:p>
      <w:pPr>
        <w:spacing w:after="0" w:line="2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60"/>
        <w:spacing w:after="0"/>
        <w:rPr>
          <w:sz w:val="20"/>
          <w:szCs w:val="20"/>
          <w:color w:val="auto"/>
        </w:rPr>
      </w:pPr>
      <w:r>
        <w:rPr>
          <w:rFonts w:ascii="Times New Roman" w:cs="Times New Roman" w:eastAsia="Times New Roman" w:hAnsi="Times New Roman"/>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2620"/>
        <w:spacing w:after="0"/>
        <w:rPr>
          <w:sz w:val="20"/>
          <w:szCs w:val="20"/>
          <w:color w:val="auto"/>
        </w:rPr>
      </w:pPr>
      <w:r>
        <w:rPr>
          <w:rFonts w:ascii="Times New Roman" w:cs="Times New Roman" w:eastAsia="Times New Roman" w:hAnsi="Times New Roman"/>
          <w:sz w:val="18"/>
          <w:szCs w:val="18"/>
          <w:b w:val="1"/>
          <w:bCs w:val="1"/>
          <w:color w:val="auto"/>
        </w:rPr>
        <w:t>41-1724239</w:t>
      </w:r>
    </w:p>
    <w:p>
      <w:pPr>
        <w:spacing w:after="0" w:line="3" w:lineRule="exact"/>
        <w:rPr>
          <w:sz w:val="24"/>
          <w:szCs w:val="24"/>
          <w:color w:val="auto"/>
        </w:rPr>
      </w:pPr>
    </w:p>
    <w:p>
      <w:pPr>
        <w:jc w:val="center"/>
        <w:ind w:right="26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262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49" w:lineRule="exact"/>
        <w:rPr>
          <w:sz w:val="24"/>
          <w:szCs w:val="24"/>
          <w:color w:val="auto"/>
        </w:rPr>
      </w:pPr>
    </w:p>
    <w:p>
      <w:pPr>
        <w:sectPr>
          <w:pgSz w:w="11900" w:h="16838" w:orient="portrait"/>
          <w:cols w:equalWidth="0" w:num="2">
            <w:col w:w="6600" w:space="720"/>
            <w:col w:w="3920"/>
          </w:cols>
          <w:pgMar w:left="320" w:top="1257" w:right="339" w:bottom="1440" w:gutter="0" w:footer="0" w:header="0"/>
          <w:type w:val="continuous"/>
        </w:sectPr>
      </w:pPr>
    </w:p>
    <w:p>
      <w:pPr>
        <w:jc w:val="right"/>
        <w:ind w:right="102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1301 McKinney Street Houston</w:t>
      </w:r>
      <w:r>
        <w:rPr>
          <w:sz w:val="20"/>
          <w:szCs w:val="20"/>
          <w:color w:val="auto"/>
        </w:rPr>
        <w:tab/>
      </w:r>
      <w:r>
        <w:rPr>
          <w:rFonts w:ascii="Times New Roman" w:cs="Times New Roman" w:eastAsia="Times New Roman" w:hAnsi="Times New Roman"/>
          <w:sz w:val="16"/>
          <w:szCs w:val="16"/>
          <w:b w:val="1"/>
          <w:bCs w:val="1"/>
          <w:color w:val="auto"/>
        </w:rPr>
        <w:t>Texas</w:t>
      </w:r>
    </w:p>
    <w:p>
      <w:pPr>
        <w:spacing w:after="0" w:line="23" w:lineRule="exact"/>
        <w:rPr>
          <w:sz w:val="24"/>
          <w:szCs w:val="24"/>
          <w:color w:val="auto"/>
        </w:rPr>
      </w:pPr>
    </w:p>
    <w:p>
      <w:pPr>
        <w:jc w:val="right"/>
        <w:ind w:right="10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77010</w:t>
      </w:r>
    </w:p>
    <w:p>
      <w:pPr>
        <w:spacing w:after="0" w:line="23" w:lineRule="exact"/>
        <w:rPr>
          <w:sz w:val="24"/>
          <w:szCs w:val="24"/>
          <w:color w:val="auto"/>
        </w:rPr>
      </w:pPr>
    </w:p>
    <w:p>
      <w:pPr>
        <w:jc w:val="center"/>
        <w:ind w:right="2820"/>
        <w:spacing w:after="0"/>
        <w:rPr>
          <w:sz w:val="20"/>
          <w:szCs w:val="20"/>
          <w:color w:val="auto"/>
        </w:rPr>
      </w:pPr>
      <w:r>
        <w:rPr>
          <w:rFonts w:ascii="Times New Roman" w:cs="Times New Roman" w:eastAsia="Times New Roman" w:hAnsi="Times New Roman"/>
          <w:sz w:val="16"/>
          <w:szCs w:val="16"/>
          <w:color w:val="auto"/>
        </w:rPr>
        <w:t>(Zip Code)</w:t>
      </w:r>
    </w:p>
    <w:p>
      <w:pPr>
        <w:spacing w:after="0" w:line="98" w:lineRule="exact"/>
        <w:rPr>
          <w:sz w:val="24"/>
          <w:szCs w:val="24"/>
          <w:color w:val="auto"/>
        </w:rPr>
      </w:pPr>
    </w:p>
    <w:p>
      <w:pPr>
        <w:sectPr>
          <w:pgSz w:w="11900" w:h="16838" w:orient="portrait"/>
          <w:cols w:equalWidth="0" w:num="2">
            <w:col w:w="6940" w:space="720"/>
            <w:col w:w="3580"/>
          </w:cols>
          <w:pgMar w:left="320" w:top="125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537-3000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43" w:lineRule="exact"/>
        <w:rPr>
          <w:sz w:val="24"/>
          <w:szCs w:val="24"/>
          <w:color w:val="auto"/>
        </w:rPr>
      </w:pPr>
    </w:p>
    <w:tbl>
      <w:tblPr>
        <w:tblLayout w:type="fixed"/>
        <w:tblInd w:w="160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2140" w:type="dxa"/>
            <w:vAlign w:val="bottom"/>
            <w:gridSpan w:val="2"/>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8"/>
              </w:rPr>
              <w:t>Title of Each Class</w:t>
            </w:r>
          </w:p>
        </w:tc>
        <w:tc>
          <w:tcPr>
            <w:tcW w:w="276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Exchange on Which Registered</w:t>
            </w:r>
          </w:p>
        </w:tc>
      </w:tr>
      <w:tr>
        <w:trPr>
          <w:trHeight w:val="20"/>
        </w:trPr>
        <w:tc>
          <w:tcPr>
            <w:tcW w:w="4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r>
      <w:tr>
        <w:trPr>
          <w:trHeight w:val="225"/>
        </w:trPr>
        <w:tc>
          <w:tcPr>
            <w:tcW w:w="25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color w:val="auto"/>
                <w:w w:val="99"/>
              </w:rPr>
              <w:t>Common Stock, par value $0.01</w:t>
            </w:r>
          </w:p>
        </w:tc>
        <w:tc>
          <w:tcPr>
            <w:tcW w:w="500" w:type="dxa"/>
            <w:vAlign w:val="bottom"/>
          </w:tcPr>
          <w:p>
            <w:pPr>
              <w:spacing w:after="0"/>
              <w:rPr>
                <w:sz w:val="19"/>
                <w:szCs w:val="19"/>
                <w:color w:val="auto"/>
              </w:rPr>
            </w:pPr>
          </w:p>
        </w:tc>
        <w:tc>
          <w:tcPr>
            <w:tcW w:w="2260" w:type="dxa"/>
            <w:vAlign w:val="bottom"/>
            <w:gridSpan w:val="2"/>
          </w:tcPr>
          <w:p>
            <w:pPr>
              <w:jc w:val="center"/>
              <w:ind w:right="1020"/>
              <w:spacing w:after="0"/>
              <w:rPr>
                <w:sz w:val="20"/>
                <w:szCs w:val="20"/>
                <w:color w:val="auto"/>
              </w:rPr>
            </w:pPr>
            <w:r>
              <w:rPr>
                <w:rFonts w:ascii="Times New Roman" w:cs="Times New Roman" w:eastAsia="Times New Roman" w:hAnsi="Times New Roman"/>
                <w:sz w:val="16"/>
                <w:szCs w:val="16"/>
                <w:color w:val="auto"/>
                <w:w w:val="94"/>
              </w:rPr>
              <w:t>NRG</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r>
      <w:tr>
        <w:trPr>
          <w:trHeight w:val="211"/>
        </w:trPr>
        <w:tc>
          <w:tcPr>
            <w:tcW w:w="25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color w:val="auto"/>
                <w:w w:val="99"/>
              </w:rPr>
              <w:t>Common Stock, par value $0.01</w:t>
            </w:r>
          </w:p>
        </w:tc>
        <w:tc>
          <w:tcPr>
            <w:tcW w:w="500" w:type="dxa"/>
            <w:vAlign w:val="bottom"/>
          </w:tcPr>
          <w:p>
            <w:pPr>
              <w:spacing w:after="0"/>
              <w:rPr>
                <w:sz w:val="18"/>
                <w:szCs w:val="18"/>
                <w:color w:val="auto"/>
              </w:rPr>
            </w:pPr>
          </w:p>
        </w:tc>
        <w:tc>
          <w:tcPr>
            <w:tcW w:w="2260" w:type="dxa"/>
            <w:vAlign w:val="bottom"/>
            <w:gridSpan w:val="2"/>
          </w:tcPr>
          <w:p>
            <w:pPr>
              <w:jc w:val="center"/>
              <w:ind w:right="1020"/>
              <w:spacing w:after="0"/>
              <w:rPr>
                <w:sz w:val="20"/>
                <w:szCs w:val="20"/>
                <w:color w:val="auto"/>
              </w:rPr>
            </w:pPr>
            <w:r>
              <w:rPr>
                <w:rFonts w:ascii="Times New Roman" w:cs="Times New Roman" w:eastAsia="Times New Roman" w:hAnsi="Times New Roman"/>
                <w:sz w:val="16"/>
                <w:szCs w:val="16"/>
                <w:color w:val="auto"/>
                <w:w w:val="94"/>
              </w:rPr>
              <w:t>NRG</w:t>
            </w:r>
          </w:p>
        </w:tc>
        <w:tc>
          <w:tcPr>
            <w:tcW w:w="27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NYSE Texas</w:t>
            </w:r>
          </w:p>
        </w:tc>
      </w:tr>
    </w:tbl>
    <w:p>
      <w:pPr>
        <w:spacing w:after="0" w:line="170" w:lineRule="exact"/>
        <w:rPr>
          <w:sz w:val="24"/>
          <w:szCs w:val="24"/>
          <w:color w:val="auto"/>
        </w:rPr>
      </w:pPr>
    </w:p>
    <w:p>
      <w:pPr>
        <w:jc w:val="both"/>
        <w:ind w:firstLine="276"/>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6" w:lineRule="exact"/>
        <w:rPr>
          <w:sz w:val="24"/>
          <w:szCs w:val="24"/>
          <w:color w:val="auto"/>
        </w:rPr>
      </w:pPr>
    </w:p>
    <w:p>
      <w:pPr>
        <w:jc w:val="center"/>
        <w:ind w:right="-19"/>
        <w:spacing w:after="0" w:line="207" w:lineRule="exact"/>
        <w:tabs>
          <w:tab w:leader="none" w:pos="30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147" w:lineRule="exact"/>
        <w:rPr>
          <w:sz w:val="24"/>
          <w:szCs w:val="24"/>
          <w:color w:val="auto"/>
        </w:rPr>
      </w:pPr>
    </w:p>
    <w:p>
      <w:pPr>
        <w:jc w:val="both"/>
        <w:ind w:firstLine="276"/>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6" w:lineRule="exact"/>
        <w:rPr>
          <w:sz w:val="24"/>
          <w:szCs w:val="24"/>
          <w:color w:val="auto"/>
        </w:rPr>
      </w:pPr>
    </w:p>
    <w:p>
      <w:pPr>
        <w:jc w:val="center"/>
        <w:ind w:right="-19"/>
        <w:spacing w:after="0" w:line="207" w:lineRule="exact"/>
        <w:tabs>
          <w:tab w:leader="none" w:pos="30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147" w:lineRule="exact"/>
        <w:rPr>
          <w:sz w:val="24"/>
          <w:szCs w:val="24"/>
          <w:color w:val="auto"/>
        </w:rPr>
      </w:pPr>
    </w:p>
    <w:p>
      <w:pPr>
        <w:jc w:val="both"/>
        <w:ind w:firstLine="276"/>
        <w:spacing w:after="0" w:line="28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p>
    <w:p>
      <w:pPr>
        <w:spacing w:after="0"/>
        <w:tabs>
          <w:tab w:leader="none" w:pos="1620" w:val="left"/>
          <w:tab w:leader="none" w:pos="3460" w:val="left"/>
          <w:tab w:leader="none" w:pos="5360" w:val="left"/>
          <w:tab w:leader="none" w:pos="7000" w:val="left"/>
          <w:tab w:leader="none" w:pos="8720" w:val="left"/>
          <w:tab w:leader="none" w:pos="10920" w:val="left"/>
        </w:tabs>
        <w:rPr>
          <w:sz w:val="20"/>
          <w:szCs w:val="20"/>
          <w:color w:val="auto"/>
        </w:rPr>
      </w:pPr>
      <w:r>
        <w:rPr>
          <w:rFonts w:ascii="Times New Roman" w:cs="Times New Roman" w:eastAsia="Times New Roman" w:hAnsi="Times New Roman"/>
          <w:sz w:val="18"/>
          <w:szCs w:val="18"/>
          <w:color w:val="auto"/>
        </w:rPr>
        <w:t>in</w:t>
      </w:r>
      <w:r>
        <w:rPr>
          <w:sz w:val="20"/>
          <w:szCs w:val="20"/>
          <w:color w:val="auto"/>
        </w:rPr>
        <w:tab/>
      </w:r>
      <w:r>
        <w:rPr>
          <w:rFonts w:ascii="Times New Roman" w:cs="Times New Roman" w:eastAsia="Times New Roman" w:hAnsi="Times New Roman"/>
          <w:sz w:val="18"/>
          <w:szCs w:val="18"/>
          <w:color w:val="auto"/>
        </w:rPr>
        <w:t>Rule</w:t>
      </w:r>
      <w:r>
        <w:rPr>
          <w:sz w:val="20"/>
          <w:szCs w:val="20"/>
          <w:color w:val="auto"/>
        </w:rPr>
        <w:tab/>
      </w:r>
      <w:r>
        <w:rPr>
          <w:rFonts w:ascii="Times New Roman" w:cs="Times New Roman" w:eastAsia="Times New Roman" w:hAnsi="Times New Roman"/>
          <w:sz w:val="18"/>
          <w:szCs w:val="18"/>
          <w:color w:val="auto"/>
        </w:rPr>
        <w:t>12b-2</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Exchange</w:t>
      </w:r>
      <w:r>
        <w:rPr>
          <w:sz w:val="20"/>
          <w:szCs w:val="20"/>
          <w:color w:val="auto"/>
        </w:rPr>
        <w:tab/>
      </w:r>
      <w:r>
        <w:rPr>
          <w:rFonts w:ascii="Times New Roman" w:cs="Times New Roman" w:eastAsia="Times New Roman" w:hAnsi="Times New Roman"/>
          <w:sz w:val="16"/>
          <w:szCs w:val="16"/>
          <w:color w:val="auto"/>
        </w:rPr>
        <w:t>Act.</w:t>
      </w:r>
    </w:p>
    <w:p>
      <w:pPr>
        <w:sectPr>
          <w:pgSz w:w="11900" w:h="16838" w:orient="portrait"/>
          <w:cols w:equalWidth="0" w:num="1">
            <w:col w:w="11240"/>
          </w:cols>
          <w:pgMar w:left="320" w:top="1257" w:right="339" w:bottom="1440" w:gutter="0" w:footer="0" w:header="0"/>
          <w:type w:val="continuous"/>
        </w:sectPr>
      </w:pPr>
    </w:p>
    <w:p>
      <w:pPr>
        <w:spacing w:after="0" w:line="19"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3"/>
          <w:szCs w:val="13"/>
          <w:b w:val="1"/>
          <w:bCs w:val="1"/>
          <w:color w:val="auto"/>
        </w:rPr>
        <w:t>Large Accelerated Filer</w:t>
      </w:r>
    </w:p>
    <w:p>
      <w:pPr>
        <w:spacing w:after="0" w:line="20" w:lineRule="exact"/>
        <w:rPr>
          <w:sz w:val="24"/>
          <w:szCs w:val="24"/>
          <w:color w:val="auto"/>
        </w:rPr>
      </w:pPr>
      <w:r>
        <w:rPr>
          <w:sz w:val="24"/>
          <w:szCs w:val="24"/>
          <w:color w:val="auto"/>
        </w:rPr>
        <w:br w:type="column"/>
      </w:r>
    </w:p>
    <w:p>
      <w:pPr>
        <w:spacing w:after="0" w:line="105"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Accelerated filer</w:t>
      </w:r>
    </w:p>
    <w:p>
      <w:pPr>
        <w:spacing w:after="0" w:line="20" w:lineRule="exact"/>
        <w:rPr>
          <w:sz w:val="24"/>
          <w:szCs w:val="24"/>
          <w:color w:val="auto"/>
        </w:rPr>
      </w:pPr>
      <w:r>
        <w:rPr>
          <w:sz w:val="24"/>
          <w:szCs w:val="24"/>
          <w:color w:val="auto"/>
        </w:rPr>
        <w:br w:type="column"/>
      </w:r>
    </w:p>
    <w:p>
      <w:pPr>
        <w:spacing w:after="0" w:line="105"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Non-accelerated filer</w:t>
      </w:r>
    </w:p>
    <w:p>
      <w:pPr>
        <w:spacing w:after="0" w:line="20" w:lineRule="exact"/>
        <w:rPr>
          <w:sz w:val="24"/>
          <w:szCs w:val="24"/>
          <w:color w:val="auto"/>
        </w:rPr>
      </w:pPr>
      <w:r>
        <w:rPr>
          <w:sz w:val="24"/>
          <w:szCs w:val="24"/>
          <w:color w:val="auto"/>
        </w:rPr>
        <w:br w:type="column"/>
      </w:r>
    </w:p>
    <w:p>
      <w:pPr>
        <w:spacing w:after="0" w:line="105"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Smaller reporting company</w:t>
      </w:r>
    </w:p>
    <w:p>
      <w:pPr>
        <w:spacing w:after="0" w:line="20" w:lineRule="exact"/>
        <w:rPr>
          <w:sz w:val="24"/>
          <w:szCs w:val="24"/>
          <w:color w:val="auto"/>
        </w:rPr>
      </w:pPr>
      <w:r>
        <w:rPr>
          <w:sz w:val="24"/>
          <w:szCs w:val="24"/>
          <w:color w:val="auto"/>
        </w:rPr>
        <w:br w:type="column"/>
      </w:r>
    </w:p>
    <w:p>
      <w:pPr>
        <w:jc w:val="center"/>
        <w:spacing w:after="0" w:line="105"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Emerging growth company</w:t>
      </w:r>
    </w:p>
    <w:p>
      <w:pPr>
        <w:spacing w:after="0" w:line="20" w:lineRule="exact"/>
        <w:rPr>
          <w:sz w:val="24"/>
          <w:szCs w:val="24"/>
          <w:color w:val="auto"/>
        </w:rPr>
      </w:pPr>
      <w:r>
        <w:rPr>
          <w:sz w:val="24"/>
          <w:szCs w:val="24"/>
          <w:color w:val="auto"/>
        </w:rPr>
        <w:br w:type="column"/>
      </w:r>
    </w:p>
    <w:p>
      <w:pPr>
        <w:spacing w:after="0" w:line="105" w:lineRule="exact"/>
        <w:rPr>
          <w:sz w:val="20"/>
          <w:szCs w:val="20"/>
          <w:color w:val="auto"/>
        </w:rPr>
      </w:pPr>
      <w:r>
        <w:rPr>
          <w:rFonts w:ascii="MS PGothic" w:cs="MS PGothic" w:eastAsia="MS PGothic" w:hAnsi="MS PGothic"/>
          <w:sz w:val="12"/>
          <w:szCs w:val="12"/>
          <w:color w:val="auto"/>
        </w:rPr>
        <w:t>☐</w:t>
      </w:r>
    </w:p>
    <w:p>
      <w:pPr>
        <w:spacing w:after="0" w:line="256" w:lineRule="exact"/>
        <w:rPr>
          <w:sz w:val="24"/>
          <w:szCs w:val="24"/>
          <w:color w:val="auto"/>
        </w:rPr>
      </w:pPr>
    </w:p>
    <w:p>
      <w:pPr>
        <w:sectPr>
          <w:pgSz w:w="11900" w:h="16838" w:orient="portrait"/>
          <w:cols w:equalWidth="0" w:num="10">
            <w:col w:w="1640" w:space="240"/>
            <w:col w:w="120" w:space="340"/>
            <w:col w:w="1000" w:space="260"/>
            <w:col w:w="120" w:space="420"/>
            <w:col w:w="1260" w:space="420"/>
            <w:col w:w="120" w:space="320"/>
            <w:col w:w="1660" w:space="320"/>
            <w:col w:w="120" w:space="340"/>
            <w:col w:w="1640" w:space="340"/>
            <w:col w:w="560"/>
          </w:cols>
          <w:pgMar w:left="320" w:top="1257" w:right="339" w:bottom="1440" w:gutter="0" w:footer="0" w:header="0"/>
          <w:type w:val="continuous"/>
        </w:sectPr>
      </w:pPr>
    </w:p>
    <w:p>
      <w:pPr>
        <w:spacing w:after="0" w:line="185" w:lineRule="exact"/>
        <w:rPr>
          <w:sz w:val="24"/>
          <w:szCs w:val="24"/>
          <w:color w:val="auto"/>
        </w:rPr>
      </w:pPr>
    </w:p>
    <w:p>
      <w:pPr>
        <w:ind w:firstLine="316"/>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70" w:lineRule="exact"/>
        <w:rPr>
          <w:sz w:val="24"/>
          <w:szCs w:val="24"/>
          <w:color w:val="auto"/>
        </w:rPr>
      </w:pPr>
    </w:p>
    <w:p>
      <w:pPr>
        <w:ind w:left="5040"/>
        <w:spacing w:after="0" w:line="207" w:lineRule="exact"/>
        <w:tabs>
          <w:tab w:leader="none" w:pos="578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147"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color w:val="auto"/>
        </w:rPr>
        <w:t>As of April 30, 2026, there were 210,986,470 shares of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97790</wp:posOffset>
            </wp:positionV>
            <wp:extent cx="7118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6"/>
              </w:rPr>
              <w:t>CAUTIONARY STATEMENT REGARDING FORWARD LOOKING INFORMATION</w:t>
            </w:r>
          </w:p>
        </w:tc>
        <w:tc>
          <w:tcPr>
            <w:tcW w:w="3060" w:type="dxa"/>
            <w:vAlign w:val="bottom"/>
            <w:gridSpan w:val="3"/>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4"/>
        </w:trPr>
        <w:tc>
          <w:tcPr>
            <w:tcW w:w="1920" w:type="dxa"/>
            <w:vAlign w:val="bottom"/>
            <w:tcBorders>
              <w:bottom w:val="single" w:sz="8" w:color="0000FF"/>
            </w:tcBorders>
            <w:gridSpan w:val="5"/>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6"/>
              </w:rPr>
              <w:t>GLOSSARY OF TERMS</w:t>
            </w:r>
          </w:p>
        </w:tc>
        <w:tc>
          <w:tcPr>
            <w:tcW w:w="7800" w:type="dxa"/>
            <w:vAlign w:val="bottom"/>
            <w:gridSpan w:val="13"/>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5</w:t>
            </w:r>
          </w:p>
        </w:tc>
      </w:tr>
      <w:tr>
        <w:trPr>
          <w:trHeight w:val="204"/>
        </w:trPr>
        <w:tc>
          <w:tcPr>
            <w:tcW w:w="9720" w:type="dxa"/>
            <w:vAlign w:val="bottom"/>
            <w:gridSpan w:val="18"/>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14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2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04"/>
        </w:trPr>
        <w:tc>
          <w:tcPr>
            <w:tcW w:w="200" w:type="dxa"/>
            <w:vAlign w:val="bottom"/>
          </w:tcPr>
          <w:p>
            <w:pPr>
              <w:spacing w:after="0"/>
              <w:rPr>
                <w:sz w:val="17"/>
                <w:szCs w:val="17"/>
                <w:color w:val="auto"/>
              </w:rPr>
            </w:pPr>
          </w:p>
        </w:tc>
        <w:tc>
          <w:tcPr>
            <w:tcW w:w="6440" w:type="dxa"/>
            <w:vAlign w:val="bottom"/>
            <w:tcBorders>
              <w:bottom w:val="single" w:sz="8" w:color="0000FF"/>
            </w:tcBorders>
            <w:gridSpan w:val="13"/>
          </w:tcPr>
          <w:p>
            <w:pPr>
              <w:spacing w:after="0" w:line="204" w:lineRule="exact"/>
              <w:rPr>
                <w:sz w:val="20"/>
                <w:szCs w:val="20"/>
                <w:color w:val="auto"/>
              </w:rPr>
            </w:pPr>
            <w:r>
              <w:rPr>
                <w:rFonts w:ascii="Times New Roman" w:cs="Times New Roman" w:eastAsia="Times New Roman" w:hAnsi="Times New Roman"/>
                <w:sz w:val="18"/>
                <w:szCs w:val="18"/>
                <w:color w:val="0000FF"/>
                <w:w w:val="96"/>
              </w:rPr>
              <w:t>ITEM 1 — CONDENSED CONSOLIDATED FINANCIAL STATEMENTS AND NOTES</w:t>
            </w:r>
          </w:p>
        </w:tc>
        <w:tc>
          <w:tcPr>
            <w:tcW w:w="3080" w:type="dxa"/>
            <w:vAlign w:val="bottom"/>
            <w:gridSpan w:val="4"/>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8</w:t>
            </w:r>
          </w:p>
        </w:tc>
      </w:tr>
      <w:tr>
        <w:trPr>
          <w:trHeight w:val="217"/>
        </w:trPr>
        <w:tc>
          <w:tcPr>
            <w:tcW w:w="200" w:type="dxa"/>
            <w:vAlign w:val="bottom"/>
          </w:tcPr>
          <w:p>
            <w:pPr>
              <w:spacing w:after="0"/>
              <w:rPr>
                <w:sz w:val="18"/>
                <w:szCs w:val="18"/>
                <w:color w:val="auto"/>
              </w:rPr>
            </w:pPr>
          </w:p>
        </w:tc>
        <w:tc>
          <w:tcPr>
            <w:tcW w:w="952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18"/>
                <w:szCs w:val="18"/>
                <w:color w:val="0000FF"/>
                <w:w w:val="96"/>
              </w:rPr>
              <w:t>ITEM 2 — MANAGEMENT’S DISCUSSION AND ANALYSIS OF FINANCIAL CONDITION AND RESULTS OF OPERATIONS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w:t>
            </w:r>
          </w:p>
        </w:tc>
      </w:tr>
      <w:tr>
        <w:trPr>
          <w:trHeight w:val="230"/>
        </w:trPr>
        <w:tc>
          <w:tcPr>
            <w:tcW w:w="200" w:type="dxa"/>
            <w:vAlign w:val="bottom"/>
          </w:tcPr>
          <w:p>
            <w:pPr>
              <w:spacing w:after="0"/>
              <w:rPr>
                <w:sz w:val="20"/>
                <w:szCs w:val="20"/>
                <w:color w:val="auto"/>
              </w:rPr>
            </w:pPr>
          </w:p>
        </w:tc>
        <w:tc>
          <w:tcPr>
            <w:tcW w:w="9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3 — QUANTITATIVE AND QUALITATIVE DISCLOSURES ABOUT MARKET RISK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w:t>
            </w:r>
          </w:p>
        </w:tc>
      </w:tr>
      <w:tr>
        <w:trPr>
          <w:trHeight w:val="204"/>
        </w:trPr>
        <w:tc>
          <w:tcPr>
            <w:tcW w:w="200" w:type="dxa"/>
            <w:vAlign w:val="bottom"/>
          </w:tcPr>
          <w:p>
            <w:pPr>
              <w:spacing w:after="0"/>
              <w:rPr>
                <w:sz w:val="17"/>
                <w:szCs w:val="17"/>
                <w:color w:val="auto"/>
              </w:rPr>
            </w:pPr>
          </w:p>
        </w:tc>
        <w:tc>
          <w:tcPr>
            <w:tcW w:w="3360" w:type="dxa"/>
            <w:vAlign w:val="bottom"/>
            <w:tcBorders>
              <w:top w:val="single" w:sz="8" w:color="0000FF"/>
              <w:bottom w:val="single" w:sz="8" w:color="0000FF"/>
            </w:tcBorders>
            <w:gridSpan w:val="11"/>
          </w:tcPr>
          <w:p>
            <w:pPr>
              <w:spacing w:after="0" w:line="204" w:lineRule="exact"/>
              <w:rPr>
                <w:sz w:val="20"/>
                <w:szCs w:val="20"/>
                <w:color w:val="auto"/>
              </w:rPr>
            </w:pPr>
            <w:r>
              <w:rPr>
                <w:rFonts w:ascii="Times New Roman" w:cs="Times New Roman" w:eastAsia="Times New Roman" w:hAnsi="Times New Roman"/>
                <w:sz w:val="18"/>
                <w:szCs w:val="18"/>
                <w:color w:val="0000FF"/>
                <w:w w:val="96"/>
              </w:rPr>
              <w:t>ITEM 4 — CONTROLS AND PROCEDURES</w:t>
            </w:r>
          </w:p>
        </w:tc>
        <w:tc>
          <w:tcPr>
            <w:tcW w:w="3440" w:type="dxa"/>
            <w:vAlign w:val="bottom"/>
            <w:tcBorders>
              <w:top w:val="single" w:sz="8" w:color="0000FF"/>
            </w:tcBorders>
            <w:gridSpan w:val="5"/>
          </w:tcPr>
          <w:p>
            <w:pPr>
              <w:spacing w:after="0"/>
              <w:rPr>
                <w:sz w:val="17"/>
                <w:szCs w:val="17"/>
                <w:color w:val="auto"/>
              </w:rPr>
            </w:pPr>
          </w:p>
        </w:tc>
        <w:tc>
          <w:tcPr>
            <w:tcW w:w="2720" w:type="dxa"/>
            <w:vAlign w:val="bottom"/>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73</w:t>
            </w:r>
          </w:p>
        </w:tc>
      </w:tr>
      <w:tr>
        <w:trPr>
          <w:trHeight w:val="204"/>
        </w:trPr>
        <w:tc>
          <w:tcPr>
            <w:tcW w:w="2880" w:type="dxa"/>
            <w:vAlign w:val="bottom"/>
            <w:tcBorders>
              <w:bottom w:val="single" w:sz="8" w:color="0000FF"/>
            </w:tcBorders>
            <w:gridSpan w:val="9"/>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5"/>
              </w:rPr>
              <w:t>PART II — OTHER INFORMATION</w:t>
            </w:r>
          </w:p>
        </w:tc>
        <w:tc>
          <w:tcPr>
            <w:tcW w:w="6840" w:type="dxa"/>
            <w:vAlign w:val="bottom"/>
            <w:gridSpan w:val="9"/>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74</w:t>
            </w:r>
          </w:p>
        </w:tc>
      </w:tr>
      <w:tr>
        <w:trPr>
          <w:trHeight w:val="204"/>
        </w:trPr>
        <w:tc>
          <w:tcPr>
            <w:tcW w:w="200" w:type="dxa"/>
            <w:vAlign w:val="bottom"/>
          </w:tcPr>
          <w:p>
            <w:pPr>
              <w:spacing w:after="0"/>
              <w:rPr>
                <w:sz w:val="17"/>
                <w:szCs w:val="17"/>
                <w:color w:val="auto"/>
              </w:rPr>
            </w:pPr>
          </w:p>
        </w:tc>
        <w:tc>
          <w:tcPr>
            <w:tcW w:w="9520" w:type="dxa"/>
            <w:vAlign w:val="bottom"/>
            <w:gridSpan w:val="17"/>
          </w:tcPr>
          <w:p>
            <w:pPr>
              <w:spacing w:after="0" w:line="204" w:lineRule="exact"/>
              <w:rPr>
                <w:sz w:val="20"/>
                <w:szCs w:val="20"/>
                <w:color w:val="auto"/>
              </w:rPr>
            </w:pPr>
            <w:r>
              <w:rPr>
                <w:rFonts w:ascii="Times New Roman" w:cs="Times New Roman" w:eastAsia="Times New Roman" w:hAnsi="Times New Roman"/>
                <w:sz w:val="18"/>
                <w:szCs w:val="18"/>
                <w:color w:val="0000FF"/>
              </w:rPr>
              <w:t>ITEM 1 — LEGAL PROCEEDINGS</w:t>
            </w:r>
          </w:p>
        </w:tc>
        <w:tc>
          <w:tcPr>
            <w:tcW w:w="14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74</w:t>
            </w:r>
          </w:p>
        </w:tc>
      </w:tr>
      <w:tr>
        <w:trPr>
          <w:trHeight w:val="204"/>
        </w:trPr>
        <w:tc>
          <w:tcPr>
            <w:tcW w:w="200" w:type="dxa"/>
            <w:vAlign w:val="bottom"/>
          </w:tcPr>
          <w:p>
            <w:pPr>
              <w:spacing w:after="0"/>
              <w:rPr>
                <w:sz w:val="17"/>
                <w:szCs w:val="17"/>
                <w:color w:val="auto"/>
              </w:rPr>
            </w:pPr>
          </w:p>
        </w:tc>
        <w:tc>
          <w:tcPr>
            <w:tcW w:w="2640" w:type="dxa"/>
            <w:vAlign w:val="bottom"/>
            <w:tcBorders>
              <w:top w:val="single" w:sz="8" w:color="0000FF"/>
            </w:tcBorders>
            <w:gridSpan w:val="6"/>
          </w:tcPr>
          <w:p>
            <w:pPr>
              <w:spacing w:after="0" w:line="204" w:lineRule="exact"/>
              <w:rPr>
                <w:sz w:val="20"/>
                <w:szCs w:val="20"/>
                <w:color w:val="auto"/>
              </w:rPr>
            </w:pPr>
            <w:r>
              <w:rPr>
                <w:rFonts w:ascii="Times New Roman" w:cs="Times New Roman" w:eastAsia="Times New Roman" w:hAnsi="Times New Roman"/>
                <w:sz w:val="18"/>
                <w:szCs w:val="18"/>
                <w:color w:val="0000FF"/>
              </w:rPr>
              <w:t>ITEM 1A — RISK FACTORS</w:t>
            </w:r>
          </w:p>
        </w:tc>
        <w:tc>
          <w:tcPr>
            <w:tcW w:w="6880" w:type="dxa"/>
            <w:vAlign w:val="bottom"/>
            <w:gridSpan w:val="11"/>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74</w:t>
            </w:r>
          </w:p>
        </w:tc>
      </w:tr>
      <w:tr>
        <w:trPr>
          <w:trHeight w:val="20"/>
        </w:trPr>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04"/>
        </w:trPr>
        <w:tc>
          <w:tcPr>
            <w:tcW w:w="200" w:type="dxa"/>
            <w:vAlign w:val="bottom"/>
          </w:tcPr>
          <w:p>
            <w:pPr>
              <w:spacing w:after="0"/>
              <w:rPr>
                <w:sz w:val="17"/>
                <w:szCs w:val="17"/>
                <w:color w:val="auto"/>
              </w:rPr>
            </w:pPr>
          </w:p>
        </w:tc>
        <w:tc>
          <w:tcPr>
            <w:tcW w:w="6740" w:type="dxa"/>
            <w:vAlign w:val="bottom"/>
            <w:tcBorders>
              <w:bottom w:val="single" w:sz="8" w:color="0000FF"/>
            </w:tcBorders>
            <w:gridSpan w:val="15"/>
          </w:tcPr>
          <w:p>
            <w:pPr>
              <w:spacing w:after="0" w:line="204" w:lineRule="exact"/>
              <w:rPr>
                <w:sz w:val="20"/>
                <w:szCs w:val="20"/>
                <w:color w:val="auto"/>
              </w:rPr>
            </w:pPr>
            <w:r>
              <w:rPr>
                <w:rFonts w:ascii="Times New Roman" w:cs="Times New Roman" w:eastAsia="Times New Roman" w:hAnsi="Times New Roman"/>
                <w:sz w:val="18"/>
                <w:szCs w:val="18"/>
                <w:color w:val="0000FF"/>
                <w:w w:val="97"/>
              </w:rPr>
              <w:t>ITEM 2 — UNREGISTERED SALES OF EQUITY SECURITIES AND USE OF PROCEEDS</w:t>
            </w:r>
          </w:p>
        </w:tc>
        <w:tc>
          <w:tcPr>
            <w:tcW w:w="2780" w:type="dxa"/>
            <w:vAlign w:val="bottom"/>
            <w:gridSpan w:val="2"/>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74</w:t>
            </w:r>
          </w:p>
        </w:tc>
      </w:tr>
      <w:tr>
        <w:trPr>
          <w:trHeight w:val="204"/>
        </w:trPr>
        <w:tc>
          <w:tcPr>
            <w:tcW w:w="200" w:type="dxa"/>
            <w:vAlign w:val="bottom"/>
          </w:tcPr>
          <w:p>
            <w:pPr>
              <w:spacing w:after="0"/>
              <w:rPr>
                <w:sz w:val="17"/>
                <w:szCs w:val="17"/>
                <w:color w:val="auto"/>
              </w:rPr>
            </w:pPr>
          </w:p>
        </w:tc>
        <w:tc>
          <w:tcPr>
            <w:tcW w:w="5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7"/>
              </w:rPr>
              <w:t>ITEM 3</w:t>
            </w:r>
          </w:p>
        </w:tc>
        <w:tc>
          <w:tcPr>
            <w:tcW w:w="8940" w:type="dxa"/>
            <w:vAlign w:val="bottom"/>
            <w:gridSpan w:val="16"/>
          </w:tcPr>
          <w:p>
            <w:pPr>
              <w:ind w:left="20"/>
              <w:spacing w:after="0" w:line="204" w:lineRule="exact"/>
              <w:rPr>
                <w:sz w:val="20"/>
                <w:szCs w:val="20"/>
                <w:color w:val="auto"/>
              </w:rPr>
            </w:pPr>
            <w:r>
              <w:rPr>
                <w:rFonts w:ascii="Times New Roman" w:cs="Times New Roman" w:eastAsia="Times New Roman" w:hAnsi="Times New Roman"/>
                <w:sz w:val="18"/>
                <w:szCs w:val="18"/>
                <w:color w:val="0000FF"/>
              </w:rPr>
              <w:t>— DEFAULTS UPON SENIOR SECURITIES</w:t>
            </w:r>
          </w:p>
        </w:tc>
        <w:tc>
          <w:tcPr>
            <w:tcW w:w="14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74</w:t>
            </w:r>
          </w:p>
        </w:tc>
      </w:tr>
      <w:tr>
        <w:trPr>
          <w:trHeight w:val="204"/>
        </w:trPr>
        <w:tc>
          <w:tcPr>
            <w:tcW w:w="200" w:type="dxa"/>
            <w:vAlign w:val="bottom"/>
          </w:tcPr>
          <w:p>
            <w:pPr>
              <w:spacing w:after="0"/>
              <w:rPr>
                <w:sz w:val="17"/>
                <w:szCs w:val="17"/>
                <w:color w:val="auto"/>
              </w:rPr>
            </w:pPr>
          </w:p>
        </w:tc>
        <w:tc>
          <w:tcPr>
            <w:tcW w:w="580" w:type="dxa"/>
            <w:vAlign w:val="bottom"/>
            <w:tcBorders>
              <w:top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7"/>
              </w:rPr>
              <w:t>ITEM 4</w:t>
            </w:r>
          </w:p>
        </w:tc>
        <w:tc>
          <w:tcPr>
            <w:tcW w:w="3340" w:type="dxa"/>
            <w:vAlign w:val="bottom"/>
            <w:tcBorders>
              <w:top w:val="single" w:sz="8" w:color="0000FF"/>
            </w:tcBorders>
            <w:gridSpan w:val="11"/>
          </w:tcPr>
          <w:p>
            <w:pPr>
              <w:ind w:left="20"/>
              <w:spacing w:after="0" w:line="204" w:lineRule="exact"/>
              <w:rPr>
                <w:sz w:val="20"/>
                <w:szCs w:val="20"/>
                <w:color w:val="auto"/>
              </w:rPr>
            </w:pPr>
            <w:r>
              <w:rPr>
                <w:rFonts w:ascii="Times New Roman" w:cs="Times New Roman" w:eastAsia="Times New Roman" w:hAnsi="Times New Roman"/>
                <w:sz w:val="18"/>
                <w:szCs w:val="18"/>
                <w:color w:val="0000FF"/>
              </w:rPr>
              <w:t>— MINE SAFETY DISCLOSURES</w:t>
            </w:r>
          </w:p>
        </w:tc>
        <w:tc>
          <w:tcPr>
            <w:tcW w:w="5600" w:type="dxa"/>
            <w:vAlign w:val="bottom"/>
            <w:gridSpan w:val="5"/>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74</w:t>
            </w:r>
          </w:p>
        </w:tc>
      </w:tr>
      <w:tr>
        <w:trPr>
          <w:trHeight w:val="204"/>
        </w:trPr>
        <w:tc>
          <w:tcPr>
            <w:tcW w:w="20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7"/>
              </w:rPr>
              <w:t>ITEM 5</w:t>
            </w:r>
          </w:p>
        </w:tc>
        <w:tc>
          <w:tcPr>
            <w:tcW w:w="2080" w:type="dxa"/>
            <w:vAlign w:val="bottom"/>
            <w:tcBorders>
              <w:top w:val="single" w:sz="8" w:color="0000FF"/>
              <w:bottom w:val="single" w:sz="8" w:color="0000FF"/>
            </w:tcBorders>
            <w:gridSpan w:val="6"/>
          </w:tcPr>
          <w:p>
            <w:pPr>
              <w:ind w:left="20"/>
              <w:spacing w:after="0" w:line="204" w:lineRule="exact"/>
              <w:rPr>
                <w:sz w:val="20"/>
                <w:szCs w:val="20"/>
                <w:color w:val="auto"/>
              </w:rPr>
            </w:pPr>
            <w:r>
              <w:rPr>
                <w:rFonts w:ascii="Times New Roman" w:cs="Times New Roman" w:eastAsia="Times New Roman" w:hAnsi="Times New Roman"/>
                <w:sz w:val="18"/>
                <w:szCs w:val="18"/>
                <w:color w:val="0000FF"/>
                <w:w w:val="95"/>
              </w:rPr>
              <w:t>— OTHER INFORMATION</w:t>
            </w:r>
          </w:p>
        </w:tc>
        <w:tc>
          <w:tcPr>
            <w:tcW w:w="540" w:type="dxa"/>
            <w:vAlign w:val="bottom"/>
            <w:tcBorders>
              <w:top w:val="single" w:sz="8" w:color="0000FF"/>
            </w:tcBorders>
            <w:gridSpan w:val="3"/>
          </w:tcPr>
          <w:p>
            <w:pPr>
              <w:spacing w:after="0"/>
              <w:rPr>
                <w:sz w:val="17"/>
                <w:szCs w:val="17"/>
                <w:color w:val="auto"/>
              </w:rPr>
            </w:pPr>
          </w:p>
        </w:tc>
        <w:tc>
          <w:tcPr>
            <w:tcW w:w="6320" w:type="dxa"/>
            <w:vAlign w:val="bottom"/>
            <w:gridSpan w:val="7"/>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75</w:t>
            </w:r>
          </w:p>
        </w:tc>
      </w:tr>
      <w:tr>
        <w:trPr>
          <w:trHeight w:val="204"/>
        </w:trPr>
        <w:tc>
          <w:tcPr>
            <w:tcW w:w="200" w:type="dxa"/>
            <w:vAlign w:val="bottom"/>
          </w:tcPr>
          <w:p>
            <w:pPr>
              <w:spacing w:after="0"/>
              <w:rPr>
                <w:sz w:val="17"/>
                <w:szCs w:val="17"/>
                <w:color w:val="auto"/>
              </w:rPr>
            </w:pPr>
          </w:p>
        </w:tc>
        <w:tc>
          <w:tcPr>
            <w:tcW w:w="5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7"/>
              </w:rPr>
              <w:t>ITEM 6</w:t>
            </w:r>
          </w:p>
        </w:tc>
        <w:tc>
          <w:tcPr>
            <w:tcW w:w="8940" w:type="dxa"/>
            <w:vAlign w:val="bottom"/>
            <w:gridSpan w:val="16"/>
          </w:tcPr>
          <w:p>
            <w:pPr>
              <w:ind w:left="20"/>
              <w:spacing w:after="0" w:line="204" w:lineRule="exact"/>
              <w:rPr>
                <w:sz w:val="20"/>
                <w:szCs w:val="20"/>
                <w:color w:val="auto"/>
              </w:rPr>
            </w:pPr>
            <w:r>
              <w:rPr>
                <w:rFonts w:ascii="Times New Roman" w:cs="Times New Roman" w:eastAsia="Times New Roman" w:hAnsi="Times New Roman"/>
                <w:sz w:val="18"/>
                <w:szCs w:val="18"/>
                <w:color w:val="0000FF"/>
              </w:rPr>
              <w:t>— EXHIBITS</w:t>
            </w:r>
          </w:p>
        </w:tc>
        <w:tc>
          <w:tcPr>
            <w:tcW w:w="14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76</w:t>
            </w:r>
          </w:p>
        </w:tc>
      </w:tr>
      <w:tr>
        <w:trPr>
          <w:trHeight w:val="204"/>
        </w:trPr>
        <w:tc>
          <w:tcPr>
            <w:tcW w:w="200" w:type="dxa"/>
            <w:vAlign w:val="bottom"/>
          </w:tcPr>
          <w:p>
            <w:pPr>
              <w:spacing w:after="0"/>
              <w:rPr>
                <w:sz w:val="17"/>
                <w:szCs w:val="17"/>
                <w:color w:val="auto"/>
              </w:rPr>
            </w:pPr>
          </w:p>
        </w:tc>
        <w:tc>
          <w:tcPr>
            <w:tcW w:w="1620" w:type="dxa"/>
            <w:vAlign w:val="bottom"/>
            <w:tcBorders>
              <w:top w:val="single" w:sz="8" w:color="0000FF"/>
            </w:tcBorders>
            <w:gridSpan w:val="3"/>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7900" w:type="dxa"/>
            <w:vAlign w:val="bottom"/>
            <w:gridSpan w:val="14"/>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0000FF"/>
              </w:rPr>
              <w:t>77</w:t>
            </w:r>
          </w:p>
        </w:tc>
      </w:tr>
      <w:tr>
        <w:trPr>
          <w:trHeight w:val="20"/>
        </w:trPr>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60" w:top="86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11" w:lineRule="exact"/>
        <w:rPr>
          <w:sz w:val="20"/>
          <w:szCs w:val="20"/>
          <w:color w:val="auto"/>
        </w:rPr>
      </w:pPr>
    </w:p>
    <w:p>
      <w:pPr>
        <w:jc w:val="both"/>
        <w:ind w:firstLine="276"/>
        <w:spacing w:after="0" w:line="247" w:lineRule="auto"/>
        <w:rPr>
          <w:sz w:val="20"/>
          <w:szCs w:val="20"/>
          <w:color w:val="auto"/>
        </w:rPr>
      </w:pPr>
      <w:r>
        <w:rPr>
          <w:rFonts w:ascii="Times New Roman" w:cs="Times New Roman" w:eastAsia="Times New Roman" w:hAnsi="Times New Roman"/>
          <w:sz w:val="18"/>
          <w:szCs w:val="18"/>
          <w:color w:val="auto"/>
        </w:rPr>
        <w:t xml:space="preserve">This Quarterly Report on Form 10-Q of NRG Energy, Inc., or NRG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“should,” “forecasts,” “targets,” and similar expressions are intended to identify forward-looking statements. These forward-looking statements involve known and unknown risks, uncertainties and other factors, many of which are beyond NRG’s control, that may cause NRG’s actual results, performance and achievements, or industry results, to be materially different from any future results, performance or achievements expressed or implied by such forward-looking statements. These factors, risks and uncertainties include any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 I, Item 1A of the Company’s Annual Report on Form 10-K for the year ended December 31, 2025 and Part II, Item 1A of this Form 10-Q and the following:</w:t>
      </w:r>
    </w:p>
    <w:p>
      <w:pPr>
        <w:spacing w:after="0" w:line="85" w:lineRule="exact"/>
        <w:rPr>
          <w:sz w:val="20"/>
          <w:szCs w:val="20"/>
          <w:color w:val="auto"/>
        </w:rPr>
      </w:pPr>
    </w:p>
    <w:p>
      <w:pPr>
        <w:ind w:left="480" w:hanging="31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obtain and maintain retail market share;</w:t>
      </w:r>
    </w:p>
    <w:p>
      <w:pPr>
        <w:spacing w:after="0" w:line="56"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changes in the wholesale power and gas markets and fluctuations in the cost of fuel;</w:t>
      </w:r>
    </w:p>
    <w:p>
      <w:pPr>
        <w:spacing w:after="0" w:line="56"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power and gas supply costs and demand for power and gas, including the impacts of weather;</w:t>
      </w:r>
    </w:p>
    <w:p>
      <w:pPr>
        <w:spacing w:after="0" w:line="56" w:lineRule="exact"/>
        <w:rPr>
          <w:rFonts w:ascii="Times New Roman" w:cs="Times New Roman" w:eastAsia="Times New Roman" w:hAnsi="Times New Roman"/>
          <w:sz w:val="18"/>
          <w:szCs w:val="18"/>
          <w:color w:val="auto"/>
        </w:rPr>
      </w:pPr>
    </w:p>
    <w:p>
      <w:pPr>
        <w:ind w:left="480" w:hanging="317"/>
        <w:spacing w:after="0" w:line="268"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the escalation of international trade disputes, and the occurrence or re-escalation of geopolitical conflicts (including the hostilities with Iran and the conflicts in the Middle East), and inflationary impacts resulting therefrom;</w:t>
      </w:r>
    </w:p>
    <w:p>
      <w:pPr>
        <w:spacing w:after="0" w:line="11"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Company to realize expected benefits from the integration of LSP Portfolio’s assets and businesses;</w:t>
      </w:r>
    </w:p>
    <w:p>
      <w:pPr>
        <w:spacing w:after="0" w:line="56" w:lineRule="exact"/>
        <w:rPr>
          <w:rFonts w:ascii="Times New Roman" w:cs="Times New Roman" w:eastAsia="Times New Roman" w:hAnsi="Times New Roman"/>
          <w:sz w:val="18"/>
          <w:szCs w:val="18"/>
          <w:color w:val="auto"/>
        </w:rPr>
      </w:pPr>
    </w:p>
    <w:p>
      <w:pPr>
        <w:jc w:val="both"/>
        <w:ind w:left="480" w:hanging="317"/>
        <w:spacing w:after="0" w:line="250"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catastrophic weather-related or other damage to facilities, unscheduled or forced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NRG may not have adequate insurance to cover losses as a result of such hazards;</w:t>
      </w:r>
    </w:p>
    <w:p>
      <w:pPr>
        <w:spacing w:after="0" w:line="27"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NRG’s risk management policies and procedures and the ability of NRG’s counterparties to satisfy their financial commitments;</w:t>
      </w:r>
    </w:p>
    <w:p>
      <w:pPr>
        <w:spacing w:after="0" w:line="56"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enter into contracts to sell power or gas and procure fuel on acceptable terms and prices;</w:t>
      </w:r>
    </w:p>
    <w:p>
      <w:pPr>
        <w:spacing w:after="0" w:line="56"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successfully integrate, realize cost savings and manage any acquired businesses;</w:t>
      </w:r>
    </w:p>
    <w:p>
      <w:pPr>
        <w:spacing w:after="0" w:line="56"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engage in successful acquisitions and divestitures, as well as other mergers and acquisitions activity;</w:t>
      </w:r>
    </w:p>
    <w:p>
      <w:pPr>
        <w:spacing w:after="0" w:line="56" w:lineRule="exact"/>
        <w:rPr>
          <w:rFonts w:ascii="Times New Roman" w:cs="Times New Roman" w:eastAsia="Times New Roman" w:hAnsi="Times New Roman"/>
          <w:sz w:val="18"/>
          <w:szCs w:val="18"/>
          <w:color w:val="auto"/>
        </w:rPr>
      </w:pPr>
    </w:p>
    <w:p>
      <w:pPr>
        <w:ind w:left="480" w:hanging="317"/>
        <w:spacing w:after="0" w:line="268"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and its counterparties’, ability to successfully complete the development and construction of new generation facilities and projects in a timely and cost effective manner;</w:t>
      </w:r>
    </w:p>
    <w:p>
      <w:pPr>
        <w:spacing w:after="0" w:line="11" w:lineRule="exact"/>
        <w:rPr>
          <w:rFonts w:ascii="Times New Roman" w:cs="Times New Roman" w:eastAsia="Times New Roman" w:hAnsi="Times New Roman"/>
          <w:sz w:val="18"/>
          <w:szCs w:val="18"/>
          <w:color w:val="auto"/>
        </w:rPr>
      </w:pPr>
    </w:p>
    <w:p>
      <w:pPr>
        <w:ind w:left="480" w:hanging="317"/>
        <w:spacing w:after="0" w:line="268"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cybersecurity risks, data breaches or the occurrence of a catastrophic loss and the possibility that NRG may not have sufficient insurance to cover losses resulting from such hazards or the inability of NRG’s insurers to provide coverage;</w:t>
      </w:r>
    </w:p>
    <w:p>
      <w:pPr>
        <w:spacing w:after="0" w:line="11"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reputational risks related to the use of AI and the adherence to developing laws and regulations related to the use of AI;</w:t>
      </w:r>
    </w:p>
    <w:p>
      <w:pPr>
        <w:spacing w:after="0" w:line="56"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Counterparties’ collateral demands and other factors affecting NRG’s liquidity position and financial condition;</w:t>
      </w:r>
    </w:p>
    <w:p>
      <w:pPr>
        <w:spacing w:after="0" w:line="56" w:lineRule="exact"/>
        <w:rPr>
          <w:rFonts w:ascii="Times New Roman" w:cs="Times New Roman" w:eastAsia="Times New Roman" w:hAnsi="Times New Roman"/>
          <w:sz w:val="18"/>
          <w:szCs w:val="18"/>
          <w:color w:val="auto"/>
        </w:rPr>
      </w:pPr>
    </w:p>
    <w:p>
      <w:pPr>
        <w:ind w:left="480" w:hanging="317"/>
        <w:spacing w:after="0" w:line="268"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operate its businesses efficiently and generate earnings and cash flows from its asset-based businesses in relation to its debt and other obligations;</w:t>
      </w:r>
    </w:p>
    <w:p>
      <w:pPr>
        <w:spacing w:after="0" w:line="11"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and competitiveness of wholesale markets for energy commodities;</w:t>
      </w:r>
    </w:p>
    <w:p>
      <w:pPr>
        <w:spacing w:after="0" w:line="56"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and regulatory decisions;</w:t>
      </w:r>
    </w:p>
    <w:p>
      <w:pPr>
        <w:spacing w:after="0" w:line="56"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changes in market rules, rates, tariffs and environmental laws;</w:t>
      </w:r>
    </w:p>
    <w:p>
      <w:pPr>
        <w:spacing w:after="0" w:line="56"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develop and innovate new products, as retail and wholesale markets continue to change and evolve;</w:t>
      </w:r>
    </w:p>
    <w:p>
      <w:pPr>
        <w:spacing w:after="0" w:line="56" w:lineRule="exact"/>
        <w:rPr>
          <w:rFonts w:ascii="Times New Roman" w:cs="Times New Roman" w:eastAsia="Times New Roman" w:hAnsi="Times New Roman"/>
          <w:sz w:val="18"/>
          <w:szCs w:val="18"/>
          <w:color w:val="auto"/>
        </w:rPr>
      </w:pPr>
    </w:p>
    <w:p>
      <w:pPr>
        <w:ind w:left="480" w:hanging="317"/>
        <w:spacing w:after="0" w:line="268"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mitigation strategies and other market structures employed by ISOs or RTOs that result in a failure to adequately and fairly compensate NRG’s generation units;</w:t>
      </w:r>
    </w:p>
    <w:p>
      <w:pPr>
        <w:spacing w:after="0" w:line="11" w:lineRule="exact"/>
        <w:rPr>
          <w:rFonts w:ascii="Times New Roman" w:cs="Times New Roman" w:eastAsia="Times New Roman" w:hAnsi="Times New Roman"/>
          <w:sz w:val="18"/>
          <w:szCs w:val="18"/>
          <w:color w:val="auto"/>
        </w:rPr>
      </w:pPr>
    </w:p>
    <w:p>
      <w:pPr>
        <w:ind w:left="480" w:hanging="317"/>
        <w:spacing w:after="0" w:line="268"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borrow funds and access capital markets, as well as NRG’s substantial indebtedness and the possibility that NRG may incur additional indebtedness in the future;</w:t>
      </w:r>
    </w:p>
    <w:p>
      <w:pPr>
        <w:spacing w:after="0" w:line="11" w:lineRule="exact"/>
        <w:rPr>
          <w:rFonts w:ascii="Times New Roman" w:cs="Times New Roman" w:eastAsia="Times New Roman" w:hAnsi="Times New Roman"/>
          <w:sz w:val="18"/>
          <w:szCs w:val="18"/>
          <w:color w:val="auto"/>
        </w:rPr>
      </w:pPr>
    </w:p>
    <w:p>
      <w:pPr>
        <w:ind w:left="480" w:hanging="317"/>
        <w:spacing w:after="0" w:line="268"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NRG and its subsidiaries that are contained in NRG’s corporate credit agreements, and in debt and other agreements of certain of NRG subsidiaries and project affiliates generally;</w:t>
      </w:r>
    </w:p>
    <w:p>
      <w:pPr>
        <w:spacing w:after="0" w:line="11" w:lineRule="exact"/>
        <w:rPr>
          <w:rFonts w:ascii="Times New Roman" w:cs="Times New Roman" w:eastAsia="Times New Roman" w:hAnsi="Times New Roman"/>
          <w:sz w:val="18"/>
          <w:szCs w:val="18"/>
          <w:color w:val="auto"/>
        </w:rPr>
      </w:pPr>
    </w:p>
    <w:p>
      <w:pPr>
        <w:ind w:left="480" w:hanging="317"/>
        <w:spacing w:after="0" w:line="268"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implement its strategy of finding ways to meet the challenges of climate change, clean air and protecting natural resources, while taking advantage of business opportunities;</w:t>
      </w:r>
    </w:p>
    <w:p>
      <w:pPr>
        <w:spacing w:after="0" w:line="11" w:lineRule="exact"/>
        <w:rPr>
          <w:rFonts w:ascii="Times New Roman" w:cs="Times New Roman" w:eastAsia="Times New Roman" w:hAnsi="Times New Roman"/>
          <w:sz w:val="18"/>
          <w:szCs w:val="18"/>
          <w:color w:val="auto"/>
        </w:rPr>
      </w:pPr>
    </w:p>
    <w:p>
      <w:pPr>
        <w:ind w:left="480" w:hanging="317"/>
        <w:spacing w:after="0" w:line="268"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increase cash from operations through operational and market initiatives, corporate efficiencies, asset strategy, and a range of other programs throughout NRG to reduce costs or generate revenues;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3" w:name="page4"/>
    <w:bookmarkEnd w:id="3"/>
    <w:p>
      <w:pPr>
        <w:ind w:left="480" w:hanging="317"/>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successfully evaluate investments and achieve intended financial results in new business and growth initiatives; and</w:t>
      </w:r>
    </w:p>
    <w:p>
      <w:pPr>
        <w:spacing w:after="0" w:line="56" w:lineRule="exact"/>
        <w:rPr>
          <w:rFonts w:ascii="Times New Roman" w:cs="Times New Roman" w:eastAsia="Times New Roman" w:hAnsi="Times New Roman"/>
          <w:sz w:val="18"/>
          <w:szCs w:val="18"/>
          <w:color w:val="auto"/>
        </w:rPr>
      </w:pPr>
    </w:p>
    <w:p>
      <w:pPr>
        <w:ind w:left="480" w:hanging="317"/>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develop and maintain successful partnering relationships as needed.</w:t>
      </w:r>
    </w:p>
    <w:p>
      <w:pPr>
        <w:spacing w:after="0" w:line="109" w:lineRule="exact"/>
        <w:rPr>
          <w:sz w:val="20"/>
          <w:szCs w:val="20"/>
          <w:color w:val="auto"/>
        </w:rPr>
      </w:pPr>
    </w:p>
    <w:p>
      <w:pPr>
        <w:jc w:val="both"/>
        <w:ind w:firstLine="276"/>
        <w:spacing w:after="0" w:line="293" w:lineRule="auto"/>
        <w:rPr>
          <w:sz w:val="20"/>
          <w:szCs w:val="20"/>
          <w:color w:val="auto"/>
        </w:rPr>
      </w:pPr>
      <w:r>
        <w:rPr>
          <w:rFonts w:ascii="Times New Roman" w:cs="Times New Roman" w:eastAsia="Times New Roman" w:hAnsi="Times New Roman"/>
          <w:sz w:val="16"/>
          <w:szCs w:val="16"/>
          <w:color w:val="auto"/>
        </w:rPr>
        <w:t>In addition, unlisted factors may present significant additional obstacles to the realization of forward-looking statements. Forward-looking statements speak only as of the date they were made and NRG undertakes no obligation to publicly update or revise any forward-looking statements, whether as a result of new information, future events or otherwise except as otherwise required by applicable laws. The foregoing factors that could cause NRG’s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880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GLOSSARY OF TERMS</w:t>
            </w:r>
          </w:p>
        </w:tc>
        <w:tc>
          <w:tcPr>
            <w:tcW w:w="0" w:type="dxa"/>
            <w:vAlign w:val="bottom"/>
          </w:tcPr>
          <w:p>
            <w:pPr>
              <w:spacing w:after="0"/>
              <w:rPr>
                <w:sz w:val="1"/>
                <w:szCs w:val="1"/>
                <w:color w:val="auto"/>
              </w:rPr>
            </w:pPr>
          </w:p>
        </w:tc>
      </w:tr>
      <w:tr>
        <w:trPr>
          <w:trHeight w:val="368"/>
        </w:trPr>
        <w:tc>
          <w:tcPr>
            <w:tcW w:w="112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245"/>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 Form 10-K</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NRG’s Annual Report on Form 10-K for the year ended December 31, 2025</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ACE</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Affordable Clean Energy</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Adjusted earnings before interest, taxes, depreciation and amortization</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AESO</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Alberta Electric System Operator</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ARO</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ASC</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 authoritative GAAP</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Accounting Standards Updates – updates to the ASC</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BTU</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British Thermal Unit</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NRG Business, which serves business customers</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CAA</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Clean Air Act</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CAISO</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California Independent System Operator</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CAMT</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 Corporate Alternative Minimum Tax enacted by the IRA on August 16, 2022</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CDD</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Cooling Degree Day</w:t>
            </w:r>
          </w:p>
        </w:tc>
        <w:tc>
          <w:tcPr>
            <w:tcW w:w="0" w:type="dxa"/>
            <w:vAlign w:val="bottom"/>
          </w:tcPr>
          <w:p>
            <w:pPr>
              <w:spacing w:after="0"/>
              <w:rPr>
                <w:sz w:val="1"/>
                <w:szCs w:val="1"/>
                <w:color w:val="auto"/>
              </w:rPr>
            </w:pPr>
          </w:p>
        </w:tc>
      </w:tr>
      <w:tr>
        <w:trPr>
          <w:trHeight w:val="228"/>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Cedar Bayou 5</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Cedar Bayou Unit 5 generation facility, a 689 MW natural gas-fueled combined cycle plant</w:t>
            </w:r>
          </w:p>
        </w:tc>
        <w:tc>
          <w:tcPr>
            <w:tcW w:w="0" w:type="dxa"/>
            <w:vAlign w:val="bottom"/>
          </w:tcPr>
          <w:p>
            <w:pPr>
              <w:spacing w:after="0"/>
              <w:rPr>
                <w:sz w:val="1"/>
                <w:szCs w:val="1"/>
                <w:color w:val="auto"/>
              </w:rPr>
            </w:pPr>
          </w:p>
        </w:tc>
      </w:tr>
      <w:tr>
        <w:trPr>
          <w:trHeight w:val="3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CFTC</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U.S. Commodity Futures Trading Commission</w:t>
            </w:r>
          </w:p>
        </w:tc>
        <w:tc>
          <w:tcPr>
            <w:tcW w:w="0" w:type="dxa"/>
            <w:vAlign w:val="bottom"/>
          </w:tcPr>
          <w:p>
            <w:pPr>
              <w:spacing w:after="0"/>
              <w:rPr>
                <w:sz w:val="1"/>
                <w:szCs w:val="1"/>
                <w:color w:val="auto"/>
              </w:rPr>
            </w:pPr>
          </w:p>
        </w:tc>
      </w:tr>
      <w:tr>
        <w:trPr>
          <w:trHeight w:val="228"/>
        </w:trPr>
        <w:tc>
          <w:tcPr>
            <w:tcW w:w="2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r>
              <w:rPr>
                <w:rFonts w:ascii="Times New Roman" w:cs="Times New Roman" w:eastAsia="Times New Roman" w:hAnsi="Times New Roman"/>
                <w:sz w:val="9"/>
                <w:szCs w:val="9"/>
                <w:color w:val="auto"/>
              </w:rPr>
              <w:t>2</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Carbon Dioxide</w:t>
            </w:r>
          </w:p>
        </w:tc>
        <w:tc>
          <w:tcPr>
            <w:tcW w:w="0" w:type="dxa"/>
            <w:vAlign w:val="bottom"/>
          </w:tcPr>
          <w:p>
            <w:pPr>
              <w:spacing w:after="0"/>
              <w:rPr>
                <w:sz w:val="1"/>
                <w:szCs w:val="1"/>
                <w:color w:val="auto"/>
              </w:rPr>
            </w:pPr>
          </w:p>
        </w:tc>
      </w:tr>
      <w:tr>
        <w:trPr>
          <w:trHeight w:val="145"/>
        </w:trPr>
        <w:tc>
          <w:tcPr>
            <w:tcW w:w="2440" w:type="dxa"/>
            <w:vAlign w:val="bottom"/>
            <w:vMerge w:val="continue"/>
          </w:tcPr>
          <w:p>
            <w:pPr>
              <w:spacing w:after="0"/>
              <w:rPr>
                <w:sz w:val="12"/>
                <w:szCs w:val="12"/>
                <w:color w:val="auto"/>
              </w:rPr>
            </w:pPr>
          </w:p>
        </w:tc>
        <w:tc>
          <w:tcPr>
            <w:tcW w:w="8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NRG Energy, Inc.</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NRG’s unsecured 2.750% Convertible Senior Notes due 2048, which were redeemed on July 8, 2025</w:t>
            </w:r>
          </w:p>
        </w:tc>
        <w:tc>
          <w:tcPr>
            <w:tcW w:w="0" w:type="dxa"/>
            <w:vAlign w:val="bottom"/>
          </w:tcPr>
          <w:p>
            <w:pPr>
              <w:spacing w:after="0"/>
              <w:rPr>
                <w:sz w:val="1"/>
                <w:szCs w:val="1"/>
                <w:color w:val="auto"/>
              </w:rPr>
            </w:pPr>
          </w:p>
        </w:tc>
      </w:tr>
      <w:tr>
        <w:trPr>
          <w:trHeight w:val="176"/>
        </w:trPr>
        <w:tc>
          <w:tcPr>
            <w:tcW w:w="24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Cottonwood</w:t>
            </w:r>
          </w:p>
        </w:tc>
        <w:tc>
          <w:tcPr>
            <w:tcW w:w="8800" w:type="dxa"/>
            <w:vAlign w:val="bottom"/>
          </w:tcPr>
          <w:p>
            <w:pPr>
              <w:ind w:left="620"/>
              <w:spacing w:after="0" w:line="176" w:lineRule="exact"/>
              <w:rPr>
                <w:sz w:val="20"/>
                <w:szCs w:val="20"/>
                <w:color w:val="auto"/>
              </w:rPr>
            </w:pPr>
            <w:r>
              <w:rPr>
                <w:rFonts w:ascii="Times New Roman" w:cs="Times New Roman" w:eastAsia="Times New Roman" w:hAnsi="Times New Roman"/>
                <w:sz w:val="18"/>
                <w:szCs w:val="18"/>
                <w:color w:val="auto"/>
                <w:w w:val="99"/>
              </w:rPr>
              <w:t>Cottonwood Generating Station, a 1,139 MW natural gas-fueled plant. NRG leased and operated the plant through</w:t>
            </w:r>
          </w:p>
        </w:tc>
        <w:tc>
          <w:tcPr>
            <w:tcW w:w="0" w:type="dxa"/>
            <w:vAlign w:val="bottom"/>
          </w:tcPr>
          <w:p>
            <w:pPr>
              <w:spacing w:after="0"/>
              <w:rPr>
                <w:sz w:val="1"/>
                <w:szCs w:val="1"/>
                <w:color w:val="auto"/>
              </w:rPr>
            </w:pPr>
          </w:p>
        </w:tc>
      </w:tr>
      <w:tr>
        <w:trPr>
          <w:trHeight w:val="228"/>
        </w:trPr>
        <w:tc>
          <w:tcPr>
            <w:tcW w:w="2440" w:type="dxa"/>
            <w:vAlign w:val="bottom"/>
          </w:tcPr>
          <w:p>
            <w:pPr>
              <w:spacing w:after="0"/>
              <w:rPr>
                <w:sz w:val="19"/>
                <w:szCs w:val="19"/>
                <w:color w:val="auto"/>
              </w:rPr>
            </w:pP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May 2025</w:t>
            </w:r>
          </w:p>
        </w:tc>
        <w:tc>
          <w:tcPr>
            <w:tcW w:w="0" w:type="dxa"/>
            <w:vAlign w:val="bottom"/>
          </w:tcPr>
          <w:p>
            <w:pPr>
              <w:spacing w:after="0"/>
              <w:rPr>
                <w:sz w:val="1"/>
                <w:szCs w:val="1"/>
                <w:color w:val="auto"/>
              </w:rPr>
            </w:pPr>
          </w:p>
        </w:tc>
      </w:tr>
      <w:tr>
        <w:trPr>
          <w:trHeight w:val="227"/>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CPP</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Clean Power Plan</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D.C. Circuit</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U.S. Court of Appeals for the District of Columbia Circuit</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DOJ</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U.S. Department of Justice</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Dth</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Dekatherms</w:t>
            </w:r>
          </w:p>
        </w:tc>
        <w:tc>
          <w:tcPr>
            <w:tcW w:w="0" w:type="dxa"/>
            <w:vAlign w:val="bottom"/>
          </w:tcPr>
          <w:p>
            <w:pPr>
              <w:spacing w:after="0"/>
              <w:rPr>
                <w:sz w:val="1"/>
                <w:szCs w:val="1"/>
                <w:color w:val="auto"/>
              </w:rPr>
            </w:pPr>
          </w:p>
        </w:tc>
      </w:tr>
      <w:tr>
        <w:trPr>
          <w:trHeight w:val="176"/>
        </w:trPr>
        <w:tc>
          <w:tcPr>
            <w:tcW w:w="24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Economic gross margin</w:t>
            </w:r>
          </w:p>
        </w:tc>
        <w:tc>
          <w:tcPr>
            <w:tcW w:w="8800" w:type="dxa"/>
            <w:vAlign w:val="bottom"/>
          </w:tcPr>
          <w:p>
            <w:pPr>
              <w:ind w:left="620"/>
              <w:spacing w:after="0" w:line="176" w:lineRule="exact"/>
              <w:rPr>
                <w:sz w:val="20"/>
                <w:szCs w:val="20"/>
                <w:color w:val="auto"/>
              </w:rPr>
            </w:pPr>
            <w:r>
              <w:rPr>
                <w:rFonts w:ascii="Times New Roman" w:cs="Times New Roman" w:eastAsia="Times New Roman" w:hAnsi="Times New Roman"/>
                <w:sz w:val="18"/>
                <w:szCs w:val="18"/>
                <w:color w:val="auto"/>
                <w:w w:val="98"/>
              </w:rPr>
              <w:t>Sum of retail revenue, energy revenue, capacity revenue and other revenue, less cost of fuel, purchased energy and</w:t>
            </w:r>
          </w:p>
        </w:tc>
        <w:tc>
          <w:tcPr>
            <w:tcW w:w="0" w:type="dxa"/>
            <w:vAlign w:val="bottom"/>
          </w:tcPr>
          <w:p>
            <w:pPr>
              <w:spacing w:after="0"/>
              <w:rPr>
                <w:sz w:val="1"/>
                <w:szCs w:val="1"/>
                <w:color w:val="auto"/>
              </w:rPr>
            </w:pPr>
          </w:p>
        </w:tc>
      </w:tr>
      <w:tr>
        <w:trPr>
          <w:trHeight w:val="228"/>
        </w:trPr>
        <w:tc>
          <w:tcPr>
            <w:tcW w:w="2440" w:type="dxa"/>
            <w:vAlign w:val="bottom"/>
          </w:tcPr>
          <w:p>
            <w:pPr>
              <w:spacing w:after="0"/>
              <w:rPr>
                <w:sz w:val="19"/>
                <w:szCs w:val="19"/>
                <w:color w:val="auto"/>
              </w:rPr>
            </w:pP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other cost of sales</w:t>
            </w:r>
          </w:p>
        </w:tc>
        <w:tc>
          <w:tcPr>
            <w:tcW w:w="0" w:type="dxa"/>
            <w:vAlign w:val="bottom"/>
          </w:tcPr>
          <w:p>
            <w:pPr>
              <w:spacing w:after="0"/>
              <w:rPr>
                <w:sz w:val="1"/>
                <w:szCs w:val="1"/>
                <w:color w:val="auto"/>
              </w:rPr>
            </w:pPr>
          </w:p>
        </w:tc>
      </w:tr>
      <w:tr>
        <w:trPr>
          <w:trHeight w:val="227"/>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EGU</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Electric Generating Unit</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ELG</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Effluent Limitations Guidelines which are EPA regulations issued under the federal Clean Water Act</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EPA</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U.S. Environmental Protection Agency</w:t>
            </w:r>
          </w:p>
        </w:tc>
        <w:tc>
          <w:tcPr>
            <w:tcW w:w="0" w:type="dxa"/>
            <w:vAlign w:val="bottom"/>
          </w:tcPr>
          <w:p>
            <w:pPr>
              <w:spacing w:after="0"/>
              <w:rPr>
                <w:sz w:val="1"/>
                <w:szCs w:val="1"/>
                <w:color w:val="auto"/>
              </w:rPr>
            </w:pPr>
          </w:p>
        </w:tc>
      </w:tr>
      <w:tr>
        <w:trPr>
          <w:trHeight w:val="176"/>
        </w:trPr>
        <w:tc>
          <w:tcPr>
            <w:tcW w:w="24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ERCOT</w:t>
            </w:r>
          </w:p>
        </w:tc>
        <w:tc>
          <w:tcPr>
            <w:tcW w:w="8800" w:type="dxa"/>
            <w:vAlign w:val="bottom"/>
          </w:tcPr>
          <w:p>
            <w:pPr>
              <w:ind w:left="620"/>
              <w:spacing w:after="0" w:line="176" w:lineRule="exact"/>
              <w:rPr>
                <w:sz w:val="20"/>
                <w:szCs w:val="20"/>
                <w:color w:val="auto"/>
              </w:rPr>
            </w:pPr>
            <w:r>
              <w:rPr>
                <w:rFonts w:ascii="Times New Roman" w:cs="Times New Roman" w:eastAsia="Times New Roman" w:hAnsi="Times New Roman"/>
                <w:sz w:val="18"/>
                <w:szCs w:val="18"/>
                <w:color w:val="auto"/>
                <w:w w:val="99"/>
              </w:rPr>
              <w:t>Electric Reliability Council of Texas, the Independent System Operator and the regional reliability coordinator of</w:t>
            </w:r>
          </w:p>
        </w:tc>
        <w:tc>
          <w:tcPr>
            <w:tcW w:w="0" w:type="dxa"/>
            <w:vAlign w:val="bottom"/>
          </w:tcPr>
          <w:p>
            <w:pPr>
              <w:spacing w:after="0"/>
              <w:rPr>
                <w:sz w:val="1"/>
                <w:szCs w:val="1"/>
                <w:color w:val="auto"/>
              </w:rPr>
            </w:pPr>
          </w:p>
        </w:tc>
      </w:tr>
      <w:tr>
        <w:trPr>
          <w:trHeight w:val="228"/>
        </w:trPr>
        <w:tc>
          <w:tcPr>
            <w:tcW w:w="2440" w:type="dxa"/>
            <w:vAlign w:val="bottom"/>
          </w:tcPr>
          <w:p>
            <w:pPr>
              <w:spacing w:after="0"/>
              <w:rPr>
                <w:sz w:val="19"/>
                <w:szCs w:val="19"/>
                <w:color w:val="auto"/>
              </w:rPr>
            </w:pP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various electricity systems within Texas</w:t>
            </w:r>
          </w:p>
        </w:tc>
        <w:tc>
          <w:tcPr>
            <w:tcW w:w="0" w:type="dxa"/>
            <w:vAlign w:val="bottom"/>
          </w:tcPr>
          <w:p>
            <w:pPr>
              <w:spacing w:after="0"/>
              <w:rPr>
                <w:sz w:val="1"/>
                <w:szCs w:val="1"/>
                <w:color w:val="auto"/>
              </w:rPr>
            </w:pPr>
          </w:p>
        </w:tc>
      </w:tr>
      <w:tr>
        <w:trPr>
          <w:trHeight w:val="227"/>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ESPP</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NRG Energy, Inc. Amended and Restated Employee Stock Purchase Plan</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Act</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FERC</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Federal Energy Regulatory Commission</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FGD</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Flue gas desulfurization</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FTRs</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Financial Transmission Rights</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GAAP</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Generally accepted accounting principles in the United States</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GHG</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Greenhouse Gas</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Green Mountain Energy</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Green Mountain Energy Company</w:t>
            </w:r>
          </w:p>
        </w:tc>
        <w:tc>
          <w:tcPr>
            <w:tcW w:w="0" w:type="dxa"/>
            <w:vAlign w:val="bottom"/>
          </w:tcPr>
          <w:p>
            <w:pPr>
              <w:spacing w:after="0"/>
              <w:rPr>
                <w:sz w:val="1"/>
                <w:szCs w:val="1"/>
                <w:color w:val="auto"/>
              </w:rPr>
            </w:pPr>
          </w:p>
        </w:tc>
      </w:tr>
      <w:tr>
        <w:trPr>
          <w:trHeight w:val="228"/>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Greens Bayou 6</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Greens Bayou Unit 6 generation facility, a 443 MW natural gas-fueled peaker plant</w:t>
            </w:r>
          </w:p>
        </w:tc>
        <w:tc>
          <w:tcPr>
            <w:tcW w:w="0" w:type="dxa"/>
            <w:vAlign w:val="bottom"/>
          </w:tcPr>
          <w:p>
            <w:pPr>
              <w:spacing w:after="0"/>
              <w:rPr>
                <w:sz w:val="1"/>
                <w:szCs w:val="1"/>
                <w:color w:val="auto"/>
              </w:rPr>
            </w:pPr>
          </w:p>
        </w:tc>
      </w:tr>
      <w:tr>
        <w:trPr>
          <w:trHeight w:val="3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GW</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Gigawatts</w:t>
            </w:r>
          </w:p>
        </w:tc>
        <w:tc>
          <w:tcPr>
            <w:tcW w:w="0" w:type="dxa"/>
            <w:vAlign w:val="bottom"/>
          </w:tcPr>
          <w:p>
            <w:pPr>
              <w:spacing w:after="0"/>
              <w:rPr>
                <w:sz w:val="1"/>
                <w:szCs w:val="1"/>
                <w:color w:val="auto"/>
              </w:rPr>
            </w:pPr>
          </w:p>
        </w:tc>
      </w:tr>
      <w:tr>
        <w:trPr>
          <w:trHeight w:val="224"/>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GWh</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Gigawatt Hours</w:t>
            </w:r>
          </w:p>
        </w:tc>
        <w:tc>
          <w:tcPr>
            <w:tcW w:w="0" w:type="dxa"/>
            <w:vAlign w:val="bottom"/>
          </w:tcPr>
          <w:p>
            <w:pPr>
              <w:spacing w:after="0"/>
              <w:rPr>
                <w:sz w:val="1"/>
                <w:szCs w:val="1"/>
                <w:color w:val="auto"/>
              </w:rPr>
            </w:pPr>
          </w:p>
        </w:tc>
      </w:tr>
      <w:tr>
        <w:trPr>
          <w:trHeight w:val="228"/>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HDD</w:t>
            </w:r>
          </w:p>
        </w:tc>
        <w:tc>
          <w:tcPr>
            <w:tcW w:w="8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Heating Degree Day</w:t>
            </w:r>
          </w:p>
        </w:tc>
        <w:tc>
          <w:tcPr>
            <w:tcW w:w="0" w:type="dxa"/>
            <w:vAlign w:val="bottom"/>
          </w:tcPr>
          <w:p>
            <w:pPr>
              <w:spacing w:after="0"/>
              <w:rPr>
                <w:sz w:val="1"/>
                <w:szCs w:val="1"/>
                <w:color w:val="auto"/>
              </w:rPr>
            </w:pPr>
          </w:p>
        </w:tc>
      </w:tr>
      <w:tr>
        <w:trPr>
          <w:trHeight w:val="842"/>
        </w:trPr>
        <w:tc>
          <w:tcPr>
            <w:tcW w:w="2440" w:type="dxa"/>
            <w:vAlign w:val="bottom"/>
          </w:tcPr>
          <w:p>
            <w:pPr>
              <w:spacing w:after="0"/>
              <w:rPr>
                <w:sz w:val="24"/>
                <w:szCs w:val="24"/>
                <w:color w:val="auto"/>
              </w:rPr>
            </w:pPr>
          </w:p>
        </w:tc>
        <w:tc>
          <w:tcPr>
            <w:tcW w:w="880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12"/>
        </w:trPr>
        <w:tc>
          <w:tcPr>
            <w:tcW w:w="2440" w:type="dxa"/>
            <w:vAlign w:val="bottom"/>
            <w:tcBorders>
              <w:bottom w:val="single" w:sz="8" w:color="9A9A9A"/>
            </w:tcBorders>
          </w:tcPr>
          <w:p>
            <w:pPr>
              <w:spacing w:after="0"/>
              <w:rPr>
                <w:sz w:val="9"/>
                <w:szCs w:val="9"/>
                <w:color w:val="auto"/>
              </w:rPr>
            </w:pPr>
          </w:p>
        </w:tc>
        <w:tc>
          <w:tcPr>
            <w:tcW w:w="8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Heat Rate</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A measure of thermal efficiency computed by dividing the total BTU content of the fuel burned by the resultin</w:t>
            </w:r>
          </w:p>
        </w:tc>
      </w:tr>
      <w:tr>
        <w:trPr>
          <w:trHeight w:val="179"/>
        </w:trPr>
        <w:tc>
          <w:tcPr>
            <w:tcW w:w="2700" w:type="dxa"/>
            <w:vAlign w:val="bottom"/>
          </w:tcPr>
          <w:p>
            <w:pPr>
              <w:spacing w:after="0"/>
              <w:rPr>
                <w:sz w:val="15"/>
                <w:szCs w:val="15"/>
                <w:color w:val="auto"/>
              </w:rPr>
            </w:pPr>
          </w:p>
        </w:tc>
        <w:tc>
          <w:tcPr>
            <w:tcW w:w="8640" w:type="dxa"/>
            <w:vAlign w:val="bottom"/>
            <w:gridSpan w:val="2"/>
          </w:tcPr>
          <w:p>
            <w:pPr>
              <w:ind w:left="620"/>
              <w:spacing w:after="0" w:line="179" w:lineRule="exact"/>
              <w:rPr>
                <w:sz w:val="20"/>
                <w:szCs w:val="20"/>
                <w:color w:val="auto"/>
              </w:rPr>
            </w:pPr>
            <w:r>
              <w:rPr>
                <w:rFonts w:ascii="Times New Roman" w:cs="Times New Roman" w:eastAsia="Times New Roman" w:hAnsi="Times New Roman"/>
                <w:sz w:val="18"/>
                <w:szCs w:val="18"/>
                <w:color w:val="auto"/>
                <w:w w:val="99"/>
              </w:rPr>
              <w:t>kWhs generated. Heat Rates can be expressed as either gross or net Heat Rates, depending whether the electrici</w:t>
            </w:r>
          </w:p>
        </w:tc>
      </w:tr>
      <w:tr>
        <w:trPr>
          <w:trHeight w:val="224"/>
        </w:trPr>
        <w:tc>
          <w:tcPr>
            <w:tcW w:w="2700" w:type="dxa"/>
            <w:vAlign w:val="bottom"/>
          </w:tcPr>
          <w:p>
            <w:pPr>
              <w:spacing w:after="0"/>
              <w:rPr>
                <w:sz w:val="19"/>
                <w:szCs w:val="19"/>
                <w:color w:val="auto"/>
              </w:rPr>
            </w:pP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output measured is gross or net generation and is generally expressed as BTU per net kWh</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Home</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NRG Home, which serves residential customers</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ICE</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IESO</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Independent Electricity System Operator</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ISO</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Independent System Operator, also referred to as RTOs</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ISO-NE</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ISO New England Inc.</w:t>
            </w:r>
          </w:p>
        </w:tc>
      </w:tr>
      <w:tr>
        <w:trPr>
          <w:trHeight w:val="176"/>
        </w:trPr>
        <w:tc>
          <w:tcPr>
            <w:tcW w:w="270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Ivanpah</w:t>
            </w:r>
          </w:p>
        </w:tc>
        <w:tc>
          <w:tcPr>
            <w:tcW w:w="8640" w:type="dxa"/>
            <w:vAlign w:val="bottom"/>
            <w:gridSpan w:val="2"/>
          </w:tcPr>
          <w:p>
            <w:pPr>
              <w:ind w:left="620"/>
              <w:spacing w:after="0" w:line="176" w:lineRule="exact"/>
              <w:rPr>
                <w:sz w:val="20"/>
                <w:szCs w:val="20"/>
                <w:color w:val="auto"/>
              </w:rPr>
            </w:pPr>
            <w:r>
              <w:rPr>
                <w:rFonts w:ascii="Times New Roman" w:cs="Times New Roman" w:eastAsia="Times New Roman" w:hAnsi="Times New Roman"/>
                <w:sz w:val="18"/>
                <w:szCs w:val="18"/>
                <w:color w:val="auto"/>
              </w:rPr>
              <w:t>Ivanpah Solar Electric Generation Station, a 385 MW solar thermal power plant located in California’s Mojav</w:t>
            </w:r>
          </w:p>
        </w:tc>
      </w:tr>
      <w:tr>
        <w:trPr>
          <w:trHeight w:val="228"/>
        </w:trPr>
        <w:tc>
          <w:tcPr>
            <w:tcW w:w="2700" w:type="dxa"/>
            <w:vAlign w:val="bottom"/>
          </w:tcPr>
          <w:p>
            <w:pPr>
              <w:spacing w:after="0"/>
              <w:rPr>
                <w:sz w:val="19"/>
                <w:szCs w:val="19"/>
                <w:color w:val="auto"/>
              </w:rPr>
            </w:pP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Desert in which NRG owns 54.5% interest</w:t>
            </w:r>
          </w:p>
        </w:tc>
      </w:tr>
      <w:tr>
        <w:trPr>
          <w:trHeight w:val="227"/>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kWh</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Kilowatt-hours</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LS Power</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LS Power Equity Advisors, LLC</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LSP Portfolio</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The portfolio of natural gas and dual fuel generation and other assets from LS Power</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LTIPs</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Collectively, the NRG long-term incentive plan (“LTIP”) and the Vivint LTIP</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MDth</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Thousand Dekatherms</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Midwest Generation</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Midwest Generation, LLC</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MISO</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Midcontinent Independent System Operator, Inc.</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MMBtu</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Million British Thermal Units</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MMDth</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Million Dekatherms</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MW</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Megawatts</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MWh</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Saleable megawatt hour net of internal/parasitic load megawatt-hour</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NAAQS</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National Ambient Air Quality Standards</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NEPOOL</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New England Power Pool</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NERC</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North American Electric Reliability Corporation</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Exposure</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Counterparty credit exposure to NRG, net of collateral</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Revenue Rates</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Sum of retail revenues less TDSP transportation charges</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Nodal</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Nodal Exchange is a derivatives exchange</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NOL</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Net Operating Loss</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NOx</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Nitrogen Oxides</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NPNS</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Normal Purchase Normal Sale</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NRC</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U.S. Nuclear Regulatory Commission</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NRG</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NRG Energy, Inc.</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NRG Receivables</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NRG Receivables LLC, a wholly-owned indirect subsidiary of the Company</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NYISO</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New York Independent System Operator</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NYMEX</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OECD</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Organization for Economic Cooperation and Development</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PJM</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PJM Interconnection, LLC</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PM2.5</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Particulate Matter that has a diameter of less than 2.5 micrometers</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PPA</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Power Purchase Agreement</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PUCT</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Public Utility Commission of Texas</w:t>
            </w:r>
          </w:p>
        </w:tc>
      </w:tr>
      <w:tr>
        <w:trPr>
          <w:trHeight w:val="224"/>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RCRA</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Resource Conservation and Recovery Act of 1976</w:t>
            </w:r>
          </w:p>
        </w:tc>
      </w:tr>
      <w:tr>
        <w:trPr>
          <w:trHeight w:val="176"/>
        </w:trPr>
        <w:tc>
          <w:tcPr>
            <w:tcW w:w="270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Receivables Facility</w:t>
            </w:r>
          </w:p>
        </w:tc>
        <w:tc>
          <w:tcPr>
            <w:tcW w:w="8640" w:type="dxa"/>
            <w:vAlign w:val="bottom"/>
            <w:gridSpan w:val="2"/>
          </w:tcPr>
          <w:p>
            <w:pPr>
              <w:ind w:left="620"/>
              <w:spacing w:after="0" w:line="176" w:lineRule="exact"/>
              <w:rPr>
                <w:sz w:val="20"/>
                <w:szCs w:val="20"/>
                <w:color w:val="auto"/>
              </w:rPr>
            </w:pPr>
            <w:r>
              <w:rPr>
                <w:rFonts w:ascii="Times New Roman" w:cs="Times New Roman" w:eastAsia="Times New Roman" w:hAnsi="Times New Roman"/>
                <w:sz w:val="18"/>
                <w:szCs w:val="18"/>
                <w:color w:val="auto"/>
                <w:w w:val="97"/>
              </w:rPr>
              <w:t>NRG Receivables LLC, a bankruptcy remote, special purpose, wholly-owned indirect subsidiary of the Company</w:t>
            </w:r>
          </w:p>
        </w:tc>
      </w:tr>
      <w:tr>
        <w:trPr>
          <w:trHeight w:val="228"/>
        </w:trPr>
        <w:tc>
          <w:tcPr>
            <w:tcW w:w="2700" w:type="dxa"/>
            <w:vAlign w:val="bottom"/>
          </w:tcPr>
          <w:p>
            <w:pPr>
              <w:spacing w:after="0"/>
              <w:rPr>
                <w:sz w:val="19"/>
                <w:szCs w:val="19"/>
                <w:color w:val="auto"/>
              </w:rPr>
            </w:pP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$2.3 billion accounts receivables securitization facility due 2026, which was last amended on June 20, 2025</w:t>
            </w:r>
          </w:p>
        </w:tc>
      </w:tr>
      <w:tr>
        <w:trPr>
          <w:trHeight w:val="227"/>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RECs</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Renewable Energy Certificates</w:t>
            </w:r>
          </w:p>
        </w:tc>
      </w:tr>
      <w:tr>
        <w:trPr>
          <w:trHeight w:val="176"/>
        </w:trPr>
        <w:tc>
          <w:tcPr>
            <w:tcW w:w="270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Renewable PPA</w:t>
            </w:r>
          </w:p>
        </w:tc>
        <w:tc>
          <w:tcPr>
            <w:tcW w:w="8640" w:type="dxa"/>
            <w:vAlign w:val="bottom"/>
            <w:gridSpan w:val="2"/>
          </w:tcPr>
          <w:p>
            <w:pPr>
              <w:ind w:left="620"/>
              <w:spacing w:after="0" w:line="176" w:lineRule="exact"/>
              <w:rPr>
                <w:sz w:val="20"/>
                <w:szCs w:val="20"/>
                <w:color w:val="auto"/>
              </w:rPr>
            </w:pPr>
            <w:r>
              <w:rPr>
                <w:rFonts w:ascii="Times New Roman" w:cs="Times New Roman" w:eastAsia="Times New Roman" w:hAnsi="Times New Roman"/>
                <w:sz w:val="18"/>
                <w:szCs w:val="18"/>
                <w:color w:val="auto"/>
              </w:rPr>
              <w:t>A third-party PPA entered into directly with a renewable generation facility for the offtake of the RECs or oth</w:t>
            </w:r>
          </w:p>
        </w:tc>
      </w:tr>
      <w:tr>
        <w:trPr>
          <w:trHeight w:val="179"/>
        </w:trPr>
        <w:tc>
          <w:tcPr>
            <w:tcW w:w="2700" w:type="dxa"/>
            <w:vAlign w:val="bottom"/>
          </w:tcPr>
          <w:p>
            <w:pPr>
              <w:spacing w:after="0"/>
              <w:rPr>
                <w:sz w:val="15"/>
                <w:szCs w:val="15"/>
                <w:color w:val="auto"/>
              </w:rPr>
            </w:pPr>
          </w:p>
        </w:tc>
        <w:tc>
          <w:tcPr>
            <w:tcW w:w="8640" w:type="dxa"/>
            <w:vAlign w:val="bottom"/>
            <w:gridSpan w:val="2"/>
          </w:tcPr>
          <w:p>
            <w:pPr>
              <w:ind w:left="620"/>
              <w:spacing w:after="0" w:line="179" w:lineRule="exact"/>
              <w:rPr>
                <w:sz w:val="20"/>
                <w:szCs w:val="20"/>
                <w:color w:val="auto"/>
              </w:rPr>
            </w:pPr>
            <w:r>
              <w:rPr>
                <w:rFonts w:ascii="Times New Roman" w:cs="Times New Roman" w:eastAsia="Times New Roman" w:hAnsi="Times New Roman"/>
                <w:sz w:val="18"/>
                <w:szCs w:val="18"/>
                <w:color w:val="auto"/>
              </w:rPr>
              <w:t>similar environmental attributes generated by such facility, coupled with the associated power generated by th</w:t>
            </w:r>
          </w:p>
        </w:tc>
      </w:tr>
      <w:tr>
        <w:trPr>
          <w:trHeight w:val="224"/>
        </w:trPr>
        <w:tc>
          <w:tcPr>
            <w:tcW w:w="2700" w:type="dxa"/>
            <w:vAlign w:val="bottom"/>
          </w:tcPr>
          <w:p>
            <w:pPr>
              <w:spacing w:after="0"/>
              <w:rPr>
                <w:sz w:val="19"/>
                <w:szCs w:val="19"/>
                <w:color w:val="auto"/>
              </w:rPr>
            </w:pP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facility</w:t>
            </w:r>
          </w:p>
        </w:tc>
      </w:tr>
      <w:tr>
        <w:trPr>
          <w:trHeight w:val="228"/>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The Company’s $4.6 billion revolving credit facility due 2029, which was last amended on May 27, 2025</w:t>
            </w:r>
          </w:p>
        </w:tc>
      </w:tr>
      <w:tr>
        <w:trPr>
          <w:trHeight w:val="842"/>
        </w:trPr>
        <w:tc>
          <w:tcPr>
            <w:tcW w:w="2700" w:type="dxa"/>
            <w:vAlign w:val="bottom"/>
          </w:tcPr>
          <w:p>
            <w:pPr>
              <w:spacing w:after="0"/>
              <w:rPr>
                <w:sz w:val="24"/>
                <w:szCs w:val="24"/>
                <w:color w:val="auto"/>
              </w:rPr>
            </w:pPr>
          </w:p>
        </w:tc>
        <w:tc>
          <w:tcPr>
            <w:tcW w:w="854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r>
      <w:tr>
        <w:trPr>
          <w:trHeight w:val="112"/>
        </w:trPr>
        <w:tc>
          <w:tcPr>
            <w:tcW w:w="2700" w:type="dxa"/>
            <w:vAlign w:val="bottom"/>
            <w:tcBorders>
              <w:bottom w:val="single" w:sz="8" w:color="9A9A9A"/>
            </w:tcBorders>
          </w:tcPr>
          <w:p>
            <w:pPr>
              <w:spacing w:after="0"/>
              <w:rPr>
                <w:sz w:val="9"/>
                <w:szCs w:val="9"/>
                <w:color w:val="auto"/>
              </w:rPr>
            </w:pPr>
          </w:p>
        </w:tc>
        <w:tc>
          <w:tcPr>
            <w:tcW w:w="85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88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color w:val="auto"/>
        </w:rPr>
        <w:t>RGGI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Regional Greenhouse Gas Initiative</w:t>
      </w:r>
    </w:p>
    <w:p>
      <w:pPr>
        <w:spacing w:after="0" w:line="44" w:lineRule="exact"/>
        <w:rPr>
          <w:sz w:val="20"/>
          <w:szCs w:val="20"/>
          <w:color w:val="auto"/>
        </w:rPr>
      </w:pPr>
    </w:p>
    <w:p>
      <w:pPr>
        <w:sectPr>
          <w:pgSz w:w="11900" w:h="16838" w:orient="portrait"/>
          <w:cols w:equalWidth="0" w:num="2">
            <w:col w:w="2300" w:space="720"/>
            <w:col w:w="8020"/>
          </w:cols>
          <w:pgMar w:left="620" w:top="911" w:right="2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RMR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Reliability Must-Run</w:t>
      </w:r>
    </w:p>
    <w:p>
      <w:pPr>
        <w:spacing w:after="0" w:line="40"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Regional Transmission Organization, also referred to as ISOs</w:t>
      </w:r>
    </w:p>
    <w:p>
      <w:pPr>
        <w:spacing w:after="0" w:line="40"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U.S. Securities and Exchange Commission</w:t>
      </w:r>
    </w:p>
    <w:p>
      <w:pPr>
        <w:spacing w:after="0" w:line="40"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Senior Credit Facility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NRG’s senior secured credit facility, comprised of the Revolving Credit Facility and the Term Loan B Facility</w:t>
      </w:r>
    </w:p>
    <w:p>
      <w:pPr>
        <w:spacing w:after="0" w:line="48"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As of March 31, 2026, NRG’s $9.9 billion outstanding unsecured senior notes consisting of $821 million of 5.750</w:t>
      </w:r>
    </w:p>
    <w:p>
      <w:pPr>
        <w:spacing w:after="0" w:line="34"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ind w:left="3020"/>
        <w:spacing w:after="0"/>
        <w:rPr>
          <w:sz w:val="20"/>
          <w:szCs w:val="20"/>
          <w:color w:val="auto"/>
        </w:rPr>
      </w:pPr>
      <w:r>
        <w:rPr>
          <w:rFonts w:ascii="Times New Roman" w:cs="Times New Roman" w:eastAsia="Times New Roman" w:hAnsi="Times New Roman"/>
          <w:sz w:val="16"/>
          <w:szCs w:val="16"/>
          <w:color w:val="auto"/>
        </w:rPr>
        <w:t>senior notes due 2028, $733 million of the 5.250% senior notes due 2029, $500 million of the 3.375% senior not</w:t>
      </w:r>
    </w:p>
    <w:p>
      <w:pPr>
        <w:ind w:left="3020"/>
        <w:spacing w:after="0" w:line="213" w:lineRule="auto"/>
        <w:rPr>
          <w:sz w:val="20"/>
          <w:szCs w:val="20"/>
          <w:color w:val="auto"/>
        </w:rPr>
      </w:pPr>
      <w:r>
        <w:rPr>
          <w:rFonts w:ascii="Times New Roman" w:cs="Times New Roman" w:eastAsia="Times New Roman" w:hAnsi="Times New Roman"/>
          <w:sz w:val="18"/>
          <w:szCs w:val="18"/>
          <w:color w:val="auto"/>
        </w:rPr>
        <w:t>due 2029, $798 million of the 5.750% senior notes due 2029, $1.0 billion of the 3.625% senior notes due 203</w:t>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6"/>
          <w:szCs w:val="16"/>
          <w:color w:val="auto"/>
        </w:rPr>
        <w:t>$480 million of the 3.875% senior notes due 2032, $925 million of the 6.000% senior notes due 2033, $950 millio</w:t>
      </w:r>
    </w:p>
    <w:p>
      <w:pPr>
        <w:ind w:left="3020"/>
        <w:spacing w:after="0" w:line="213" w:lineRule="auto"/>
        <w:rPr>
          <w:sz w:val="20"/>
          <w:szCs w:val="20"/>
          <w:color w:val="auto"/>
        </w:rPr>
      </w:pPr>
      <w:r>
        <w:rPr>
          <w:rFonts w:ascii="Times New Roman" w:cs="Times New Roman" w:eastAsia="Times New Roman" w:hAnsi="Times New Roman"/>
          <w:sz w:val="18"/>
          <w:szCs w:val="18"/>
          <w:color w:val="auto"/>
        </w:rPr>
        <w:t>of the 6.250% senior notes due 2034, $1.3 billion of the 5.750% senior notes due 2034 and $2.4 billion of th</w:t>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6.000% senior notes due 2036</w:t>
      </w:r>
    </w:p>
    <w:p>
      <w:pPr>
        <w:sectPr>
          <w:pgSz w:w="11900" w:h="16838" w:orient="portrait"/>
          <w:cols w:equalWidth="0" w:num="1">
            <w:col w:w="11040"/>
          </w:cols>
          <w:pgMar w:left="620" w:top="911" w:right="2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Secured First Lien Notes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As of March 31, 2026, NRG’s $3.4 billion outstanding Senior Secured First Lien Notes consists of $900 million the 2.450% Senior Secured First Lien Notes due 2027, $500 million of the 4.450% Senior Secured First Lien Not</w:t>
      </w:r>
    </w:p>
    <w:p>
      <w:pPr>
        <w:spacing w:after="0" w:line="1"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jc w:val="both"/>
        <w:ind w:left="3020"/>
        <w:spacing w:after="0" w:line="203" w:lineRule="auto"/>
        <w:rPr>
          <w:sz w:val="20"/>
          <w:szCs w:val="20"/>
          <w:color w:val="auto"/>
        </w:rPr>
      </w:pPr>
      <w:r>
        <w:rPr>
          <w:rFonts w:ascii="Times New Roman" w:cs="Times New Roman" w:eastAsia="Times New Roman" w:hAnsi="Times New Roman"/>
          <w:sz w:val="18"/>
          <w:szCs w:val="18"/>
          <w:color w:val="auto"/>
        </w:rPr>
        <w:t>due 2029, $625 million of the 4.734% Senior Secured First Lien Notes due 2030, $740 million of the 7.000 Senior Secured First Lien Notes due 2033 and $625 million of the 5.407% Senior Secured First Lien Notes du 2035</w:t>
      </w:r>
    </w:p>
    <w:p>
      <w:pPr>
        <w:sectPr>
          <w:pgSz w:w="11900" w:h="16838" w:orient="portrait"/>
          <w:cols w:equalWidth="0" w:num="1">
            <w:col w:w="11040"/>
          </w:cols>
          <w:pgMar w:left="620" w:top="911" w:right="2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Series A Preferred Stock</w:t>
      </w:r>
    </w:p>
    <w:p>
      <w:pPr>
        <w:spacing w:after="0" w:line="20" w:lineRule="exact"/>
        <w:rPr>
          <w:sz w:val="20"/>
          <w:szCs w:val="20"/>
          <w:color w:val="auto"/>
        </w:rPr>
      </w:pPr>
      <w:r>
        <w:rPr>
          <w:sz w:val="20"/>
          <w:szCs w:val="20"/>
          <w:color w:val="auto"/>
        </w:rPr>
        <w:br w:type="column"/>
      </w:r>
    </w:p>
    <w:p>
      <w:pPr>
        <w:ind w:right="40"/>
        <w:spacing w:after="0" w:line="260" w:lineRule="auto"/>
        <w:rPr>
          <w:sz w:val="20"/>
          <w:szCs w:val="20"/>
          <w:color w:val="auto"/>
        </w:rPr>
      </w:pPr>
      <w:r>
        <w:rPr>
          <w:rFonts w:ascii="Times New Roman" w:cs="Times New Roman" w:eastAsia="Times New Roman" w:hAnsi="Times New Roman"/>
          <w:sz w:val="16"/>
          <w:szCs w:val="16"/>
          <w:color w:val="auto"/>
        </w:rPr>
        <w:t>As of March 31, 2026, NRG’s Series A Preferred Stock consists of 650,000 outstanding shares of the 10.25 Series A Fixed-Rate Reset Cumulative Redeemable Perpetual Preferred Stock, with a $1,000 liquidation preferen</w:t>
      </w:r>
    </w:p>
    <w:p>
      <w:pPr>
        <w:spacing w:after="0" w:line="1"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ind w:left="3020"/>
        <w:spacing w:after="0"/>
        <w:rPr>
          <w:sz w:val="20"/>
          <w:szCs w:val="20"/>
          <w:color w:val="auto"/>
        </w:rPr>
      </w:pPr>
      <w:r>
        <w:rPr>
          <w:rFonts w:ascii="Times New Roman" w:cs="Times New Roman" w:eastAsia="Times New Roman" w:hAnsi="Times New Roman"/>
          <w:sz w:val="16"/>
          <w:szCs w:val="16"/>
          <w:color w:val="auto"/>
        </w:rPr>
        <w:t>per share</w:t>
      </w:r>
    </w:p>
    <w:p>
      <w:pPr>
        <w:sectPr>
          <w:pgSz w:w="11900" w:h="16838" w:orient="portrait"/>
          <w:cols w:equalWidth="0" w:num="1">
            <w:col w:w="11040"/>
          </w:cols>
          <w:pgMar w:left="620" w:top="91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SO</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Sulfur Dioxide</w:t>
      </w:r>
    </w:p>
    <w:p>
      <w:pPr>
        <w:spacing w:after="0" w:line="44"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SOFR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Secured overnight financing rate</w:t>
      </w:r>
    </w:p>
    <w:p>
      <w:pPr>
        <w:spacing w:after="0" w:line="35"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TCJA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The Tax Cuts and Jobs Act of 2017</w:t>
      </w:r>
    </w:p>
    <w:p>
      <w:pPr>
        <w:spacing w:after="0" w:line="40"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TDSP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Transmission/distribution service provider</w:t>
      </w:r>
    </w:p>
    <w:p>
      <w:pPr>
        <w:spacing w:after="0" w:line="40"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Texas Energy Fund</w:t>
      </w:r>
    </w:p>
    <w:p>
      <w:pPr>
        <w:spacing w:after="0" w:line="140"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Texas Generation Portfolio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The acquisition of a portfolio of power generation facilities and other assets from Rockland Capital, LLC</w:t>
      </w:r>
    </w:p>
    <w:p>
      <w:pPr>
        <w:spacing w:after="0" w:line="44"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T.H. Wharton</w:t>
      </w:r>
    </w:p>
    <w:p>
      <w:pPr>
        <w:spacing w:after="0" w:line="20" w:lineRule="exact"/>
        <w:rPr>
          <w:sz w:val="20"/>
          <w:szCs w:val="20"/>
          <w:color w:val="auto"/>
        </w:rPr>
      </w:pPr>
      <w:r>
        <w:rPr>
          <w:sz w:val="20"/>
          <w:szCs w:val="20"/>
          <w:color w:val="auto"/>
        </w:rPr>
        <w:br w:type="column"/>
      </w:r>
    </w:p>
    <w:p>
      <w:pPr>
        <w:spacing w:after="0" w:line="228" w:lineRule="auto"/>
        <w:rPr>
          <w:sz w:val="20"/>
          <w:szCs w:val="20"/>
          <w:color w:val="auto"/>
        </w:rPr>
      </w:pPr>
      <w:r>
        <w:rPr>
          <w:rFonts w:ascii="Times New Roman" w:cs="Times New Roman" w:eastAsia="Times New Roman" w:hAnsi="Times New Roman"/>
          <w:sz w:val="18"/>
          <w:szCs w:val="18"/>
          <w:color w:val="auto"/>
        </w:rPr>
        <w:t>T.H. Wharton generation facility includes a 1,002 MW natural gas-fueled plant, which is currently operational, an an additional 415 MW natural gas-fueled peaker plant, which is currently under construction</w:t>
      </w:r>
    </w:p>
    <w:p>
      <w:pPr>
        <w:spacing w:after="0" w:line="10"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United States of America</w:t>
      </w:r>
    </w:p>
    <w:p>
      <w:pPr>
        <w:spacing w:after="0" w:line="44"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Value at Risk</w:t>
      </w:r>
    </w:p>
    <w:p>
      <w:pPr>
        <w:spacing w:after="0" w:line="40"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Variable Interest Entity</w:t>
      </w:r>
    </w:p>
    <w:p>
      <w:pPr>
        <w:spacing w:after="0" w:line="39"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Winter Storm Uri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 major winter and ice storm that had widespread impacts across North America occurring in February 2021</w:t>
      </w:r>
    </w:p>
    <w:p>
      <w:pPr>
        <w:spacing w:after="0" w:line="200" w:lineRule="exact"/>
        <w:rPr>
          <w:sz w:val="20"/>
          <w:szCs w:val="20"/>
          <w:color w:val="auto"/>
        </w:rPr>
      </w:pPr>
    </w:p>
    <w:p>
      <w:pPr>
        <w:sectPr>
          <w:pgSz w:w="11900" w:h="16838" w:orient="portrait"/>
          <w:cols w:equalWidth="0" w:num="2">
            <w:col w:w="2300" w:space="720"/>
            <w:col w:w="8020"/>
          </w:cols>
          <w:pgMar w:left="620" w:top="91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82550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40"/>
          </w:cols>
          <w:pgMar w:left="620" w:top="911" w:right="239" w:bottom="1440"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ITEM 1 — CONDENSED CONSOLIDATED FINANCIAL STATEMENTS AND NOTES</w:t>
      </w:r>
    </w:p>
    <w:p>
      <w:pPr>
        <w:spacing w:after="0" w:line="24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NRG ENERGY, INC. AND SUBSIDIARIES</w:t>
      </w:r>
    </w:p>
    <w:p>
      <w:pPr>
        <w:spacing w:after="0" w:line="2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6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0" w:type="dxa"/>
            <w:vAlign w:val="bottom"/>
          </w:tcPr>
          <w:p>
            <w:pPr>
              <w:spacing w:after="0"/>
              <w:rPr>
                <w:sz w:val="1"/>
                <w:szCs w:val="1"/>
                <w:color w:val="auto"/>
              </w:rPr>
            </w:pPr>
          </w:p>
        </w:tc>
      </w:tr>
      <w:tr>
        <w:trPr>
          <w:trHeight w:val="204"/>
        </w:trPr>
        <w:tc>
          <w:tcPr>
            <w:tcW w:w="86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operations (excluding depreciation and amortization shown below)</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171"/>
        </w:trPr>
        <w:tc>
          <w:tcPr>
            <w:tcW w:w="862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rPr>
              <w:t>Selling, general and administrative costs (excluding amortization of customer acquisition costs of $87 and $65,</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 which are included in depreciation and amortization shown separately above)</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7"/>
        </w:trPr>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sale of assets</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7"/>
        </w:trPr>
        <w:tc>
          <w:tcPr>
            <w:tcW w:w="8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04"/>
        </w:trPr>
        <w:tc>
          <w:tcPr>
            <w:tcW w:w="86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Other Income/(Expense)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7"/>
        </w:trPr>
        <w:tc>
          <w:tcPr>
            <w:tcW w:w="8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other expense</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7"/>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24"/>
        </w:trPr>
        <w:tc>
          <w:tcPr>
            <w:tcW w:w="8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7"/>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4"/>
        </w:trPr>
        <w:tc>
          <w:tcPr>
            <w:tcW w:w="8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Cumulative dividends attributable to Series A Preferred Stock</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2"/>
        </w:trPr>
        <w:tc>
          <w:tcPr>
            <w:tcW w:w="8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Available for Common Stockholders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7"/>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per Weighted Average Common Share — Basic</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diluted</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7"/>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per Weighted Average Common Share — Diluted</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69" w:right="359" w:bottom="1440" w:gutter="0" w:footer="0" w:header="0"/>
        </w:sectPr>
      </w:pPr>
    </w:p>
    <w:bookmarkStart w:id="8" w:name="page9"/>
    <w:bookmarkEnd w:id="8"/>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NRG ENERGY, INC. AND SUBSIDIARIES CONDENSED CONSOLIDATED STATEMENTS OF COMPREHENSIVE INCOME (Unaudited)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4"/>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8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Defined benefit plans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comprehensive (loss)/income</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69"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NRG ENERGY,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5200" w:type="dxa"/>
            <w:vAlign w:val="bottom"/>
            <w:tcBorders>
              <w:bottom w:val="single" w:sz="8" w:color="CCEEFF"/>
            </w:tcBorders>
            <w:vMerge w:val="continue"/>
          </w:tcPr>
          <w:p>
            <w:pPr>
              <w:spacing w:after="0"/>
              <w:rPr>
                <w:sz w:val="16"/>
                <w:szCs w:val="16"/>
                <w:color w:val="auto"/>
              </w:rPr>
            </w:pPr>
          </w:p>
        </w:tc>
        <w:tc>
          <w:tcPr>
            <w:tcW w:w="25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20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Funds deposited by counterparties</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instruments</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collateral paid in support of energy risk management activities</w:t>
            </w:r>
          </w:p>
        </w:tc>
        <w:tc>
          <w:tcPr>
            <w:tcW w:w="2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5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2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Other Assets</w:t>
            </w:r>
          </w:p>
        </w:tc>
        <w:tc>
          <w:tcPr>
            <w:tcW w:w="2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instruments</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assets</w:t>
            </w:r>
          </w:p>
        </w:tc>
        <w:tc>
          <w:tcPr>
            <w:tcW w:w="2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56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2"/>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560" w:type="dxa"/>
            <w:vAlign w:val="bottom"/>
          </w:tcPr>
          <w:p>
            <w:pPr>
              <w:jc w:val="right"/>
              <w:ind w:right="1992"/>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520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1"/>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2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(Audited)</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0"/>
        </w:trPr>
        <w:tc>
          <w:tcPr>
            <w:tcW w:w="7760" w:type="dxa"/>
            <w:vAlign w:val="bottom"/>
            <w:shd w:val="clear" w:color="auto" w:fill="CCEEFF"/>
          </w:tcPr>
          <w:p>
            <w:pPr>
              <w:ind w:left="1960"/>
              <w:spacing w:after="0" w:line="19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4"/>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4"/>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 and finance leases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4"/>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4"/>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r>
      <w:tr>
        <w:trPr>
          <w:trHeight w:val="224"/>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r>
      <w:tr>
        <w:trPr>
          <w:trHeight w:val="224"/>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collateral received in support of energy risk management activities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4"/>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4"/>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17"/>
        </w:trPr>
        <w:tc>
          <w:tcPr>
            <w:tcW w:w="77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8,029</w:t>
            </w:r>
          </w:p>
        </w:tc>
      </w:tr>
      <w:tr>
        <w:trPr>
          <w:trHeight w:val="204"/>
        </w:trPr>
        <w:tc>
          <w:tcPr>
            <w:tcW w:w="77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Other Liabilities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4"/>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 and finance leases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16,412</w:t>
            </w:r>
          </w:p>
        </w:tc>
      </w:tr>
      <w:tr>
        <w:trPr>
          <w:trHeight w:val="224"/>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4"/>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24"/>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4"/>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24"/>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17"/>
        </w:trPr>
        <w:tc>
          <w:tcPr>
            <w:tcW w:w="77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liabilities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19,430</w:t>
            </w:r>
          </w:p>
        </w:tc>
      </w:tr>
      <w:tr>
        <w:trPr>
          <w:trHeight w:val="217"/>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27,459</w:t>
            </w:r>
          </w:p>
        </w:tc>
      </w:tr>
      <w:tr>
        <w:trPr>
          <w:trHeight w:val="204"/>
        </w:trPr>
        <w:tc>
          <w:tcPr>
            <w:tcW w:w="776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4"/>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171"/>
        </w:trPr>
        <w:tc>
          <w:tcPr>
            <w:tcW w:w="776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w w:val="97"/>
              </w:rPr>
              <w:t>Preferred stock; 10,000,000 shares authorized; 650,000 Series A shares issued and outstanding at March 31,</w:t>
            </w: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9"/>
        </w:trPr>
        <w:tc>
          <w:tcPr>
            <w:tcW w:w="7760" w:type="dxa"/>
            <w:vAlign w:val="bottom"/>
          </w:tcPr>
          <w:p>
            <w:pPr>
              <w:ind w:left="120"/>
              <w:spacing w:after="0" w:line="179" w:lineRule="exact"/>
              <w:rPr>
                <w:sz w:val="20"/>
                <w:szCs w:val="20"/>
                <w:color w:val="auto"/>
              </w:rPr>
            </w:pPr>
            <w:r>
              <w:rPr>
                <w:rFonts w:ascii="Times New Roman" w:cs="Times New Roman" w:eastAsia="Times New Roman" w:hAnsi="Times New Roman"/>
                <w:sz w:val="18"/>
                <w:szCs w:val="18"/>
                <w:color w:val="auto"/>
              </w:rPr>
              <w:t>2026 and December 31, 2025, aggregate liquidation preference of $650 at March 31, 2026 and</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2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2025</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171"/>
        </w:trPr>
        <w:tc>
          <w:tcPr>
            <w:tcW w:w="776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Common stock; $0.01 par value; 500,000,000 shares authorized; 224,850,164 and 199,828,615 shares</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79"/>
        </w:trPr>
        <w:tc>
          <w:tcPr>
            <w:tcW w:w="7760" w:type="dxa"/>
            <w:vAlign w:val="bottom"/>
            <w:shd w:val="clear" w:color="auto" w:fill="CCEEFF"/>
          </w:tcPr>
          <w:p>
            <w:pPr>
              <w:ind w:left="120"/>
              <w:spacing w:after="0" w:line="179" w:lineRule="exact"/>
              <w:rPr>
                <w:sz w:val="20"/>
                <w:szCs w:val="20"/>
                <w:color w:val="auto"/>
              </w:rPr>
            </w:pPr>
            <w:r>
              <w:rPr>
                <w:rFonts w:ascii="Times New Roman" w:cs="Times New Roman" w:eastAsia="Times New Roman" w:hAnsi="Times New Roman"/>
                <w:sz w:val="18"/>
                <w:szCs w:val="18"/>
                <w:color w:val="auto"/>
              </w:rPr>
              <w:t>issued and 212,762,887 and 190,376,607 shares outstanding at March 31, 2026 and December 31, 2025,</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29"/>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4"/>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171"/>
        </w:trPr>
        <w:tc>
          <w:tcPr>
            <w:tcW w:w="776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w w:val="98"/>
              </w:rPr>
              <w:t>Treasury stock, at cost; 12,087,277 shares and 9,452,008 shares at March 31, 2026 and December 31, 2025,</w:t>
            </w: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37"/>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24"/>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7"/>
        </w:trPr>
        <w:tc>
          <w:tcPr>
            <w:tcW w:w="7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r>
      <w:tr>
        <w:trPr>
          <w:trHeight w:val="242"/>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NRG ENERGY, INC.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cash (used)/provided by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of property, plant and equipment and amortization of customer relationships and other intangible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capitalized contract costs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9"/>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accretion of/(gain) on asset retirement obligations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9"/>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financing costs and debt discounts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in-the-money contracts and emissions allowances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9"/>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unearned equity compensation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loss on sale of assets and disposal of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9"/>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proceeds from insurance recoveries for property, plant and equipment, net</w:t>
            </w: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derivative instruments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09"/>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current and deferred income taxes and liability for uncertain tax benefits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collateral deposits in support of risk management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623</w:t>
            </w:r>
          </w:p>
        </w:tc>
        <w:tc>
          <w:tcPr>
            <w:tcW w:w="0" w:type="dxa"/>
            <w:vAlign w:val="bottom"/>
          </w:tcPr>
          <w:p>
            <w:pPr>
              <w:spacing w:after="0"/>
              <w:rPr>
                <w:sz w:val="1"/>
                <w:szCs w:val="1"/>
                <w:color w:val="auto"/>
              </w:rPr>
            </w:pPr>
          </w:p>
        </w:tc>
      </w:tr>
      <w:tr>
        <w:trPr>
          <w:trHeight w:val="209"/>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provided/(used) by changes in other working capital:</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9"/>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09"/>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9"/>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0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(used)/provided by operating activities</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855</w:t>
            </w:r>
          </w:p>
        </w:tc>
        <w:tc>
          <w:tcPr>
            <w:tcW w:w="0" w:type="dxa"/>
            <w:vAlign w:val="bottom"/>
          </w:tcPr>
          <w:p>
            <w:pPr>
              <w:spacing w:after="0"/>
              <w:rPr>
                <w:sz w:val="1"/>
                <w:szCs w:val="1"/>
                <w:color w:val="auto"/>
              </w:rPr>
            </w:pPr>
          </w:p>
        </w:tc>
      </w:tr>
      <w:tr>
        <w:trPr>
          <w:trHeight w:val="190"/>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for acquisitions of businesses and assets, net of cash acquired</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9"/>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sales of assets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9"/>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purchases of emissions allowances</w:t>
            </w: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insurance recoveries for property, plant and equipment, net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2"/>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by investing activities</w:t>
            </w:r>
          </w:p>
        </w:tc>
        <w:tc>
          <w:tcPr>
            <w:tcW w:w="32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(7,072)</w:t>
            </w:r>
          </w:p>
        </w:tc>
        <w:tc>
          <w:tcPr>
            <w:tcW w:w="14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19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Equivalent shares purchased in lieu of tax withholdings</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for share repurchase activity and excise tax</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09"/>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of dividends to preferred and common stockholders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Repayments of long-term debt and finance leases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of deferred financing costs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receipts from settlement of acquired derivatives that include financing elements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credit facilities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Repayments to credit facilities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provided/(used) by financing activities</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202"/>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(Decrease)/Increase in Cash and Cash Equivalents, Funds Deposited by Counterparties and Restricted Cash</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(4,587)</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1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Funds Deposited by Counterparties and Restricted Cash at Beginning of Period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4,998</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1,173</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Funds Deposited by Counterparties and Restricted Cash at End of Period</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672"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NRG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880" w:type="dxa"/>
            <w:vAlign w:val="bottom"/>
            <w:vMerge w:val="restart"/>
          </w:tcPr>
          <w:p>
            <w:pPr>
              <w:jc w:val="center"/>
              <w:ind w:right="5"/>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8"/>
        </w:trPr>
        <w:tc>
          <w:tcPr>
            <w:tcW w:w="4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140" w:type="dxa"/>
            <w:vAlign w:val="bottom"/>
          </w:tcPr>
          <w:p>
            <w:pPr>
              <w:spacing w:after="0"/>
              <w:rPr>
                <w:sz w:val="10"/>
                <w:szCs w:val="10"/>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Treasury</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0"/>
                <w:szCs w:val="10"/>
                <w:color w:val="auto"/>
              </w:rPr>
            </w:pPr>
          </w:p>
        </w:tc>
        <w:tc>
          <w:tcPr>
            <w:tcW w:w="880" w:type="dxa"/>
            <w:vAlign w:val="bottom"/>
          </w:tcPr>
          <w:p>
            <w:pPr>
              <w:jc w:val="center"/>
              <w:ind w:right="5"/>
              <w:spacing w:after="0" w:line="11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77"/>
        </w:trPr>
        <w:tc>
          <w:tcPr>
            <w:tcW w:w="4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00" w:type="dxa"/>
            <w:vAlign w:val="bottom"/>
          </w:tcPr>
          <w:p>
            <w:pPr>
              <w:spacing w:after="0"/>
              <w:rPr>
                <w:sz w:val="15"/>
                <w:szCs w:val="15"/>
                <w:color w:val="auto"/>
              </w:rPr>
            </w:pPr>
          </w:p>
        </w:tc>
        <w:tc>
          <w:tcPr>
            <w:tcW w:w="880" w:type="dxa"/>
            <w:vAlign w:val="bottom"/>
          </w:tcPr>
          <w:p>
            <w:pPr>
              <w:jc w:val="center"/>
              <w:ind w:right="5"/>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11"/>
        </w:trPr>
        <w:tc>
          <w:tcPr>
            <w:tcW w:w="4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0" w:type="dxa"/>
            <w:vAlign w:val="bottom"/>
          </w:tcPr>
          <w:p>
            <w:pPr>
              <w:spacing w:after="0"/>
              <w:rPr>
                <w:sz w:val="1"/>
                <w:szCs w:val="1"/>
                <w:color w:val="auto"/>
              </w:rPr>
            </w:pPr>
          </w:p>
        </w:tc>
      </w:tr>
      <w:tr>
        <w:trPr>
          <w:trHeight w:val="209"/>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2"/>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1"/>
        </w:trPr>
        <w:tc>
          <w:tcPr>
            <w:tcW w:w="410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16"/>
                <w:szCs w:val="16"/>
                <w:color w:val="auto"/>
              </w:rPr>
              <w:t>Share repurchases</w:t>
            </w:r>
            <w:r>
              <w:rPr>
                <w:rFonts w:ascii="Times New Roman" w:cs="Times New Roman" w:eastAsia="Times New Roman" w:hAnsi="Times New Roman"/>
                <w:sz w:val="20"/>
                <w:szCs w:val="20"/>
                <w:color w:val="auto"/>
                <w:vertAlign w:val="superscript"/>
              </w:rPr>
              <w:t>(a)</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11"/>
        </w:trPr>
        <w:tc>
          <w:tcPr>
            <w:tcW w:w="4100" w:type="dxa"/>
            <w:vAlign w:val="bottom"/>
            <w:gridSpan w:val="2"/>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Retirement of treasury stock</w:t>
            </w:r>
            <w:r>
              <w:rPr>
                <w:rFonts w:ascii="Times New Roman" w:cs="Times New Roman" w:eastAsia="Times New Roman" w:hAnsi="Times New Roman"/>
                <w:sz w:val="20"/>
                <w:szCs w:val="20"/>
                <w:color w:val="auto"/>
                <w:vertAlign w:val="superscript"/>
              </w:rPr>
              <w:t>(b)</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10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16"/>
                <w:szCs w:val="16"/>
                <w:color w:val="auto"/>
              </w:rPr>
              <w:t>Equity-based awards activity, net</w:t>
            </w:r>
            <w:r>
              <w:rPr>
                <w:rFonts w:ascii="Times New Roman" w:cs="Times New Roman" w:eastAsia="Times New Roman" w:hAnsi="Times New Roman"/>
                <w:sz w:val="20"/>
                <w:szCs w:val="20"/>
                <w:color w:val="auto"/>
                <w:vertAlign w:val="superscript"/>
              </w:rPr>
              <w:t>(c)</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1"/>
        </w:trPr>
        <w:tc>
          <w:tcPr>
            <w:tcW w:w="4100" w:type="dxa"/>
            <w:vAlign w:val="bottom"/>
            <w:gridSpan w:val="2"/>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Issuance of common stock for acquisition of LSP Portfolio</w:t>
            </w:r>
            <w:r>
              <w:rPr>
                <w:rFonts w:ascii="Times New Roman" w:cs="Times New Roman" w:eastAsia="Times New Roman" w:hAnsi="Times New Roman"/>
                <w:sz w:val="20"/>
                <w:szCs w:val="20"/>
                <w:color w:val="auto"/>
                <w:vertAlign w:val="superscript"/>
              </w:rPr>
              <w:t>(d)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0" w:type="dxa"/>
            <w:vAlign w:val="bottom"/>
          </w:tcPr>
          <w:p>
            <w:pPr>
              <w:spacing w:after="0"/>
              <w:rPr>
                <w:sz w:val="1"/>
                <w:szCs w:val="1"/>
                <w:color w:val="auto"/>
              </w:rPr>
            </w:pPr>
          </w:p>
        </w:tc>
      </w:tr>
      <w:tr>
        <w:trPr>
          <w:trHeight w:val="211"/>
        </w:trPr>
        <w:tc>
          <w:tcPr>
            <w:tcW w:w="410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16"/>
                <w:szCs w:val="16"/>
                <w:color w:val="auto"/>
                <w:w w:val="98"/>
              </w:rPr>
              <w:t>Common stock dividends and dividend equivalents declared</w:t>
            </w:r>
            <w:r>
              <w:rPr>
                <w:rFonts w:ascii="Times New Roman" w:cs="Times New Roman" w:eastAsia="Times New Roman" w:hAnsi="Times New Roman"/>
                <w:sz w:val="20"/>
                <w:szCs w:val="20"/>
                <w:color w:val="auto"/>
                <w:w w:val="98"/>
                <w:vertAlign w:val="superscript"/>
              </w:rPr>
              <w:t>(e)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1"/>
        </w:trPr>
        <w:tc>
          <w:tcPr>
            <w:tcW w:w="4100" w:type="dxa"/>
            <w:vAlign w:val="bottom"/>
            <w:gridSpan w:val="2"/>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Series A Preferred Stock dividends</w:t>
            </w:r>
            <w:r>
              <w:rPr>
                <w:rFonts w:ascii="Times New Roman" w:cs="Times New Roman" w:eastAsia="Times New Roman" w:hAnsi="Times New Roman"/>
                <w:sz w:val="20"/>
                <w:szCs w:val="20"/>
                <w:color w:val="auto"/>
                <w:vertAlign w:val="superscript"/>
              </w:rPr>
              <w:t>(f)</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4"/>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7"/>
                <w:szCs w:val="17"/>
                <w:color w:val="auto"/>
              </w:rPr>
            </w:pPr>
          </w:p>
        </w:tc>
        <w:tc>
          <w:tcPr>
            <w:tcW w:w="880" w:type="dxa"/>
            <w:vAlign w:val="bottom"/>
            <w:vMerge w:val="restart"/>
          </w:tcPr>
          <w:p>
            <w:pPr>
              <w:jc w:val="center"/>
              <w:ind w:right="5"/>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1"/>
        </w:trPr>
        <w:tc>
          <w:tcPr>
            <w:tcW w:w="4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Preferred</w:t>
            </w:r>
          </w:p>
        </w:tc>
        <w:tc>
          <w:tcPr>
            <w:tcW w:w="140" w:type="dxa"/>
            <w:vAlign w:val="bottom"/>
          </w:tcPr>
          <w:p>
            <w:pPr>
              <w:spacing w:after="0"/>
              <w:rPr>
                <w:sz w:val="10"/>
                <w:szCs w:val="10"/>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Treasury</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23"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0"/>
                <w:szCs w:val="10"/>
                <w:color w:val="auto"/>
              </w:rPr>
            </w:pPr>
          </w:p>
        </w:tc>
        <w:tc>
          <w:tcPr>
            <w:tcW w:w="880" w:type="dxa"/>
            <w:vAlign w:val="bottom"/>
          </w:tcPr>
          <w:p>
            <w:pPr>
              <w:jc w:val="center"/>
              <w:ind w:right="5"/>
              <w:spacing w:after="0" w:line="12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6"/>
        </w:trPr>
        <w:tc>
          <w:tcPr>
            <w:tcW w:w="4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00" w:type="dxa"/>
            <w:vAlign w:val="bottom"/>
          </w:tcPr>
          <w:p>
            <w:pPr>
              <w:spacing w:after="0"/>
              <w:rPr>
                <w:sz w:val="14"/>
                <w:szCs w:val="14"/>
                <w:color w:val="auto"/>
              </w:rPr>
            </w:pPr>
          </w:p>
        </w:tc>
        <w:tc>
          <w:tcPr>
            <w:tcW w:w="880" w:type="dxa"/>
            <w:vAlign w:val="bottom"/>
          </w:tcPr>
          <w:p>
            <w:pPr>
              <w:jc w:val="center"/>
              <w:ind w:right="5"/>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0" w:type="dxa"/>
            <w:vAlign w:val="bottom"/>
          </w:tcPr>
          <w:p>
            <w:pPr>
              <w:spacing w:after="0"/>
              <w:rPr>
                <w:sz w:val="1"/>
                <w:szCs w:val="1"/>
                <w:color w:val="auto"/>
              </w:rPr>
            </w:pPr>
          </w:p>
        </w:tc>
      </w:tr>
      <w:tr>
        <w:trPr>
          <w:trHeight w:val="209"/>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12"/>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1"/>
        </w:trPr>
        <w:tc>
          <w:tcPr>
            <w:tcW w:w="410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16"/>
                <w:szCs w:val="16"/>
                <w:color w:val="auto"/>
              </w:rPr>
              <w:t>Share repurchases</w:t>
            </w:r>
            <w:r>
              <w:rPr>
                <w:rFonts w:ascii="Times New Roman" w:cs="Times New Roman" w:eastAsia="Times New Roman" w:hAnsi="Times New Roman"/>
                <w:sz w:val="20"/>
                <w:szCs w:val="20"/>
                <w:color w:val="auto"/>
                <w:vertAlign w:val="superscript"/>
              </w:rPr>
              <w:t>(a)</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11"/>
        </w:trPr>
        <w:tc>
          <w:tcPr>
            <w:tcW w:w="4100" w:type="dxa"/>
            <w:vAlign w:val="bottom"/>
            <w:gridSpan w:val="2"/>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Retirement of treasury stock</w:t>
            </w:r>
            <w:r>
              <w:rPr>
                <w:rFonts w:ascii="Times New Roman" w:cs="Times New Roman" w:eastAsia="Times New Roman" w:hAnsi="Times New Roman"/>
                <w:sz w:val="20"/>
                <w:szCs w:val="20"/>
                <w:color w:val="auto"/>
                <w:vertAlign w:val="superscript"/>
              </w:rPr>
              <w:t>(b)</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10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16"/>
                <w:szCs w:val="16"/>
                <w:color w:val="auto"/>
              </w:rPr>
              <w:t>Equity-based awards activity, net</w:t>
            </w:r>
            <w:r>
              <w:rPr>
                <w:rFonts w:ascii="Times New Roman" w:cs="Times New Roman" w:eastAsia="Times New Roman" w:hAnsi="Times New Roman"/>
                <w:sz w:val="20"/>
                <w:szCs w:val="20"/>
                <w:color w:val="auto"/>
                <w:vertAlign w:val="superscript"/>
              </w:rPr>
              <w:t>(c)</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1"/>
        </w:trPr>
        <w:tc>
          <w:tcPr>
            <w:tcW w:w="4100" w:type="dxa"/>
            <w:vAlign w:val="bottom"/>
            <w:gridSpan w:val="2"/>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w w:val="98"/>
              </w:rPr>
              <w:t>Common stock dividends and dividend equivalents declared</w:t>
            </w:r>
            <w:r>
              <w:rPr>
                <w:rFonts w:ascii="Times New Roman" w:cs="Times New Roman" w:eastAsia="Times New Roman" w:hAnsi="Times New Roman"/>
                <w:sz w:val="20"/>
                <w:szCs w:val="20"/>
                <w:color w:val="auto"/>
                <w:w w:val="98"/>
                <w:vertAlign w:val="superscript"/>
              </w:rPr>
              <w:t>(e)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1"/>
        </w:trPr>
        <w:tc>
          <w:tcPr>
            <w:tcW w:w="4080" w:type="dxa"/>
            <w:vAlign w:val="bottom"/>
            <w:tcBorders>
              <w:bottom w:val="single" w:sz="8" w:color="CCEEFF"/>
            </w:tcBorders>
          </w:tcPr>
          <w:p>
            <w:pPr>
              <w:ind w:left="140"/>
              <w:spacing w:after="0" w:line="210" w:lineRule="exact"/>
              <w:rPr>
                <w:sz w:val="20"/>
                <w:szCs w:val="20"/>
                <w:color w:val="auto"/>
              </w:rPr>
            </w:pPr>
            <w:r>
              <w:rPr>
                <w:rFonts w:ascii="Times New Roman" w:cs="Times New Roman" w:eastAsia="Times New Roman" w:hAnsi="Times New Roman"/>
                <w:sz w:val="16"/>
                <w:szCs w:val="16"/>
                <w:color w:val="auto"/>
              </w:rPr>
              <w:t>Series A Preferred Stock dividends</w:t>
            </w:r>
            <w:r>
              <w:rPr>
                <w:rFonts w:ascii="Times New Roman" w:cs="Times New Roman" w:eastAsia="Times New Roman" w:hAnsi="Times New Roman"/>
                <w:sz w:val="20"/>
                <w:szCs w:val="20"/>
                <w:color w:val="auto"/>
                <w:vertAlign w:val="superscript"/>
              </w:rPr>
              <w:t>(f)</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24"/>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ind w:left="320" w:hanging="236"/>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excise tax accrued of $3 million and $2 million for the quarter ended March 31, 2026 and 2025, respectively. See Note 9, </w:t>
      </w:r>
      <w:r>
        <w:rPr>
          <w:rFonts w:ascii="Times New Roman" w:cs="Times New Roman" w:eastAsia="Times New Roman" w:hAnsi="Times New Roman"/>
          <w:sz w:val="14"/>
          <w:szCs w:val="14"/>
          <w:i w:val="1"/>
          <w:iCs w:val="1"/>
          <w:color w:val="auto"/>
        </w:rPr>
        <w:t>Changes in Capital Structure</w:t>
      </w:r>
      <w:r>
        <w:rPr>
          <w:rFonts w:ascii="Times New Roman" w:cs="Times New Roman" w:eastAsia="Times New Roman" w:hAnsi="Times New Roman"/>
          <w:sz w:val="14"/>
          <w:szCs w:val="14"/>
          <w:color w:val="auto"/>
        </w:rPr>
        <w:t xml:space="preserve"> for additional information</w:t>
      </w:r>
    </w:p>
    <w:p>
      <w:pPr>
        <w:spacing w:after="0" w:line="23" w:lineRule="exact"/>
        <w:rPr>
          <w:rFonts w:ascii="Times New Roman" w:cs="Times New Roman" w:eastAsia="Times New Roman" w:hAnsi="Times New Roman"/>
          <w:sz w:val="14"/>
          <w:szCs w:val="14"/>
          <w:color w:val="auto"/>
        </w:rPr>
      </w:pPr>
    </w:p>
    <w:p>
      <w:pPr>
        <w:ind w:left="320" w:hanging="236"/>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further discussion of the treasury stock retirements, see Note 9, </w:t>
      </w:r>
      <w:r>
        <w:rPr>
          <w:rFonts w:ascii="Times New Roman" w:cs="Times New Roman" w:eastAsia="Times New Roman" w:hAnsi="Times New Roman"/>
          <w:sz w:val="14"/>
          <w:szCs w:val="14"/>
          <w:i w:val="1"/>
          <w:iCs w:val="1"/>
          <w:color w:val="auto"/>
        </w:rPr>
        <w:t>Changes in Capital Structure</w:t>
      </w:r>
    </w:p>
    <w:p>
      <w:pPr>
        <w:spacing w:after="0" w:line="10" w:lineRule="exact"/>
        <w:rPr>
          <w:rFonts w:ascii="Times New Roman" w:cs="Times New Roman" w:eastAsia="Times New Roman" w:hAnsi="Times New Roman"/>
          <w:sz w:val="14"/>
          <w:szCs w:val="14"/>
          <w:color w:val="auto"/>
        </w:rPr>
      </w:pPr>
    </w:p>
    <w:p>
      <w:pPr>
        <w:ind w:left="320" w:hanging="236"/>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$(79) million and $(40) million of equivalent shares purchased in lieu of tax withholding on equity compensation issuances for the quarters ended March 31, 2026 and 2025, respectively</w:t>
      </w:r>
    </w:p>
    <w:p>
      <w:pPr>
        <w:spacing w:after="0" w:line="10" w:lineRule="exact"/>
        <w:rPr>
          <w:rFonts w:ascii="Times New Roman" w:cs="Times New Roman" w:eastAsia="Times New Roman" w:hAnsi="Times New Roman"/>
          <w:sz w:val="14"/>
          <w:szCs w:val="14"/>
          <w:color w:val="auto"/>
        </w:rPr>
      </w:pPr>
    </w:p>
    <w:p>
      <w:pPr>
        <w:ind w:left="320" w:hanging="236"/>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further discussion of the LSP Portfolio acquisition, see Note 4, </w:t>
      </w:r>
      <w:r>
        <w:rPr>
          <w:rFonts w:ascii="Times New Roman" w:cs="Times New Roman" w:eastAsia="Times New Roman" w:hAnsi="Times New Roman"/>
          <w:sz w:val="14"/>
          <w:szCs w:val="14"/>
          <w:i w:val="1"/>
          <w:iCs w:val="1"/>
          <w:color w:val="auto"/>
        </w:rPr>
        <w:t>Acquisitions</w:t>
      </w:r>
    </w:p>
    <w:p>
      <w:pPr>
        <w:ind w:left="320" w:hanging="236"/>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per common share were $0.475 and $0.440 for each of the quarters ended March 31, 2026 and 2025, respectively</w:t>
      </w:r>
    </w:p>
    <w:p>
      <w:pPr>
        <w:spacing w:after="0" w:line="5" w:lineRule="exact"/>
        <w:rPr>
          <w:rFonts w:ascii="Times New Roman" w:cs="Times New Roman" w:eastAsia="Times New Roman" w:hAnsi="Times New Roman"/>
          <w:sz w:val="14"/>
          <w:szCs w:val="14"/>
          <w:color w:val="auto"/>
        </w:rPr>
      </w:pPr>
    </w:p>
    <w:p>
      <w:pPr>
        <w:ind w:left="320" w:hanging="236"/>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Semi-annual dividends per share of Series A Preferred Stock were $51.25 for each of the periods ended March 15, 2026 and 2025</w:t>
      </w: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3" w:name="page14"/>
    <w:bookmarkEnd w:id="13"/>
    <w:p>
      <w:pPr>
        <w:jc w:val="center"/>
        <w:ind w:left="340" w:right="2740"/>
        <w:spacing w:after="0" w:line="344" w:lineRule="auto"/>
        <w:rPr>
          <w:sz w:val="20"/>
          <w:szCs w:val="20"/>
          <w:color w:val="auto"/>
        </w:rPr>
      </w:pPr>
      <w:r>
        <w:rPr>
          <w:rFonts w:ascii="Times New Roman" w:cs="Times New Roman" w:eastAsia="Times New Roman" w:hAnsi="Times New Roman"/>
          <w:sz w:val="18"/>
          <w:szCs w:val="18"/>
          <w:b w:val="1"/>
          <w:bCs w:val="1"/>
          <w:color w:val="auto"/>
        </w:rPr>
        <w:t>NRG ENERGY, INC. AND SUBSIDIARIES NOTES TO CONDENSED CONSOLIDATED FINANCIAL STATEMENTS (Unaudited)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w:t>
      </w:r>
      <w:r>
        <w:rPr>
          <w:rFonts w:ascii="Times New Roman" w:cs="Times New Roman" w:eastAsia="Times New Roman" w:hAnsi="Times New Roman"/>
          <w:sz w:val="18"/>
          <w:szCs w:val="18"/>
          <w:b w:val="1"/>
          <w:bCs w:val="1"/>
          <w:i w:val="1"/>
          <w:iCs w:val="1"/>
          <w:color w:val="auto"/>
        </w:rPr>
        <w:t>Nature of Business and Basis of Presentation</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3"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NRG Energy, Inc., or NRG or the Company, provides electricity, natural gas, and smart-home technology solutions to approximately 8 million residential customers (comprised of 6 million retail energy and 2 million smart home), in addition to large commercial and industrial, data center, and wholesale customers. Across North America, NRG is redefining customers’ experience with energy under brand names such as NRG, Reliant, Direct Energy, Green Mountain Energy, and Vivint. As of March 31, 2026, the Company’s core power and natural gas business consists of approximately 25 GW of competitive power generation, including approximately 13 GW from the LSP Portfolio, and a natural gas portfolio that serves approximately 1,900 MMDth annually.</w:t>
      </w:r>
    </w:p>
    <w:p>
      <w:pPr>
        <w:spacing w:after="0" w:line="5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January 30, 2026, NRG completed the acquisition of the LSP Portfolio. The LSP Portfolio includes 18 natural gas-fired and dual fuel facilities totaling approximately 13 GW of capacity, located across nine states, as well as CPower, a leading demand response platform. The acquired operations of the LSP Portfolio are integrated into the existing NRG segment structure. Plant and market operations are combined into the corresponding geographical segments of Texas and East. The East segment also includes the customer operations of CPower.</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business is segmented as follows:</w:t>
      </w:r>
    </w:p>
    <w:p>
      <w:pPr>
        <w:spacing w:after="0" w:line="109" w:lineRule="exact"/>
        <w:rPr>
          <w:sz w:val="20"/>
          <w:szCs w:val="20"/>
          <w:color w:val="auto"/>
        </w:rPr>
      </w:pPr>
    </w:p>
    <w:p>
      <w:pPr>
        <w:ind w:left="640" w:hanging="24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which includes all activity related to customer, plant and market operations in Texas;</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East, which includes all activity related to customer, plant and market operations in the East, and demand response;</w:t>
      </w:r>
    </w:p>
    <w:p>
      <w:pPr>
        <w:spacing w:after="0" w:line="56" w:lineRule="exact"/>
        <w:rPr>
          <w:rFonts w:ascii="Times New Roman" w:cs="Times New Roman" w:eastAsia="Times New Roman" w:hAnsi="Times New Roman"/>
          <w:sz w:val="18"/>
          <w:szCs w:val="18"/>
          <w:color w:val="auto"/>
        </w:rPr>
      </w:pPr>
    </w:p>
    <w:p>
      <w:pPr>
        <w:ind w:left="640" w:hanging="240"/>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West/Other, which includes the following assets and activities: (i) all activity related to customer, plant and market operations in the West and Canada, and (ii) other investments;</w:t>
      </w:r>
    </w:p>
    <w:p>
      <w:pPr>
        <w:spacing w:after="0" w:line="11"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Vivint Smart Home; and</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activities.</w:t>
      </w:r>
    </w:p>
    <w:p>
      <w:pPr>
        <w:spacing w:after="0" w:line="10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 the Company’s 2025 Form 10-K. Interim results are not necessarily indicative of results for a full year.</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condensed consolidated financial statements contain all material adjustments consisting of normal and recurring accruals necessary to present fairly the Company’s consolidated balance sheets as of March 31, 2026, and the results of operations, comprehensive income, cash flows and stockholders’ equity for the three months ended March 31, 2026 and 2025.</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disclosure of contingent assets and liabilities at the date of the financial statements, and the reported amounts of revenues and expenses during the reporting period. Actual results could differ from these estimates.</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Certain prior period amounts have been reclassified for comparative purposes. The reclassifications did not affect consolidated results of operations, net assets or consolidated cash flows.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 xml:space="preserve">Note 2 — </w:t>
      </w:r>
      <w:r>
        <w:rPr>
          <w:rFonts w:ascii="Times New Roman" w:cs="Times New Roman" w:eastAsia="Times New Roman" w:hAnsi="Times New Roman"/>
          <w:sz w:val="18"/>
          <w:szCs w:val="18"/>
          <w:b w:val="1"/>
          <w:bCs w:val="1"/>
          <w:i w:val="1"/>
          <w:iCs w:val="1"/>
          <w:color w:val="auto"/>
        </w:rPr>
        <w:t>Summary of Significant Accounting Policies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depreciation and amortization included in the condensed consolidated statement of operations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6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capitalized contract costs related to fulfillment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4"/>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capitalized contract costs related to customer acquisition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4"/>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customer relationships and other intangible assets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4"/>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2"/>
        </w:trPr>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Retail trade receivables are reported on the consolidated balance sheet net of the allowance for credit losses within accounts receivables, net. Long-term receivables are recorded net of allowance for credit losses in other non-current assets on the consolidated balance sheet. The Company accrues a provision for current expected credit losses based on (i) estimates of uncollectible revenues by analyzing accounts receivable aging and current and reasonable forecasts of expected economic factors including, but not limited to, unemployment rates and weather-related events, (ii) historical collections and delinquencies, and (iii) counterparty credit ratings for commercial and industrial customers.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represents the activity in the allowance for credit losses for the three months ended March 31, 2026 and 2025:</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6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jc w:val="right"/>
              <w:ind w:right="6275"/>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4"/>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4"/>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Write-offs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4"/>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Recoveries collected</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7"/>
        </w:trPr>
        <w:tc>
          <w:tcPr>
            <w:tcW w:w="7860" w:type="dxa"/>
            <w:vAlign w:val="bottom"/>
          </w:tcPr>
          <w:p>
            <w:pPr>
              <w:jc w:val="right"/>
              <w:ind w:right="6275"/>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Balance Sheet Information</w:t>
      </w:r>
    </w:p>
    <w:p>
      <w:pPr>
        <w:spacing w:after="0" w:line="10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accumulated depreciation included in property, plant and equipment, net and accumulated amortization included in customer relationships, net and other intangible assets, net: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5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accumulated depreciation</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28"/>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 and other intangible assets accumulated amortization</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r>
    </w:tbl>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Funds Deposited by Counterparties and Restricted Cash</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restricted cash and funds deposited by counterparties reported within the consolidated balance sheets that sum to the total of the same such amounts shown in the statements of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5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7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0" w:type="dxa"/>
            <w:vAlign w:val="bottom"/>
          </w:tcPr>
          <w:p>
            <w:pPr>
              <w:spacing w:after="0"/>
              <w:rPr>
                <w:sz w:val="1"/>
                <w:szCs w:val="1"/>
                <w:color w:val="auto"/>
              </w:rPr>
            </w:pPr>
          </w:p>
        </w:tc>
      </w:tr>
      <w:tr>
        <w:trPr>
          <w:trHeight w:val="224"/>
        </w:trPr>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Funds deposited by counterparties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51"/>
        </w:trPr>
        <w:tc>
          <w:tcPr>
            <w:tcW w:w="7620" w:type="dxa"/>
            <w:vAlign w:val="bottom"/>
          </w:tcPr>
          <w:p>
            <w:pPr>
              <w:ind w:left="340"/>
              <w:spacing w:after="0" w:line="152" w:lineRule="exact"/>
              <w:rPr>
                <w:sz w:val="20"/>
                <w:szCs w:val="20"/>
                <w:color w:val="auto"/>
              </w:rPr>
            </w:pPr>
            <w:r>
              <w:rPr>
                <w:rFonts w:ascii="Times New Roman" w:cs="Times New Roman" w:eastAsia="Times New Roman" w:hAnsi="Times New Roman"/>
                <w:sz w:val="16"/>
                <w:szCs w:val="16"/>
                <w:color w:val="auto"/>
              </w:rPr>
              <w:t>Cash and cash equivalents, funds deposited by counterparties and restricted cash shown in the</w:t>
            </w:r>
          </w:p>
        </w:tc>
        <w:tc>
          <w:tcPr>
            <w:tcW w:w="2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3"/>
                <w:szCs w:val="13"/>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0" w:type="dxa"/>
            <w:vAlign w:val="bottom"/>
          </w:tcPr>
          <w:p>
            <w:pPr>
              <w:spacing w:after="0"/>
              <w:rPr>
                <w:sz w:val="1"/>
                <w:szCs w:val="1"/>
                <w:color w:val="auto"/>
              </w:rPr>
            </w:pPr>
          </w:p>
        </w:tc>
      </w:tr>
      <w:tr>
        <w:trPr>
          <w:trHeight w:val="216"/>
        </w:trPr>
        <w:tc>
          <w:tcPr>
            <w:tcW w:w="7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statement of cash flows</w:t>
            </w:r>
          </w:p>
        </w:tc>
        <w:tc>
          <w:tcPr>
            <w:tcW w:w="26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Funds deposited by counterparties consist of cash held by the Company as a result of collateral posting obligations from its counterparties related to NRG’s hedging program. Though some amounts are segregated into separate accounts, not all funds are contractually restricted. Based on the Company’s intention, these funds are not available for the payment of general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5" w:name="page16"/>
    <w:bookmarkEnd w:id="15"/>
    <w:p>
      <w:pPr>
        <w:jc w:val="both"/>
        <w:spacing w:after="0" w:line="293" w:lineRule="auto"/>
        <w:rPr>
          <w:sz w:val="20"/>
          <w:szCs w:val="20"/>
          <w:color w:val="auto"/>
        </w:rPr>
      </w:pPr>
      <w:r>
        <w:rPr>
          <w:rFonts w:ascii="Times New Roman" w:cs="Times New Roman" w:eastAsia="Times New Roman" w:hAnsi="Times New Roman"/>
          <w:sz w:val="16"/>
          <w:szCs w:val="16"/>
          <w:color w:val="auto"/>
        </w:rPr>
        <w:t>corporate obligations; however, they are available for liquidity management. Depending on market fluctuations and the settlement of the underlying contracts, the Company will refund this collateral to the counterparties pursuant to the terms and conditions of the underlying trades. Since collateral requirements fluctuate daily and the Company cannot predict if any collateral will be held for more than twelve months, the funds deposited by counterparties are classified as a current asset on the Company’s balance sheet, with an offsetting liability for this cash collateral received within current liabilities.</w:t>
      </w:r>
    </w:p>
    <w:p>
      <w:pPr>
        <w:spacing w:after="0" w:line="4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Restricted cash consists primarily of funds held by the Company for projects under construction or that are restricted in their use due to contractual or legal obligations.</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represents the changes in goodwill during the three months ended March 31,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Texas</w:t>
            </w:r>
          </w:p>
        </w:tc>
        <w:tc>
          <w:tcPr>
            <w:tcW w:w="32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East</w:t>
            </w:r>
          </w:p>
        </w:tc>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West/Other</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Vivint Smart Home</w:t>
            </w:r>
          </w:p>
        </w:tc>
        <w:tc>
          <w:tcPr>
            <w:tcW w:w="320" w:type="dxa"/>
            <w:vAlign w:val="bottom"/>
          </w:tcPr>
          <w:p>
            <w:pPr>
              <w:spacing w:after="0"/>
              <w:rPr>
                <w:sz w:val="18"/>
                <w:szCs w:val="18"/>
                <w:color w:val="auto"/>
              </w:rPr>
            </w:pPr>
          </w:p>
        </w:tc>
        <w:tc>
          <w:tcPr>
            <w:tcW w:w="104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3,523</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5,017</w:t>
            </w:r>
          </w:p>
        </w:tc>
      </w:tr>
      <w:tr>
        <w:trPr>
          <w:trHeight w:val="171"/>
        </w:trPr>
        <w:tc>
          <w:tcPr>
            <w:tcW w:w="388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rPr>
              <w:t>Goodwill resulting from the acquisition of LSP</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7"/>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Portfolio</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24"/>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2,234</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2,996</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3,523</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8,881</w:t>
            </w:r>
          </w:p>
        </w:tc>
      </w:tr>
      <w:tr>
        <w:trPr>
          <w:trHeight w:val="20"/>
        </w:trPr>
        <w:tc>
          <w:tcPr>
            <w:tcW w:w="3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 — Guidance Adopted in 2026</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ASU 2024-04 </w:t>
      </w:r>
      <w:r>
        <w:rPr>
          <w:rFonts w:ascii="Times New Roman" w:cs="Times New Roman" w:eastAsia="Times New Roman" w:hAnsi="Times New Roman"/>
          <w:sz w:val="18"/>
          <w:szCs w:val="18"/>
          <w:color w:val="auto"/>
        </w:rPr>
        <w:t>– In November 2024, the FASB issued ASU No. 2024-04,</w:t>
      </w:r>
      <w:r>
        <w:rPr>
          <w:rFonts w:ascii="Times New Roman" w:cs="Times New Roman" w:eastAsia="Times New Roman" w:hAnsi="Times New Roman"/>
          <w:sz w:val="18"/>
          <w:szCs w:val="18"/>
          <w:i w:val="1"/>
          <w:iCs w:val="1"/>
          <w:color w:val="auto"/>
        </w:rPr>
        <w:t xml:space="preserve"> Debt—Debt with Conversion and Other Options (Subtopic 470-20) – Induced Conversions of Convertible Debt Instruments</w:t>
      </w:r>
      <w:r>
        <w:rPr>
          <w:rFonts w:ascii="Times New Roman" w:cs="Times New Roman" w:eastAsia="Times New Roman" w:hAnsi="Times New Roman"/>
          <w:sz w:val="18"/>
          <w:szCs w:val="18"/>
          <w:color w:val="auto"/>
        </w:rPr>
        <w:t>, or ASU 2024-04. The guidance in ASU 2024-04 clarifies the requirements related to accounting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of a debt instrument as an induced conversion when changes are made to conversion features as part of an offer to settle the instrument. The Company adopted ASU 2024-04 prospectively effective January 1, 2026. The adoption of ASU 2024-04 did not have an impact on the Company’s consolidated financial statements and related disclosures.</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ASU 2025-05 </w:t>
      </w:r>
      <w:r>
        <w:rPr>
          <w:rFonts w:ascii="Times New Roman" w:cs="Times New Roman" w:eastAsia="Times New Roman" w:hAnsi="Times New Roman"/>
          <w:sz w:val="18"/>
          <w:szCs w:val="18"/>
          <w:color w:val="auto"/>
        </w:rPr>
        <w:t>– In July 2025, the FASB issued ASU No. 2025-05,</w:t>
      </w:r>
      <w:r>
        <w:rPr>
          <w:rFonts w:ascii="Times New Roman" w:cs="Times New Roman" w:eastAsia="Times New Roman" w:hAnsi="Times New Roman"/>
          <w:sz w:val="18"/>
          <w:szCs w:val="18"/>
          <w:i w:val="1"/>
          <w:iCs w:val="1"/>
          <w:color w:val="auto"/>
        </w:rPr>
        <w:t xml:space="preserve"> Financial Instruments—Credit Losses (Topic 326) – Measurement of Credit Losses for Accounts Receivable and Contract Assets, </w:t>
      </w:r>
      <w:r>
        <w:rPr>
          <w:rFonts w:ascii="Times New Roman" w:cs="Times New Roman" w:eastAsia="Times New Roman" w:hAnsi="Times New Roman"/>
          <w:sz w:val="18"/>
          <w:szCs w:val="18"/>
          <w:color w:val="auto"/>
        </w:rPr>
        <w:t>or ASU 2025-05. The amendment provides a practical expedient that allows entities to assume that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as of the balance sheet date do not change for the remaining life of the asset when estimating expected credit losses for current accounts receivable and current contract assets. The Company adopted ASU 2025-05 prospectively effective January 1, 2026. The adoption of ASU 2025-05 did not have a material impact on the Company’s consolidated financial statements and related disclosures.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 — Guidance Not Yet Adopted</w:t>
      </w:r>
    </w:p>
    <w:p>
      <w:pPr>
        <w:spacing w:after="0" w:line="111"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ASU 2024-03 </w:t>
      </w:r>
      <w:r>
        <w:rPr>
          <w:rFonts w:ascii="Times New Roman" w:cs="Times New Roman" w:eastAsia="Times New Roman" w:hAnsi="Times New Roman"/>
          <w:sz w:val="16"/>
          <w:szCs w:val="16"/>
          <w:color w:val="auto"/>
        </w:rPr>
        <w:t>– In November 2024, the FASB issued ASU No. 2024-03,</w:t>
      </w:r>
      <w:r>
        <w:rPr>
          <w:rFonts w:ascii="Times New Roman" w:cs="Times New Roman" w:eastAsia="Times New Roman" w:hAnsi="Times New Roman"/>
          <w:sz w:val="16"/>
          <w:szCs w:val="16"/>
          <w:i w:val="1"/>
          <w:iCs w:val="1"/>
          <w:color w:val="auto"/>
        </w:rPr>
        <w:t xml:space="preserve"> Income Statement—Reporting Comprehensive Income—Expense Disaggregation Disclosures (Subtopic 220-40) – Disaggregation of Income Statement Expenses</w:t>
      </w:r>
      <w:r>
        <w:rPr>
          <w:rFonts w:ascii="Times New Roman" w:cs="Times New Roman" w:eastAsia="Times New Roman" w:hAnsi="Times New Roman"/>
          <w:sz w:val="16"/>
          <w:szCs w:val="16"/>
          <w:color w:val="auto"/>
        </w:rPr>
        <w:t>, or ASU 2024-03. The guidance in ASU 2024-03 requires more detailed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 about specified categories of expenses included in certain captions presented on the face of the income statement. This ASU is effective for annual periods beginning after December 15, 2026, and interim periods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the impact of adopting ASU 2024-03 on its disclosures.</w:t>
      </w:r>
    </w:p>
    <w:p>
      <w:pPr>
        <w:spacing w:after="0" w:line="53"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ASU 2025-06 – </w:t>
      </w:r>
      <w:r>
        <w:rPr>
          <w:rFonts w:ascii="Times New Roman" w:cs="Times New Roman" w:eastAsia="Times New Roman" w:hAnsi="Times New Roman"/>
          <w:sz w:val="16"/>
          <w:szCs w:val="16"/>
          <w:color w:val="auto"/>
        </w:rPr>
        <w:t>In September 2025, the FASB issued ASU No. 2025-06,</w:t>
      </w:r>
      <w:r>
        <w:rPr>
          <w:rFonts w:ascii="Times New Roman" w:cs="Times New Roman" w:eastAsia="Times New Roman" w:hAnsi="Times New Roman"/>
          <w:sz w:val="16"/>
          <w:szCs w:val="16"/>
          <w:i w:val="1"/>
          <w:iCs w:val="1"/>
          <w:color w:val="auto"/>
        </w:rPr>
        <w:t xml:space="preserve"> Intangibles—Goodwill and Other—Internal-Use Software (Subtopic 350-40)— Targeted Improvements to the Accounting for Internal-Use Software</w:t>
      </w:r>
      <w:r>
        <w:rPr>
          <w:rFonts w:ascii="Times New Roman" w:cs="Times New Roman" w:eastAsia="Times New Roman" w:hAnsi="Times New Roman"/>
          <w:sz w:val="16"/>
          <w:szCs w:val="16"/>
          <w:color w:val="auto"/>
        </w:rPr>
        <w:t>, or ASU 2025-06. The update amends guidance on capitalization of internal-use software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development costs by removing the previous “development stage” model and clarifying the criteria that must be met for entities to begin capitalizing software costs. This ASU is effective for annual and interim periods beginning after December 15, 2027, with early adoption permitted. The amendments may be applied either (1) prospectively to financial statements issued for reporting periods after the effective date of this ASU, (2) retrospectively to all prior periods presented in the financial statement, or (3) using a modified transition approach based on whether an existing project can be capitalized under the updated guidance. The Company is currently evaluating the impact of adopting ASU 2025-06 on its consolidated financial statements and related disclosures.</w:t>
      </w:r>
    </w:p>
    <w:p>
      <w:pPr>
        <w:spacing w:after="0" w:line="5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ASU 2025-07 — </w:t>
      </w:r>
      <w:r>
        <w:rPr>
          <w:rFonts w:ascii="Times New Roman" w:cs="Times New Roman" w:eastAsia="Times New Roman" w:hAnsi="Times New Roman"/>
          <w:sz w:val="18"/>
          <w:szCs w:val="18"/>
          <w:color w:val="auto"/>
        </w:rPr>
        <w:t>In September 2025, the FASB issued ASU No. 2025-07,</w:t>
      </w:r>
      <w:r>
        <w:rPr>
          <w:rFonts w:ascii="Times New Roman" w:cs="Times New Roman" w:eastAsia="Times New Roman" w:hAnsi="Times New Roman"/>
          <w:sz w:val="18"/>
          <w:szCs w:val="18"/>
          <w:i w:val="1"/>
          <w:iCs w:val="1"/>
          <w:color w:val="auto"/>
        </w:rPr>
        <w:t xml:space="preserve"> Derivatives and Hedging (Topic 815) and Revenue from Contracts with Customers (Topic 606) — Derivative Scope Refinements and Scope Clarification for Share-Based Noncash Consideration from a Customer in a Revenue Contract, </w:t>
      </w:r>
      <w:r>
        <w:rPr>
          <w:rFonts w:ascii="Times New Roman" w:cs="Times New Roman" w:eastAsia="Times New Roman" w:hAnsi="Times New Roman"/>
          <w:sz w:val="18"/>
          <w:szCs w:val="18"/>
          <w:color w:val="auto"/>
        </w:rPr>
        <w:t>or ASU 2025-07. The update refines the scope of derivative accounting guidance by providing a scope exception for non-exchange traded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payments based on the operations or activities of one of the parties to the contract. The update also clarifies accounting under Topic 606 for share-based noncash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6" w:name="page17"/>
    <w:bookmarkEnd w:id="16"/>
    <w:p>
      <w:pPr>
        <w:spacing w:after="0" w:line="286" w:lineRule="auto"/>
        <w:rPr>
          <w:sz w:val="20"/>
          <w:szCs w:val="20"/>
          <w:color w:val="auto"/>
        </w:rPr>
      </w:pPr>
      <w:r>
        <w:rPr>
          <w:rFonts w:ascii="Times New Roman" w:cs="Times New Roman" w:eastAsia="Times New Roman" w:hAnsi="Times New Roman"/>
          <w:sz w:val="16"/>
          <w:szCs w:val="16"/>
          <w:color w:val="auto"/>
        </w:rPr>
        <w:t>consideration received from a customer. This ASU is effective for annual and interim periods beginning after December 15, 2026, with early adoption permitted. The amendments may be applied either (1) prospectively to financial statements issued for reporting periods after the effective date of this ASU or</w:t>
      </w:r>
    </w:p>
    <w:p>
      <w:pPr>
        <w:ind w:firstLine="5"/>
        <w:spacing w:after="0" w:line="248" w:lineRule="auto"/>
        <w:tabs>
          <w:tab w:leader="none" w:pos="2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modified retrospective basis with a cumulative adjustment-effect adjustment to equity. The Company is currently evaluating the impact of adopting ASU 2025-07 on its consolidated financial statements and related disclosures.</w:t>
      </w:r>
    </w:p>
    <w:p>
      <w:pPr>
        <w:spacing w:after="0" w:line="7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ASU 2025-08 </w:t>
      </w:r>
      <w:r>
        <w:rPr>
          <w:rFonts w:ascii="Times New Roman" w:cs="Times New Roman" w:eastAsia="Times New Roman" w:hAnsi="Times New Roman"/>
          <w:sz w:val="18"/>
          <w:szCs w:val="18"/>
          <w:color w:val="auto"/>
        </w:rPr>
        <w:t>– In November 2025, the FASB issued ASU No. 2025-08,</w:t>
      </w:r>
      <w:r>
        <w:rPr>
          <w:rFonts w:ascii="Times New Roman" w:cs="Times New Roman" w:eastAsia="Times New Roman" w:hAnsi="Times New Roman"/>
          <w:sz w:val="18"/>
          <w:szCs w:val="18"/>
          <w:i w:val="1"/>
          <w:iCs w:val="1"/>
          <w:color w:val="auto"/>
        </w:rPr>
        <w:t xml:space="preserve"> Financial Instruments—Credit Losses </w:t>
      </w:r>
      <w:r>
        <w:rPr>
          <w:rFonts w:ascii="Times New Roman" w:cs="Times New Roman" w:eastAsia="Times New Roman" w:hAnsi="Times New Roman"/>
          <w:sz w:val="18"/>
          <w:szCs w:val="18"/>
          <w:color w:val="auto"/>
        </w:rPr>
        <w:t>(Topic 326) —</w:t>
      </w:r>
      <w:r>
        <w:rPr>
          <w:rFonts w:ascii="Times New Roman" w:cs="Times New Roman" w:eastAsia="Times New Roman" w:hAnsi="Times New Roman"/>
          <w:sz w:val="18"/>
          <w:szCs w:val="18"/>
          <w:i w:val="1"/>
          <w:iCs w:val="1"/>
          <w:color w:val="auto"/>
        </w:rPr>
        <w:t xml:space="preserve"> Purchased Loans</w:t>
      </w:r>
      <w:r>
        <w:rPr>
          <w:rFonts w:ascii="Times New Roman" w:cs="Times New Roman" w:eastAsia="Times New Roman" w:hAnsi="Times New Roman"/>
          <w:sz w:val="18"/>
          <w:szCs w:val="18"/>
          <w:color w:val="auto"/>
        </w:rPr>
        <w:t>, or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2025-08. The update amends the accounting for “purchased seasoned loans” under Topic 326 by requiring estimated expected credit losses to be reflected as an adjustment to the asset’s purchase price at acquisition. The amendments of ASU 2025-08 should be applied prospectively to loans that are acquired on or after adoption date and are effective for annual and interim periods beginning after December 15, 2026, with early adoption permitted. The Company is currently evaluating the impact of adopting ASU 2025-08 on its consolidated financial statements and related disclosures.</w:t>
      </w:r>
    </w:p>
    <w:p>
      <w:pPr>
        <w:spacing w:after="0" w:line="80" w:lineRule="exact"/>
        <w:rPr>
          <w:sz w:val="20"/>
          <w:szCs w:val="20"/>
          <w:color w:val="auto"/>
        </w:rPr>
      </w:pPr>
    </w:p>
    <w:p>
      <w:pPr>
        <w:jc w:val="both"/>
        <w:ind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ASU 2025-09 – </w:t>
      </w:r>
      <w:r>
        <w:rPr>
          <w:rFonts w:ascii="Times New Roman" w:cs="Times New Roman" w:eastAsia="Times New Roman" w:hAnsi="Times New Roman"/>
          <w:sz w:val="16"/>
          <w:szCs w:val="16"/>
          <w:color w:val="auto"/>
        </w:rPr>
        <w:t>In November 2025, the FASB issued ASU No. 2025-09,</w:t>
      </w:r>
      <w:r>
        <w:rPr>
          <w:rFonts w:ascii="Times New Roman" w:cs="Times New Roman" w:eastAsia="Times New Roman" w:hAnsi="Times New Roman"/>
          <w:sz w:val="16"/>
          <w:szCs w:val="16"/>
          <w:i w:val="1"/>
          <w:iCs w:val="1"/>
          <w:color w:val="auto"/>
        </w:rPr>
        <w:t xml:space="preserve"> Derivatives and Hedging (Topic 815) — Hedge Accounting Improvements</w:t>
      </w:r>
      <w:r>
        <w:rPr>
          <w:rFonts w:ascii="Times New Roman" w:cs="Times New Roman" w:eastAsia="Times New Roman" w:hAnsi="Times New Roman"/>
          <w:sz w:val="16"/>
          <w:szCs w:val="16"/>
          <w:color w:val="auto"/>
        </w:rPr>
        <w: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ASU 2025-09. The update more closely aligns hedge accounting with the economics of an entity’s risk management activities. The amendments of ASU 2025-09 should be applied prospectively to all hedging relationships and are effective for annual and interim periods beginning after December 15, 2026, with early adoption permitted. The Company is currently evaluating the impact of adopting ASU 2025-09 on its consolidated financial statements and related disclosures.</w:t>
      </w:r>
    </w:p>
    <w:p>
      <w:pPr>
        <w:spacing w:after="0" w:line="46" w:lineRule="exact"/>
        <w:rPr>
          <w:sz w:val="20"/>
          <w:szCs w:val="20"/>
          <w:color w:val="auto"/>
        </w:rPr>
      </w:pPr>
    </w:p>
    <w:p>
      <w:pPr>
        <w:jc w:val="both"/>
        <w:ind w:firstLine="395"/>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ASU 2025-10 – </w:t>
      </w:r>
      <w:r>
        <w:rPr>
          <w:rFonts w:ascii="Times New Roman" w:cs="Times New Roman" w:eastAsia="Times New Roman" w:hAnsi="Times New Roman"/>
          <w:sz w:val="16"/>
          <w:szCs w:val="16"/>
          <w:color w:val="auto"/>
        </w:rPr>
        <w:t>In December 2025, the FASB issued ASU No. 2025-10,</w:t>
      </w:r>
      <w:r>
        <w:rPr>
          <w:rFonts w:ascii="Times New Roman" w:cs="Times New Roman" w:eastAsia="Times New Roman" w:hAnsi="Times New Roman"/>
          <w:sz w:val="16"/>
          <w:szCs w:val="16"/>
          <w:i w:val="1"/>
          <w:iCs w:val="1"/>
          <w:color w:val="auto"/>
        </w:rPr>
        <w:t xml:space="preserve"> Government Grants (Topic 832) — Accounting for Government Grants Received by Business Entities, </w:t>
      </w:r>
      <w:r>
        <w:rPr>
          <w:rFonts w:ascii="Times New Roman" w:cs="Times New Roman" w:eastAsia="Times New Roman" w:hAnsi="Times New Roman"/>
          <w:sz w:val="16"/>
          <w:szCs w:val="16"/>
          <w:color w:val="auto"/>
        </w:rPr>
        <w:t>or ASU 2025-10. The update provides authoritative guidance on the accounting for government grants received by an entity. This ASU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effective for annual and interim reporting periods beginning after December 15, 2028, with early adoption permitted. The amendments may be applied either</w:t>
      </w:r>
    </w:p>
    <w:p>
      <w:pPr>
        <w:spacing w:after="0" w:line="1" w:lineRule="exact"/>
        <w:rPr>
          <w:sz w:val="20"/>
          <w:szCs w:val="20"/>
          <w:color w:val="auto"/>
        </w:rPr>
      </w:pPr>
    </w:p>
    <w:p>
      <w:pPr>
        <w:jc w:val="both"/>
        <w:ind w:firstLine="5"/>
        <w:spacing w:after="0" w:line="246" w:lineRule="auto"/>
        <w:tabs>
          <w:tab w:leader="none" w:pos="2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modified prospective basis for all grants entered into on, after, or not complete as of the adoption date, (2) modified retrospective basis for all grants entered on, after, or not complete as of the earliest period presented, or (3) retrospectively to all prior periods presented in the financial statements. The Company is currently evaluating the impact of adopting ASU 2025-10 on its consolidated financial statements and related disclosures.</w:t>
      </w:r>
    </w:p>
    <w:p>
      <w:pPr>
        <w:spacing w:after="0" w:line="81"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ASU 2025-11 – </w:t>
      </w:r>
      <w:r>
        <w:rPr>
          <w:rFonts w:ascii="Times New Roman" w:cs="Times New Roman" w:eastAsia="Times New Roman" w:hAnsi="Times New Roman"/>
          <w:sz w:val="16"/>
          <w:szCs w:val="16"/>
          <w:color w:val="auto"/>
        </w:rPr>
        <w:t>In December 2025, the FASB issued ASU No. 2025-11,</w:t>
      </w:r>
      <w:r>
        <w:rPr>
          <w:rFonts w:ascii="Times New Roman" w:cs="Times New Roman" w:eastAsia="Times New Roman" w:hAnsi="Times New Roman"/>
          <w:sz w:val="16"/>
          <w:szCs w:val="16"/>
          <w:i w:val="1"/>
          <w:iCs w:val="1"/>
          <w:color w:val="auto"/>
        </w:rPr>
        <w:t xml:space="preserve"> Interim Reporting (Topic 270) — Narrow-Scope Improvements, </w:t>
      </w:r>
      <w:r>
        <w:rPr>
          <w:rFonts w:ascii="Times New Roman" w:cs="Times New Roman" w:eastAsia="Times New Roman" w:hAnsi="Times New Roman"/>
          <w:sz w:val="16"/>
          <w:szCs w:val="16"/>
          <w:color w:val="auto"/>
        </w:rPr>
        <w:t>or ASU 2025-11.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This ASU clarifies interim reporting by aggregating interim disclosures required throughout the various Codification topics into Topic 270 and requiring entities to produce interim disclosures when a material event or change has occurred since the prior year-end. This ASU is effective for interim periods beginning after December 15, 2027, with early adoption permitted. The amendments in this ASU may be applied either (1) prospectively or (2) retrospectively to any or all prior periods presented in the financial statements. The Company is currently evaluating the impact of adopting ASU 2025-11 on its disclosures.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w:t>
      </w:r>
      <w:r>
        <w:rPr>
          <w:rFonts w:ascii="Times New Roman" w:cs="Times New Roman" w:eastAsia="Times New Roman" w:hAnsi="Times New Roman"/>
          <w:sz w:val="18"/>
          <w:szCs w:val="18"/>
          <w:b w:val="1"/>
          <w:bCs w:val="1"/>
          <w:i w:val="1"/>
          <w:iCs w:val="1"/>
          <w:color w:val="auto"/>
        </w:rPr>
        <w:t>Revenue Recognition</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As of March 31, 2026, estimated future fixed fee performance obligations are $2.0 billion for the remaining nine months of fiscal year 2026, and $2.6 billion, $1.8 billion, $1.1 billion, $744 million and $8 million for the fiscal years 2027, 2028, 2029, 2030 and 2031, respectively. These performance obligations include Vivint Smart Home products and services, as well as cleared auction MWs in the PJM, ISO-NE, NYISO and MISO capacity auctions and demand response. The cleared auction MWs are subject to penalties for non-performance. The increase in future fixed fee performance obligations as of March 31, 2026, compared to the same period in 2025 is primarily due to the acquisition of the LSP Portfolio.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Revenues</w:t>
      </w:r>
    </w:p>
    <w:p>
      <w:pPr>
        <w:spacing w:after="0" w:line="113" w:lineRule="exact"/>
        <w:rPr>
          <w:sz w:val="20"/>
          <w:szCs w:val="20"/>
          <w:color w:val="auto"/>
        </w:rPr>
      </w:pPr>
    </w:p>
    <w:p>
      <w:pPr>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for the three months ended March 31, 2026 and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1"/>
                <w:szCs w:val="11"/>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Texas</w:t>
            </w:r>
            <w:r>
              <w:rPr>
                <w:rFonts w:ascii="Times New Roman" w:cs="Times New Roman" w:eastAsia="Times New Roman" w:hAnsi="Times New Roman"/>
                <w:sz w:val="18"/>
                <w:szCs w:val="18"/>
                <w:b w:val="1"/>
                <w:bCs w:val="1"/>
                <w:color w:val="auto"/>
                <w:vertAlign w:val="superscript"/>
              </w:rPr>
              <w:t>(a)</w:t>
            </w:r>
          </w:p>
        </w:tc>
        <w:tc>
          <w:tcPr>
            <w:tcW w:w="22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East</w:t>
            </w:r>
            <w:r>
              <w:rPr>
                <w:rFonts w:ascii="Times New Roman" w:cs="Times New Roman" w:eastAsia="Times New Roman" w:hAnsi="Times New Roman"/>
                <w:sz w:val="18"/>
                <w:szCs w:val="18"/>
                <w:b w:val="1"/>
                <w:bCs w:val="1"/>
                <w:color w:val="auto"/>
                <w:vertAlign w:val="superscript"/>
              </w:rPr>
              <w:t>(a)</w:t>
            </w:r>
          </w:p>
        </w:tc>
        <w:tc>
          <w:tcPr>
            <w:tcW w:w="16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7"/>
              </w:rPr>
              <w:t>Vivint Smart</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240" w:type="dxa"/>
            <w:vAlign w:val="bottom"/>
          </w:tcPr>
          <w:p>
            <w:pPr>
              <w:spacing w:after="0"/>
              <w:rPr>
                <w:sz w:val="11"/>
                <w:szCs w:val="11"/>
                <w:color w:val="auto"/>
              </w:rPr>
            </w:pPr>
          </w:p>
        </w:tc>
        <w:tc>
          <w:tcPr>
            <w:tcW w:w="80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5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9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Retail revenue:</w:t>
            </w: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Home</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w:t>
            </w: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Business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6,368</w:t>
            </w:r>
          </w:p>
        </w:tc>
        <w:tc>
          <w:tcPr>
            <w:tcW w:w="0" w:type="dxa"/>
            <w:vAlign w:val="bottom"/>
          </w:tcPr>
          <w:p>
            <w:pPr>
              <w:spacing w:after="0"/>
              <w:rPr>
                <w:sz w:val="1"/>
                <w:szCs w:val="1"/>
                <w:color w:val="auto"/>
              </w:rPr>
            </w:pPr>
          </w:p>
        </w:tc>
      </w:tr>
      <w:tr>
        <w:trPr>
          <w:trHeight w:val="204"/>
        </w:trPr>
        <w:tc>
          <w:tcPr>
            <w:tcW w:w="3920" w:type="dxa"/>
            <w:vAlign w:val="bottom"/>
          </w:tcPr>
          <w:p>
            <w:pPr>
              <w:ind w:left="540"/>
              <w:spacing w:after="0" w:line="204" w:lineRule="exact"/>
              <w:rPr>
                <w:sz w:val="20"/>
                <w:szCs w:val="20"/>
                <w:color w:val="auto"/>
              </w:rPr>
            </w:pPr>
            <w:r>
              <w:rPr>
                <w:rFonts w:ascii="Times New Roman" w:cs="Times New Roman" w:eastAsia="Times New Roman" w:hAnsi="Times New Roman"/>
                <w:sz w:val="16"/>
                <w:szCs w:val="16"/>
                <w:color w:val="auto"/>
              </w:rPr>
              <w:t>Total retail revenue</w:t>
            </w:r>
            <w:r>
              <w:rPr>
                <w:rFonts w:ascii="Times New Roman" w:cs="Times New Roman" w:eastAsia="Times New Roman" w:hAnsi="Times New Roman"/>
                <w:sz w:val="20"/>
                <w:szCs w:val="20"/>
                <w:color w:val="auto"/>
                <w:vertAlign w:val="superscript"/>
              </w:rPr>
              <w:t>(b)</w:t>
            </w: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5,737</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0" w:type="dxa"/>
            <w:vAlign w:val="bottom"/>
          </w:tcPr>
          <w:p>
            <w:pPr>
              <w:spacing w:after="0"/>
              <w:rPr>
                <w:sz w:val="1"/>
                <w:szCs w:val="1"/>
                <w:color w:val="auto"/>
              </w:rPr>
            </w:pPr>
          </w:p>
        </w:tc>
      </w:tr>
      <w:tr>
        <w:trPr>
          <w:trHeight w:val="211"/>
        </w:trPr>
        <w:tc>
          <w:tcPr>
            <w:tcW w:w="392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Energy revenue</w:t>
            </w:r>
            <w:r>
              <w:rPr>
                <w:rFonts w:ascii="Times New Roman" w:cs="Times New Roman" w:eastAsia="Times New Roman" w:hAnsi="Times New Roman"/>
                <w:sz w:val="20"/>
                <w:szCs w:val="20"/>
                <w:color w:val="auto"/>
                <w:vertAlign w:val="superscript"/>
              </w:rPr>
              <w:t>(b)</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11"/>
        </w:trPr>
        <w:tc>
          <w:tcPr>
            <w:tcW w:w="392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Capacity revenue</w:t>
            </w:r>
            <w:r>
              <w:rPr>
                <w:rFonts w:ascii="Times New Roman" w:cs="Times New Roman" w:eastAsia="Times New Roman" w:hAnsi="Times New Roman"/>
                <w:sz w:val="20"/>
                <w:szCs w:val="20"/>
                <w:color w:val="auto"/>
                <w:vertAlign w:val="superscript"/>
              </w:rPr>
              <w:t>(b)</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1"/>
        </w:trPr>
        <w:tc>
          <w:tcPr>
            <w:tcW w:w="392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Mark-to-market for economic hedging activities</w:t>
            </w:r>
            <w:r>
              <w:rPr>
                <w:rFonts w:ascii="Times New Roman" w:cs="Times New Roman" w:eastAsia="Times New Roman" w:hAnsi="Times New Roman"/>
                <w:sz w:val="20"/>
                <w:szCs w:val="20"/>
                <w:color w:val="auto"/>
                <w:vertAlign w:val="superscript"/>
              </w:rPr>
              <w:t>(c)</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9"/>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amortization</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Other revenue</w:t>
            </w:r>
            <w:r>
              <w:rPr>
                <w:rFonts w:ascii="Times New Roman" w:cs="Times New Roman" w:eastAsia="Times New Roman" w:hAnsi="Times New Roman"/>
                <w:sz w:val="20"/>
                <w:szCs w:val="20"/>
                <w:color w:val="auto"/>
                <w:vertAlign w:val="superscript"/>
              </w:rPr>
              <w:t>(b)</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2"/>
        </w:trPr>
        <w:tc>
          <w:tcPr>
            <w:tcW w:w="3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6,432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10,256</w:t>
            </w:r>
          </w:p>
        </w:tc>
        <w:tc>
          <w:tcPr>
            <w:tcW w:w="0" w:type="dxa"/>
            <w:vAlign w:val="bottom"/>
          </w:tcPr>
          <w:p>
            <w:pPr>
              <w:spacing w:after="0"/>
              <w:rPr>
                <w:sz w:val="1"/>
                <w:szCs w:val="1"/>
                <w:color w:val="auto"/>
              </w:rPr>
            </w:pPr>
          </w:p>
        </w:tc>
      </w:tr>
      <w:tr>
        <w:trPr>
          <w:trHeight w:val="140"/>
        </w:trPr>
        <w:tc>
          <w:tcPr>
            <w:tcW w:w="3920" w:type="dxa"/>
            <w:vAlign w:val="bottom"/>
            <w:shd w:val="clear" w:color="auto" w:fill="CCEEFF"/>
          </w:tcPr>
          <w:p>
            <w:pPr>
              <w:ind w:left="140"/>
              <w:spacing w:after="0" w:line="140" w:lineRule="exact"/>
              <w:rPr>
                <w:sz w:val="20"/>
                <w:szCs w:val="20"/>
                <w:color w:val="auto"/>
              </w:rPr>
            </w:pPr>
            <w:r>
              <w:rPr>
                <w:rFonts w:ascii="Times New Roman" w:cs="Times New Roman" w:eastAsia="Times New Roman" w:hAnsi="Times New Roman"/>
                <w:sz w:val="16"/>
                <w:szCs w:val="16"/>
                <w:color w:val="auto"/>
                <w:w w:val="99"/>
              </w:rPr>
              <w:t>Less: Revenues accounted for under topics other than ASC</w:t>
            </w: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1"/>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606 and ASC 815</w:t>
            </w: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Realized and unrealized ASC 815 revenue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6"/>
        </w:trPr>
        <w:tc>
          <w:tcPr>
            <w:tcW w:w="39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6,357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10,136</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200" w:hanging="177"/>
        <w:spacing w:after="0"/>
        <w:tabs>
          <w:tab w:leader="none" w:pos="2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results of operations following the acquisition date of the LSP Portfolio of January 30, 2026</w:t>
      </w:r>
    </w:p>
    <w:p>
      <w:pPr>
        <w:spacing w:after="0" w:line="61" w:lineRule="exact"/>
        <w:rPr>
          <w:rFonts w:ascii="Times New Roman" w:cs="Times New Roman" w:eastAsia="Times New Roman" w:hAnsi="Times New Roman"/>
          <w:sz w:val="13"/>
          <w:szCs w:val="13"/>
          <w:color w:val="auto"/>
        </w:rPr>
      </w:pPr>
    </w:p>
    <w:p>
      <w:pPr>
        <w:ind w:left="200" w:hanging="177"/>
        <w:spacing w:after="0"/>
        <w:tabs>
          <w:tab w:leader="none" w:pos="2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table represents the realized revenues related to derivative instruments that are accounted for under ASC 815 and included in the amounts above: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1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60" w:type="dxa"/>
            <w:vAlign w:val="bottom"/>
          </w:tcPr>
          <w:p>
            <w:pPr>
              <w:spacing w:after="0"/>
              <w:rPr>
                <w:sz w:val="13"/>
                <w:szCs w:val="13"/>
                <w:color w:val="auto"/>
              </w:rPr>
            </w:pP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Vivint Smart</w:t>
            </w:r>
          </w:p>
        </w:tc>
        <w:tc>
          <w:tcPr>
            <w:tcW w:w="1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800" w:type="dxa"/>
            <w:vAlign w:val="bottom"/>
            <w:vMerge w:val="restart"/>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800" w:type="dxa"/>
            <w:vAlign w:val="bottom"/>
            <w:gridSpan w:val="4"/>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Retail revenue</w:t>
            </w: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9"/>
        </w:trPr>
        <w:tc>
          <w:tcPr>
            <w:tcW w:w="3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Energy revenue</w:t>
            </w:r>
          </w:p>
        </w:tc>
        <w:tc>
          <w:tcPr>
            <w:tcW w:w="220" w:type="dxa"/>
            <w:vAlign w:val="bottom"/>
          </w:tcPr>
          <w:p>
            <w:pPr>
              <w:spacing w:after="0"/>
              <w:rPr>
                <w:sz w:val="18"/>
                <w:szCs w:val="18"/>
                <w:color w:val="auto"/>
              </w:rPr>
            </w:pPr>
          </w:p>
        </w:tc>
        <w:tc>
          <w:tcPr>
            <w:tcW w:w="114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114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Capacity revenue</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7"/>
        </w:trPr>
        <w:tc>
          <w:tcPr>
            <w:tcW w:w="3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revenue</w:t>
            </w:r>
          </w:p>
        </w:tc>
        <w:tc>
          <w:tcPr>
            <w:tcW w:w="220" w:type="dxa"/>
            <w:vAlign w:val="bottom"/>
          </w:tcPr>
          <w:p>
            <w:pPr>
              <w:spacing w:after="0"/>
              <w:rPr>
                <w:sz w:val="17"/>
                <w:szCs w:val="17"/>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96"/>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114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 Revenue relates entirely to unrealized gains and losses on derivative instruments accounted for under ASC 815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40" w:type="dxa"/>
            <w:vAlign w:val="bottom"/>
          </w:tcPr>
          <w:p>
            <w:pPr>
              <w:spacing w:after="0"/>
              <w:rPr>
                <w:sz w:val="11"/>
                <w:szCs w:val="11"/>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8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Vivint Smart</w:t>
            </w: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220" w:type="dxa"/>
            <w:vAlign w:val="bottom"/>
          </w:tcPr>
          <w:p>
            <w:pPr>
              <w:spacing w:after="0"/>
              <w:rPr>
                <w:sz w:val="11"/>
                <w:szCs w:val="11"/>
                <w:color w:val="auto"/>
              </w:rPr>
            </w:pPr>
          </w:p>
        </w:tc>
        <w:tc>
          <w:tcPr>
            <w:tcW w:w="80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5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Retail revenue:</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Home</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w:t>
            </w:r>
          </w:p>
        </w:tc>
        <w:tc>
          <w:tcPr>
            <w:tcW w:w="0" w:type="dxa"/>
            <w:vAlign w:val="bottom"/>
          </w:tcPr>
          <w:p>
            <w:pPr>
              <w:spacing w:after="0"/>
              <w:rPr>
                <w:sz w:val="1"/>
                <w:szCs w:val="1"/>
                <w:color w:val="auto"/>
              </w:rPr>
            </w:pPr>
          </w:p>
        </w:tc>
      </w:tr>
      <w:tr>
        <w:trPr>
          <w:trHeight w:val="212"/>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Business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0" w:type="dxa"/>
            <w:vAlign w:val="bottom"/>
          </w:tcPr>
          <w:p>
            <w:pPr>
              <w:spacing w:after="0"/>
              <w:rPr>
                <w:sz w:val="1"/>
                <w:szCs w:val="1"/>
                <w:color w:val="auto"/>
              </w:rPr>
            </w:pPr>
          </w:p>
        </w:tc>
      </w:tr>
      <w:tr>
        <w:trPr>
          <w:trHeight w:val="204"/>
        </w:trPr>
        <w:tc>
          <w:tcPr>
            <w:tcW w:w="3940" w:type="dxa"/>
            <w:vAlign w:val="bottom"/>
          </w:tcPr>
          <w:p>
            <w:pPr>
              <w:ind w:left="540"/>
              <w:spacing w:after="0" w:line="204" w:lineRule="exact"/>
              <w:rPr>
                <w:sz w:val="20"/>
                <w:szCs w:val="20"/>
                <w:color w:val="auto"/>
              </w:rPr>
            </w:pPr>
            <w:r>
              <w:rPr>
                <w:rFonts w:ascii="Times New Roman" w:cs="Times New Roman" w:eastAsia="Times New Roman" w:hAnsi="Times New Roman"/>
                <w:sz w:val="16"/>
                <w:szCs w:val="16"/>
                <w:color w:val="auto"/>
              </w:rPr>
              <w:t>Total retail revenue</w:t>
            </w:r>
            <w:r>
              <w:rPr>
                <w:rFonts w:ascii="Times New Roman" w:cs="Times New Roman" w:eastAsia="Times New Roman" w:hAnsi="Times New Roman"/>
                <w:sz w:val="20"/>
                <w:szCs w:val="20"/>
                <w:color w:val="auto"/>
                <w:vertAlign w:val="superscript"/>
              </w:rPr>
              <w:t>(a)</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8,216</w:t>
            </w:r>
          </w:p>
        </w:tc>
        <w:tc>
          <w:tcPr>
            <w:tcW w:w="0" w:type="dxa"/>
            <w:vAlign w:val="bottom"/>
          </w:tcPr>
          <w:p>
            <w:pPr>
              <w:spacing w:after="0"/>
              <w:rPr>
                <w:sz w:val="1"/>
                <w:szCs w:val="1"/>
                <w:color w:val="auto"/>
              </w:rPr>
            </w:pPr>
          </w:p>
        </w:tc>
      </w:tr>
      <w:tr>
        <w:trPr>
          <w:trHeight w:val="211"/>
        </w:trPr>
        <w:tc>
          <w:tcPr>
            <w:tcW w:w="394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Energy revenue</w:t>
            </w:r>
            <w:r>
              <w:rPr>
                <w:rFonts w:ascii="Times New Roman" w:cs="Times New Roman" w:eastAsia="Times New Roman" w:hAnsi="Times New Roman"/>
                <w:sz w:val="20"/>
                <w:szCs w:val="20"/>
                <w:color w:val="auto"/>
                <w:vertAlign w:val="superscript"/>
              </w:rPr>
              <w:t>(a)</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11"/>
        </w:trPr>
        <w:tc>
          <w:tcPr>
            <w:tcW w:w="39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Capacity revenue</w:t>
            </w:r>
            <w:r>
              <w:rPr>
                <w:rFonts w:ascii="Times New Roman" w:cs="Times New Roman" w:eastAsia="Times New Roman" w:hAnsi="Times New Roman"/>
                <w:sz w:val="20"/>
                <w:szCs w:val="20"/>
                <w:color w:val="auto"/>
                <w:vertAlign w:val="superscript"/>
              </w:rPr>
              <w:t>(a)</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1"/>
        </w:trPr>
        <w:tc>
          <w:tcPr>
            <w:tcW w:w="394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Mark-to-market for economic hedging activities</w:t>
            </w:r>
            <w:r>
              <w:rPr>
                <w:rFonts w:ascii="Times New Roman" w:cs="Times New Roman" w:eastAsia="Times New Roman" w:hAnsi="Times New Roman"/>
                <w:sz w:val="20"/>
                <w:szCs w:val="20"/>
                <w:color w:val="auto"/>
                <w:vertAlign w:val="superscript"/>
              </w:rPr>
              <w:t>(b)</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9"/>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amortization</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394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Other revenue</w:t>
            </w:r>
            <w:r>
              <w:rPr>
                <w:rFonts w:ascii="Times New Roman" w:cs="Times New Roman" w:eastAsia="Times New Roman" w:hAnsi="Times New Roman"/>
                <w:sz w:val="20"/>
                <w:szCs w:val="20"/>
                <w:color w:val="auto"/>
                <w:vertAlign w:val="superscript"/>
              </w:rPr>
              <w:t>(a)</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2"/>
        </w:trPr>
        <w:tc>
          <w:tcPr>
            <w:tcW w:w="3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8,585</w:t>
            </w:r>
          </w:p>
        </w:tc>
        <w:tc>
          <w:tcPr>
            <w:tcW w:w="0" w:type="dxa"/>
            <w:vAlign w:val="bottom"/>
          </w:tcPr>
          <w:p>
            <w:pPr>
              <w:spacing w:after="0"/>
              <w:rPr>
                <w:sz w:val="1"/>
                <w:szCs w:val="1"/>
                <w:color w:val="auto"/>
              </w:rPr>
            </w:pPr>
          </w:p>
        </w:tc>
      </w:tr>
      <w:tr>
        <w:trPr>
          <w:trHeight w:val="140"/>
        </w:trPr>
        <w:tc>
          <w:tcPr>
            <w:tcW w:w="3940" w:type="dxa"/>
            <w:vAlign w:val="bottom"/>
            <w:shd w:val="clear" w:color="auto" w:fill="CCEEFF"/>
          </w:tcPr>
          <w:p>
            <w:pPr>
              <w:ind w:left="140"/>
              <w:spacing w:after="0" w:line="140" w:lineRule="exact"/>
              <w:rPr>
                <w:sz w:val="20"/>
                <w:szCs w:val="20"/>
                <w:color w:val="auto"/>
              </w:rPr>
            </w:pPr>
            <w:r>
              <w:rPr>
                <w:rFonts w:ascii="Times New Roman" w:cs="Times New Roman" w:eastAsia="Times New Roman" w:hAnsi="Times New Roman"/>
                <w:sz w:val="16"/>
                <w:szCs w:val="16"/>
                <w:color w:val="auto"/>
              </w:rPr>
              <w:t>Less: Revenues accounted for under topics other than ASC</w:t>
            </w:r>
          </w:p>
        </w:tc>
        <w:tc>
          <w:tcPr>
            <w:tcW w:w="2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1"/>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606 and ASC 815</w:t>
            </w:r>
          </w:p>
        </w:tc>
        <w:tc>
          <w:tcPr>
            <w:tcW w:w="2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Realized and unrealized ASC 815 revenue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6"/>
        </w:trPr>
        <w:tc>
          <w:tcPr>
            <w:tcW w:w="39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8,489</w:t>
            </w:r>
          </w:p>
        </w:tc>
        <w:tc>
          <w:tcPr>
            <w:tcW w:w="0" w:type="dxa"/>
            <w:vAlign w:val="bottom"/>
          </w:tcPr>
          <w:p>
            <w:pPr>
              <w:spacing w:after="0"/>
              <w:rPr>
                <w:sz w:val="1"/>
                <w:szCs w:val="1"/>
                <w:color w:val="auto"/>
              </w:rPr>
            </w:pPr>
          </w:p>
        </w:tc>
      </w:tr>
      <w:tr>
        <w:trPr>
          <w:trHeight w:val="185"/>
        </w:trPr>
        <w:tc>
          <w:tcPr>
            <w:tcW w:w="866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auto"/>
              </w:rPr>
              <w:t>(a) The following table represents the realized revenues related to derivative instruments that are accounted for under ASC 815 and included in the amounts above:</w:t>
            </w: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40" w:type="dxa"/>
            <w:vAlign w:val="bottom"/>
          </w:tcPr>
          <w:p>
            <w:pPr>
              <w:spacing w:after="0"/>
              <w:rPr>
                <w:sz w:val="13"/>
                <w:szCs w:val="13"/>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8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Vivint Smart</w:t>
            </w: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220" w:type="dxa"/>
            <w:vAlign w:val="bottom"/>
          </w:tcPr>
          <w:p>
            <w:pPr>
              <w:spacing w:after="0"/>
              <w:rPr>
                <w:sz w:val="13"/>
                <w:szCs w:val="13"/>
                <w:color w:val="auto"/>
              </w:rPr>
            </w:pPr>
          </w:p>
        </w:tc>
        <w:tc>
          <w:tcPr>
            <w:tcW w:w="80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5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Retail revenue</w:t>
            </w: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9"/>
        </w:trPr>
        <w:tc>
          <w:tcPr>
            <w:tcW w:w="3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Energy revenue</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Capacity revenue</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7"/>
        </w:trPr>
        <w:tc>
          <w:tcPr>
            <w:tcW w:w="3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revenue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 Revenue relates entirely to unrealized gains and losses on derivative instruments accounted for under ASC 815</w:t>
      </w:r>
    </w:p>
    <w:p>
      <w:pPr>
        <w:spacing w:after="0" w:line="200" w:lineRule="exact"/>
        <w:rPr>
          <w:sz w:val="20"/>
          <w:szCs w:val="20"/>
          <w:color w:val="auto"/>
        </w:rPr>
      </w:pP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reflects the contract assets and liabilities included in the Company’s balance sheet as of March 31, 2026 and 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Capitalized contract costs (included in Prepayments and other current assets and Other non-current assets)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11"/>
        </w:trPr>
        <w:tc>
          <w:tcPr>
            <w:tcW w:w="7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 Contracts with customers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 Accounted for under topics other than ASC 606</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 Affiliate</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7"/>
        </w:trPr>
        <w:tc>
          <w:tcPr>
            <w:tcW w:w="7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revenues (included within Accounts receivable, net - Contracts with customers)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24"/>
        </w:trPr>
        <w:tc>
          <w:tcPr>
            <w:tcW w:w="76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Deferred revenues</w:t>
            </w:r>
            <w:r>
              <w:rPr>
                <w:rFonts w:ascii="Times New Roman" w:cs="Times New Roman" w:eastAsia="Times New Roman" w:hAnsi="Times New Roman"/>
                <w:sz w:val="22"/>
                <w:szCs w:val="22"/>
                <w:color w:val="auto"/>
                <w:vertAlign w:val="superscript"/>
              </w:rPr>
              <w:t>(a)</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r>
    </w:tbl>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(a) Deferred revenues recognized under accounting guidance other than ASC 606 was immaterial as of both March 31, 2026 and December 31, 2025</w:t>
      </w:r>
    </w:p>
    <w:p>
      <w:pPr>
        <w:spacing w:after="0" w:line="1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revenue recognized from contracts with customers during the three months ended March 31, 2026 and 2025 relating to the deferred revenue balance at the beginning of each period was $344 million and $270 million, respectively, which increased primarily due to the timing difference of when consideration was received and when the performance obligation was transferred.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Note 4 — </w:t>
      </w:r>
      <w:r>
        <w:rPr>
          <w:rFonts w:ascii="Times New Roman" w:cs="Times New Roman" w:eastAsia="Times New Roman" w:hAnsi="Times New Roman"/>
          <w:sz w:val="18"/>
          <w:szCs w:val="18"/>
          <w:b w:val="1"/>
          <w:bCs w:val="1"/>
          <w:i w:val="1"/>
          <w:iCs w:val="1"/>
          <w:color w:val="auto"/>
        </w:rPr>
        <w:t>Acquisitions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2026 Acquisition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 of LSP Portfolio</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January 30, 2026, NRG completed the acquisition of the LSP Portfolio from LS Power, pursuant to the Purchase Agreement dated as of May 12, 2025. The acquisition doubles NRG’s generation capacity with the addition of 18 natural gas-fired and dual fuel facilities totaling approximately 13 GW. These facilities, located across nine states, expand NRG’s generation footprint in the Northeast and Texas, where most of its load is located. In addition, NRG acquired CPower, a leading demand response platform, which operates in all the country’s deregulated energy markets and has more than 2,000 commercial and industrial customers.</w:t>
      </w:r>
    </w:p>
    <w:p>
      <w:pPr>
        <w:spacing w:after="0" w:line="8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consideration consisted of 24.25 million shares of NRG common stock and $6.4 billion in cash, plus preliminary working capital and certain other adjustments of $483 million. The Company funded the cash consideration using a portion of the net proceeds from the 5.750% 2034 Senior Notes, the 2036 Senior Notes, Senior Secured First Lien Notes, due 2030 and the Senior Secured First Lien Notes, due 2035 of $4.4 billion and proceeds of $2.5 billion from the Company’s Revolving Credit Facility.</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total preliminary consideration of $10.583 billion was calculated as follows:</w:t>
      </w:r>
    </w:p>
    <w:p>
      <w:pPr>
        <w:spacing w:after="0" w:line="37"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50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p>
      <w:pPr>
        <w:spacing w:after="0" w:line="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Cash consideration (inclusive of preliminary working capital and certain other adjustments of $483 million)</w:t>
      </w:r>
    </w:p>
    <w:p>
      <w:pPr>
        <w:spacing w:after="0" w:line="21" w:lineRule="exact"/>
        <w:rPr>
          <w:sz w:val="20"/>
          <w:szCs w:val="20"/>
          <w:color w:val="auto"/>
        </w:rPr>
      </w:pPr>
    </w:p>
    <w:p>
      <w:pPr>
        <w:ind w:left="240"/>
        <w:spacing w:after="0" w:line="228" w:lineRule="auto"/>
        <w:rPr>
          <w:sz w:val="20"/>
          <w:szCs w:val="20"/>
          <w:color w:val="auto"/>
        </w:rPr>
      </w:pPr>
      <w:r>
        <w:rPr>
          <w:rFonts w:ascii="Times New Roman" w:cs="Times New Roman" w:eastAsia="Times New Roman" w:hAnsi="Times New Roman"/>
          <w:sz w:val="18"/>
          <w:szCs w:val="18"/>
          <w:color w:val="auto"/>
        </w:rPr>
        <w:t>Stock consideration: 24,250,000 common shares of NRG, par value $0.01 per share, based on NRG closing share price of $153.72 on January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35495" cy="167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Total Preliminary Consideration</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1165" w:hanging="1165"/>
        <w:spacing w:after="0"/>
        <w:tabs>
          <w:tab w:leader="none" w:pos="116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6,855</w:t>
      </w:r>
    </w:p>
    <w:p>
      <w:pPr>
        <w:spacing w:after="0" w:line="22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3,728</w:t>
      </w:r>
    </w:p>
    <w:p>
      <w:pPr>
        <w:spacing w:after="0" w:line="30" w:lineRule="exact"/>
        <w:rPr>
          <w:sz w:val="20"/>
          <w:szCs w:val="20"/>
          <w:color w:val="auto"/>
        </w:rPr>
      </w:pPr>
    </w:p>
    <w:p>
      <w:pPr>
        <w:ind w:left="1085" w:hanging="1085"/>
        <w:spacing w:after="0"/>
        <w:tabs>
          <w:tab w:leader="none" w:pos="108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10445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9380" w:space="235"/>
            <w:col w:w="1625"/>
          </w:cols>
          <w:pgMar w:left="320" w:top="867" w:right="339" w:bottom="1440" w:gutter="0" w:footer="0" w:header="0"/>
          <w:type w:val="continuous"/>
        </w:sectPr>
      </w:pPr>
    </w:p>
    <w:p>
      <w:pPr>
        <w:spacing w:after="0" w:line="2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Acquisition costs of $38 million for the three months ended March 31, 2026 are included in acquisition-related transaction and integration costs in the Company’s consolidated statement of operations.</w:t>
      </w:r>
    </w:p>
    <w:p>
      <w:pPr>
        <w:spacing w:after="0" w:line="6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acquisition has been recorded as a business combination under ASC 805 with identifiable assets acquired and liabilities assumed provisionally recorded at their estimated fair values on the acquisition date. The initial accounting for the business combination is not complete because the evaluation necessary to assess the fair value of certain net assets acquired is still in process. The provisional amounts are subject to revision until the evaluations are completed to the extent that additional information is obtained about the facts and circumstances that existed as of the acquisition closing date.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type w:val="continuous"/>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color w:val="auto"/>
        </w:rPr>
        <w:t>The purchase price is provisionally allocated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9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4"/>
        </w:trPr>
        <w:tc>
          <w:tcPr>
            <w:tcW w:w="96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4"/>
        </w:trPr>
        <w:tc>
          <w:tcPr>
            <w:tcW w:w="9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4"/>
        </w:trPr>
        <w:tc>
          <w:tcPr>
            <w:tcW w:w="9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9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4"/>
        </w:trPr>
        <w:tc>
          <w:tcPr>
            <w:tcW w:w="9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4"/>
        </w:trPr>
        <w:tc>
          <w:tcPr>
            <w:tcW w:w="9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24"/>
        </w:trPr>
        <w:tc>
          <w:tcPr>
            <w:tcW w:w="9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collateral paid in support of energy risk management activities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4"/>
        </w:trPr>
        <w:tc>
          <w:tcPr>
            <w:tcW w:w="9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7"/>
        </w:trPr>
        <w:tc>
          <w:tcPr>
            <w:tcW w:w="9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17"/>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9,684</w:t>
            </w:r>
          </w:p>
        </w:tc>
      </w:tr>
      <w:tr>
        <w:trPr>
          <w:trHeight w:val="204"/>
        </w:trPr>
        <w:tc>
          <w:tcPr>
            <w:tcW w:w="96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Assets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4"/>
        </w:trPr>
        <w:tc>
          <w:tcPr>
            <w:tcW w:w="9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4"/>
        </w:trPr>
        <w:tc>
          <w:tcPr>
            <w:tcW w:w="9600" w:type="dxa"/>
            <w:vAlign w:val="bottom"/>
            <w:shd w:val="clear" w:color="auto" w:fill="CCEEFF"/>
          </w:tcPr>
          <w:p>
            <w:pPr>
              <w:ind w:left="180"/>
              <w:spacing w:after="0" w:line="224"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2"/>
                <w:szCs w:val="22"/>
                <w:color w:val="auto"/>
                <w:vertAlign w:val="superscript"/>
              </w:rPr>
              <w:t>(a)(b)</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24"/>
        </w:trPr>
        <w:tc>
          <w:tcPr>
            <w:tcW w:w="9600" w:type="dxa"/>
            <w:vAlign w:val="bottom"/>
          </w:tcPr>
          <w:p>
            <w:pPr>
              <w:ind w:left="180"/>
              <w:spacing w:after="0" w:line="224" w:lineRule="exact"/>
              <w:rPr>
                <w:sz w:val="20"/>
                <w:szCs w:val="20"/>
                <w:color w:val="auto"/>
              </w:rPr>
            </w:pPr>
            <w:r>
              <w:rPr>
                <w:rFonts w:ascii="Times New Roman" w:cs="Times New Roman" w:eastAsia="Times New Roman" w:hAnsi="Times New Roman"/>
                <w:sz w:val="18"/>
                <w:szCs w:val="18"/>
                <w:color w:val="auto"/>
              </w:rPr>
              <w:t>Customer relationships, net</w:t>
            </w:r>
            <w:r>
              <w:rPr>
                <w:rFonts w:ascii="Times New Roman" w:cs="Times New Roman" w:eastAsia="Times New Roman" w:hAnsi="Times New Roman"/>
                <w:sz w:val="22"/>
                <w:szCs w:val="22"/>
                <w:color w:val="auto"/>
                <w:vertAlign w:val="superscript"/>
              </w:rPr>
              <w:t>(b)</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4"/>
        </w:trPr>
        <w:tc>
          <w:tcPr>
            <w:tcW w:w="9600" w:type="dxa"/>
            <w:vAlign w:val="bottom"/>
            <w:shd w:val="clear" w:color="auto" w:fill="CCEEFF"/>
          </w:tcPr>
          <w:p>
            <w:pPr>
              <w:ind w:left="180"/>
              <w:spacing w:after="0" w:line="224" w:lineRule="exact"/>
              <w:rPr>
                <w:sz w:val="20"/>
                <w:szCs w:val="20"/>
                <w:color w:val="auto"/>
              </w:rPr>
            </w:pPr>
            <w:r>
              <w:rPr>
                <w:rFonts w:ascii="Times New Roman" w:cs="Times New Roman" w:eastAsia="Times New Roman" w:hAnsi="Times New Roman"/>
                <w:sz w:val="18"/>
                <w:szCs w:val="18"/>
                <w:color w:val="auto"/>
              </w:rPr>
              <w:t>Other intangible assets, net</w:t>
            </w:r>
            <w:r>
              <w:rPr>
                <w:rFonts w:ascii="Times New Roman" w:cs="Times New Roman" w:eastAsia="Times New Roman" w:hAnsi="Times New Roman"/>
                <w:sz w:val="22"/>
                <w:szCs w:val="22"/>
                <w:color w:val="auto"/>
                <w:vertAlign w:val="superscript"/>
              </w:rPr>
              <w:t>(b)</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4"/>
        </w:trPr>
        <w:tc>
          <w:tcPr>
            <w:tcW w:w="9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4"/>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4"/>
        </w:trPr>
        <w:tc>
          <w:tcPr>
            <w:tcW w:w="9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7"/>
        </w:trPr>
        <w:tc>
          <w:tcPr>
            <w:tcW w:w="9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r>
      <w:tr>
        <w:trPr>
          <w:trHeight w:val="217"/>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16,080</w:t>
            </w:r>
          </w:p>
        </w:tc>
      </w:tr>
      <w:tr>
        <w:trPr>
          <w:trHeight w:val="20"/>
        </w:trPr>
        <w:tc>
          <w:tcPr>
            <w:tcW w:w="9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9"/>
        </w:trPr>
        <w:tc>
          <w:tcPr>
            <w:tcW w:w="9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4"/>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4"/>
        </w:trPr>
        <w:tc>
          <w:tcPr>
            <w:tcW w:w="9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 and finance leases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4"/>
        </w:trPr>
        <w:tc>
          <w:tcPr>
            <w:tcW w:w="9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9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4"/>
        </w:trPr>
        <w:tc>
          <w:tcPr>
            <w:tcW w:w="9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4"/>
        </w:trPr>
        <w:tc>
          <w:tcPr>
            <w:tcW w:w="9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4"/>
        </w:trPr>
        <w:tc>
          <w:tcPr>
            <w:tcW w:w="9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7"/>
        </w:trPr>
        <w:tc>
          <w:tcPr>
            <w:tcW w:w="9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04"/>
        </w:trPr>
        <w:tc>
          <w:tcPr>
            <w:tcW w:w="96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Liabilities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4"/>
        </w:trPr>
        <w:tc>
          <w:tcPr>
            <w:tcW w:w="9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and finance leases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r>
      <w:tr>
        <w:trPr>
          <w:trHeight w:val="224"/>
        </w:trPr>
        <w:tc>
          <w:tcPr>
            <w:tcW w:w="9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4"/>
        </w:trPr>
        <w:tc>
          <w:tcPr>
            <w:tcW w:w="9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instruments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4"/>
        </w:trPr>
        <w:tc>
          <w:tcPr>
            <w:tcW w:w="9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4"/>
        </w:trPr>
        <w:tc>
          <w:tcPr>
            <w:tcW w:w="9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7"/>
        </w:trPr>
        <w:tc>
          <w:tcPr>
            <w:tcW w:w="96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other liabilities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w:t>
            </w:r>
          </w:p>
        </w:tc>
      </w:tr>
      <w:tr>
        <w:trPr>
          <w:trHeight w:val="242"/>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9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9"/>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LSP Portfolio Purchase Price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jc w:val="both"/>
        <w:ind w:left="240" w:hanging="235"/>
        <w:spacing w:after="0" w:line="243" w:lineRule="auto"/>
        <w:tabs>
          <w:tab w:leader="none" w:pos="23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arising from the acquisition of $3.866 billion is attributed to the value of the platform acquired, future customer growth and the expected benefits from combining the operations of the LSP Portfolio with NRG's existing businesses, a majority of which is expected to be deductible for tax purposes. Goodwill was preliminarily allocated to the Texas and East segments of $1.591 billion and $2.275 billion, respectively</w:t>
      </w:r>
    </w:p>
    <w:p>
      <w:pPr>
        <w:ind w:left="240" w:hanging="235"/>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allocation of goodwill and intangible assets to the Company’s reportable segments is anticipated to be finalized by the end of 2026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8"/>
          <w:szCs w:val="18"/>
          <w:i w:val="1"/>
          <w:iCs w:val="1"/>
          <w:color w:val="auto"/>
        </w:rPr>
        <w:t>Fair Value Measurement of Property, Plant and Equipment</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fair values of the property, plant and equipment were measured using income-based valuation methodologies, which included certain assumptions, such as forecasted future cash flows, discount rates, market prices and asset lives and are classified as Level 3. Property, plant and equipment are depreciated to depreciation and amortization, on a straight-line basis, over the expected useful lives of the assets.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Fair Value Measurement of Intangible Assets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fair values of intangible assets as of the acquisition closing date were measured as follows:</w:t>
      </w:r>
    </w:p>
    <w:p>
      <w:pPr>
        <w:spacing w:after="0" w:line="10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Customer relationships – </w:t>
      </w:r>
      <w:r>
        <w:rPr>
          <w:rFonts w:ascii="Times New Roman" w:cs="Times New Roman" w:eastAsia="Times New Roman" w:hAnsi="Times New Roman"/>
          <w:sz w:val="18"/>
          <w:szCs w:val="18"/>
          <w:color w:val="auto"/>
        </w:rPr>
        <w:t>Customer relationships, reflective of the LSP Portfolio’s customer base, were valued using an excess earning method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approach, and is classified as Level 3. Under this approach, the Company estimated the present value of expected future cash flows resulting from existing customer relationships, considering attrition and charges for contributory assets (such as net working capital, fixed assets, workforce, trade names and technology) utilized in the business, discounted based on the required rate of return on the acquired intangible asset. The customer relationships are amortized to depreciation and amortization, ratably based on discounted future cash flows.</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Technology – </w:t>
      </w:r>
      <w:r>
        <w:rPr>
          <w:rFonts w:ascii="Times New Roman" w:cs="Times New Roman" w:eastAsia="Times New Roman" w:hAnsi="Times New Roman"/>
          <w:sz w:val="18"/>
          <w:szCs w:val="18"/>
          <w:color w:val="auto"/>
        </w:rPr>
        <w:t>Developed technology was valued using a relief from royalty method of the income approach, and is classified as Level 3.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 the fair value was estimated to be the present value of royalties saved which assumed the value of the asset based on discounted cash flows of the amount that would be paid by a hypothetical market participant had they not owned the asset and instead licensed the asset from another company. The estimated cash flows from the developed technology considered the obsolescence factor and was discounted using a weighted average cost of capital of comparable companies. The developed technology is amortized to depreciation and amortization, ratably based on discounted future cash flows.</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Trade name — </w:t>
      </w:r>
      <w:r>
        <w:rPr>
          <w:rFonts w:ascii="Times New Roman" w:cs="Times New Roman" w:eastAsia="Times New Roman" w:hAnsi="Times New Roman"/>
          <w:sz w:val="18"/>
          <w:szCs w:val="18"/>
          <w:color w:val="auto"/>
        </w:rPr>
        <w:t>Trade name was valued using a relief from royalty method of the income approach, and is classified as Level 3. Under this approach,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is estimated to be the present value of royalties saved which assumed the value of the asset based on discounted cash flows of the amount that would be paid by a hypothetical market participant had they not owned the asset and instead licensed the asset from another company. The estimated cash flows from the trade name considered the expected probable use of the asset and was discounted using a weighted average cost of capital of comparable companies. The trade name is amortized to depreciation and amortization, on a straight line basis, over the expected life of the asset.</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Fair Value Measurement of LS Power Debt</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The Company acquired $3.2 billion in aggregate principal of LS Power’s 7.250% Senior Secured Notes due 2032, Lightning Term Loan and Lightning Revolving Facility (together, the "Acquired LS Power Debt") which were recorded at fair value as of the acquisition closing date. The difference between the fair value at the acquisition closing date and the principal outstanding of the Acquired LS Power Debt, of $100 million, is being amortized through interest expense over the remaining term of the debt. The 7.250% Senior Secured Notes due 2032 and Lightning Term Loan are classified as Level 2 and were measured at fair value using observable market inputs based on interest rates at the acquisition closing date. For additional discussion, see Note 7,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and Finance Leases.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Fair Value Measurement of Derivatives Instruments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The fair values of derivatives instruments outstanding as of the acquisition closing date were valued using a discounted cash flow approach, with inputs consisting of available market data, such as consensus pricing, as well as unobservable internally derived assumptions, such as forward market prices and auction prices. These derivatives are classified as Level 1, Level 2 and Level 3 and changes to the fair value are recorded through revenue and cost of operations in the consolidated statement of operations. For additional discussion, see Note 6, </w:t>
      </w:r>
      <w:r>
        <w:rPr>
          <w:rFonts w:ascii="Times New Roman" w:cs="Times New Roman" w:eastAsia="Times New Roman" w:hAnsi="Times New Roman"/>
          <w:sz w:val="18"/>
          <w:szCs w:val="18"/>
          <w:i w:val="1"/>
          <w:iCs w:val="1"/>
          <w:color w:val="auto"/>
        </w:rPr>
        <w:t>Accounting for Derivative Instruments and Hedging Activities</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Supplemental Information</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recorded revenue from the LSP Portfolio of $481 million and income before tax of $3 million during the three months ended March 31, 2026. The revenue reported does not include the effects of hedging, which are managed at the Company’s portfolio level and not separately for the business acquired in the LSP Portfolio acquisition.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i w:val="1"/>
          <w:iCs w:val="1"/>
          <w:color w:val="auto"/>
        </w:rPr>
        <w:t>Supplemental Pro Forma Financial Information for the three months ended March 31, 2026 and 2025</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following table provides pro forma combined financial information of NRG and LSP Portfolio, after giving effect to the LSP Portfolio acquisition and related financing transactions as if they had occurred on January 1, 2025. The pro forma financial information has been prepared for illustrative and informational purposes only, and is not intended to project future operating results or be indicative of what the Company's financial performance would have been had the transactions occurred on the date acquired.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vMerge w:val="restart"/>
          </w:tcPr>
          <w:p>
            <w:pPr>
              <w:jc w:val="right"/>
              <w:ind w:right="661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0" w:type="dxa"/>
            <w:vAlign w:val="bottom"/>
          </w:tcPr>
          <w:p>
            <w:pPr>
              <w:spacing w:after="0"/>
              <w:rPr>
                <w:sz w:val="1"/>
                <w:szCs w:val="1"/>
                <w:color w:val="auto"/>
              </w:rPr>
            </w:pPr>
          </w:p>
        </w:tc>
      </w:tr>
      <w:tr>
        <w:trPr>
          <w:trHeight w:val="190"/>
        </w:trPr>
        <w:tc>
          <w:tcPr>
            <w:tcW w:w="746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0" w:type="dxa"/>
            <w:vAlign w:val="bottom"/>
          </w:tcPr>
          <w:p>
            <w:pPr>
              <w:spacing w:after="0"/>
              <w:rPr>
                <w:sz w:val="1"/>
                <w:szCs w:val="1"/>
                <w:color w:val="auto"/>
              </w:rPr>
            </w:pPr>
          </w:p>
        </w:tc>
      </w:tr>
      <w:tr>
        <w:trPr>
          <w:trHeight w:val="222"/>
        </w:trPr>
        <w:tc>
          <w:tcPr>
            <w:tcW w:w="7460" w:type="dxa"/>
            <w:vAlign w:val="bottom"/>
            <w:shd w:val="clear" w:color="auto" w:fill="CCEEFF"/>
          </w:tcPr>
          <w:p>
            <w:pPr>
              <w:jc w:val="right"/>
              <w:ind w:right="6618"/>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0" w:type="dxa"/>
            <w:vAlign w:val="bottom"/>
          </w:tcPr>
          <w:p>
            <w:pPr>
              <w:spacing w:after="0"/>
              <w:rPr>
                <w:sz w:val="1"/>
                <w:szCs w:val="1"/>
                <w:color w:val="auto"/>
              </w:rPr>
            </w:pPr>
          </w:p>
        </w:tc>
      </w:tr>
      <w:tr>
        <w:trPr>
          <w:trHeight w:val="228"/>
        </w:trPr>
        <w:tc>
          <w:tcPr>
            <w:tcW w:w="7460" w:type="dxa"/>
            <w:vAlign w:val="bottom"/>
          </w:tcPr>
          <w:p>
            <w:pPr>
              <w:jc w:val="right"/>
              <w:ind w:right="6418"/>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Amounts above reflect certain pro forma adjustments that were directly attributable to the LSP Portfolio acquisition. These adjustments include the following:</w:t>
      </w:r>
    </w:p>
    <w:p>
      <w:pPr>
        <w:spacing w:after="0" w:line="64" w:lineRule="exact"/>
        <w:rPr>
          <w:sz w:val="20"/>
          <w:szCs w:val="20"/>
          <w:color w:val="auto"/>
        </w:rPr>
      </w:pPr>
    </w:p>
    <w:p>
      <w:pPr>
        <w:ind w:left="400" w:hanging="395"/>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transactions between NRG and LS Power acquired entities.</w:t>
      </w:r>
    </w:p>
    <w:p>
      <w:pPr>
        <w:spacing w:after="0" w:line="108" w:lineRule="exact"/>
        <w:rPr>
          <w:rFonts w:ascii="Times New Roman" w:cs="Times New Roman" w:eastAsia="Times New Roman" w:hAnsi="Times New Roman"/>
          <w:sz w:val="18"/>
          <w:szCs w:val="18"/>
          <w:color w:val="auto"/>
        </w:rPr>
      </w:pPr>
    </w:p>
    <w:p>
      <w:pPr>
        <w:ind w:left="400" w:hanging="395"/>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align the capitalization of certain maintenance costs.</w:t>
      </w:r>
    </w:p>
    <w:p>
      <w:pPr>
        <w:spacing w:after="0" w:line="108" w:lineRule="exact"/>
        <w:rPr>
          <w:rFonts w:ascii="Times New Roman" w:cs="Times New Roman" w:eastAsia="Times New Roman" w:hAnsi="Times New Roman"/>
          <w:sz w:val="18"/>
          <w:szCs w:val="18"/>
          <w:color w:val="auto"/>
        </w:rPr>
      </w:pPr>
    </w:p>
    <w:p>
      <w:pPr>
        <w:ind w:left="400" w:hanging="395"/>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align classification of certain historical revenue with the Company’s policy.</w:t>
      </w:r>
    </w:p>
    <w:p>
      <w:pPr>
        <w:spacing w:after="0" w:line="108" w:lineRule="exact"/>
        <w:rPr>
          <w:rFonts w:ascii="Times New Roman" w:cs="Times New Roman" w:eastAsia="Times New Roman" w:hAnsi="Times New Roman"/>
          <w:sz w:val="18"/>
          <w:szCs w:val="18"/>
          <w:color w:val="auto"/>
        </w:rPr>
      </w:pPr>
    </w:p>
    <w:p>
      <w:pPr>
        <w:ind w:left="400" w:hanging="395"/>
        <w:spacing w:after="0" w:line="268" w:lineRule="auto"/>
        <w:tabs>
          <w:tab w:leader="none" w:pos="3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statement effects of fair value adjustments based on the preliminary purchase price allocation including depreciation of property, plant and equipment, amortization of intangible assets and adjustment to interest expense as a result of recording assumed debt at acquisition date fair value.</w:t>
      </w:r>
    </w:p>
    <w:p>
      <w:pPr>
        <w:spacing w:after="0" w:line="64" w:lineRule="exact"/>
        <w:rPr>
          <w:rFonts w:ascii="Times New Roman" w:cs="Times New Roman" w:eastAsia="Times New Roman" w:hAnsi="Times New Roman"/>
          <w:sz w:val="18"/>
          <w:szCs w:val="18"/>
          <w:color w:val="auto"/>
        </w:rPr>
      </w:pPr>
    </w:p>
    <w:p>
      <w:pPr>
        <w:ind w:left="400" w:hanging="395"/>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record expected acquisition costs.</w:t>
      </w:r>
    </w:p>
    <w:p>
      <w:pPr>
        <w:spacing w:after="0" w:line="108" w:lineRule="exact"/>
        <w:rPr>
          <w:rFonts w:ascii="Times New Roman" w:cs="Times New Roman" w:eastAsia="Times New Roman" w:hAnsi="Times New Roman"/>
          <w:sz w:val="18"/>
          <w:szCs w:val="18"/>
          <w:color w:val="auto"/>
        </w:rPr>
      </w:pPr>
    </w:p>
    <w:p>
      <w:pPr>
        <w:ind w:left="400" w:hanging="395"/>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assumes the financing transactions directly attributable to the LSP Portfolio acquisition occurred on January 1, 2025.</w:t>
      </w:r>
    </w:p>
    <w:p>
      <w:pPr>
        <w:spacing w:after="0" w:line="108" w:lineRule="exact"/>
        <w:rPr>
          <w:rFonts w:ascii="Times New Roman" w:cs="Times New Roman" w:eastAsia="Times New Roman" w:hAnsi="Times New Roman"/>
          <w:sz w:val="18"/>
          <w:szCs w:val="18"/>
          <w:color w:val="auto"/>
        </w:rPr>
      </w:pPr>
    </w:p>
    <w:p>
      <w:pPr>
        <w:ind w:left="400" w:hanging="395"/>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remove the impact of unassumed debt.</w:t>
      </w:r>
    </w:p>
    <w:p>
      <w:pPr>
        <w:spacing w:after="0" w:line="108" w:lineRule="exact"/>
        <w:rPr>
          <w:rFonts w:ascii="Times New Roman" w:cs="Times New Roman" w:eastAsia="Times New Roman" w:hAnsi="Times New Roman"/>
          <w:sz w:val="18"/>
          <w:szCs w:val="18"/>
          <w:color w:val="auto"/>
        </w:rPr>
      </w:pPr>
    </w:p>
    <w:p>
      <w:pPr>
        <w:ind w:left="400" w:hanging="395"/>
        <w:spacing w:after="0" w:line="268" w:lineRule="auto"/>
        <w:tabs>
          <w:tab w:leader="none" w:pos="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effect of the acquisition accounting adjustments and financing adjustments based on combined blended federal/state tax rate of 24.83% for all periods presented, and the impact of a one time benefit resulting from the acquisition.</w:t>
      </w:r>
    </w:p>
    <w:p>
      <w:pPr>
        <w:spacing w:after="0" w:line="60"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2025 Acquisition</w:t>
      </w:r>
    </w:p>
    <w:p>
      <w:pPr>
        <w:spacing w:after="0" w:line="110"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of Texas Generation Portfolio</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On April 10, 2025, the Company acquired all of the ownership interests of six power generation facilities from Rockland Capital, LLC, adding 738 MW of natural gas-fired assets in Texas to its portfolio for $560 million in cash consideration, less $2 million in working capital adjustments. For additional information, refer to Note 4,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xml:space="preserve"> to the Company’s 2025 Form 10-K.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w:t>
      </w:r>
      <w:r>
        <w:rPr>
          <w:rFonts w:ascii="Times New Roman" w:cs="Times New Roman" w:eastAsia="Times New Roman" w:hAnsi="Times New Roman"/>
          <w:sz w:val="18"/>
          <w:szCs w:val="18"/>
          <w:b w:val="1"/>
          <w:bCs w:val="1"/>
          <w:i w:val="1"/>
          <w:iCs w:val="1"/>
          <w:color w:val="auto"/>
        </w:rPr>
        <w:t>Fair Value of Financial Instruments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cash and cash equivalents, funds deposited by counterparties, restricted cash, accounts and other receivables, accounts payable and cash collateral paid and received in support of energy risk management activities, the carrying amounts approximate fair values because of the short-term maturity of those instruments and are classified as Level 1 within the fair value hierarchy.</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estimated carrying value and fair value of the Company’s long-term debt, including current portion,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40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Total long-term debt, including current portion</w:t>
            </w:r>
            <w:r>
              <w:rPr>
                <w:rFonts w:ascii="Times New Roman" w:cs="Times New Roman" w:eastAsia="Times New Roman" w:hAnsi="Times New Roman"/>
                <w:sz w:val="22"/>
                <w:szCs w:val="22"/>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(a) Excludes deferred financing costs, which are recorded as a reduction to long-term debt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3" w:name="page24"/>
    <w:bookmarkEnd w:id="23"/>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the Term Loan B and the Lightning Term Loan are based on quoted market prices and are classified as Level 2 within the fair value hierarchy. The estimated fair values of the T.H. Wharton TEF loan, the Cedar Bayou 5 TEF loan and the Greens Bayou 6 TEF loan are determined using discounted cash flow methodologies, and are classified as Level 3 within the fair value hierarchy. The estimated fair value of the borrowings under the Revolving Credit Facility and the Receivables Facility approximate the carrying value because the interest rates vary with market interest rates, and are classified as Level 3 within the fair value hierarchy. The following table presents the level within the fair value hierarchy for long-term debt, including current portion, as of March 31, 2026 and December 31,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3"/>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long-term debt, including current portion</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19,213</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3,735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Debt securities, equity securities and derivative assets and liabilities are carried at fair market value.</w:t>
      </w:r>
    </w:p>
    <w:p>
      <w:pPr>
        <w:spacing w:after="0" w:line="10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present assets and liabilities measured and recorded at fair value on the Company’s condensed consolidated balance sheets on a recurring basis and their level within the fair value hierarchy: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8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in securities (classified within other current and non-current assets)</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Commodity contracts</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171"/>
        </w:trPr>
        <w:tc>
          <w:tcPr>
            <w:tcW w:w="67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Equity securities measured using net asset value practical expedient (classified within</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7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Commodity contracts</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4"/>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Consumer Financing Program</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42"/>
        </w:trPr>
        <w:tc>
          <w:tcPr>
            <w:tcW w:w="67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20" w:hanging="315"/>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$565 million of derivative assets and $132 million of derivative liabilities that were elected as NPNS on October 1, 2024 and are no longer valued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4"/>
        </w:trPr>
        <w:tc>
          <w:tcPr>
            <w:tcW w:w="6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91"/>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8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in securities (classified within other current and non-current assets)</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20" w:type="dxa"/>
            <w:vAlign w:val="bottom"/>
          </w:tcPr>
          <w:p>
            <w:pPr>
              <w:ind w:left="340"/>
              <w:spacing w:after="0" w:line="224" w:lineRule="exact"/>
              <w:rPr>
                <w:sz w:val="20"/>
                <w:szCs w:val="20"/>
                <w:color w:val="auto"/>
              </w:rPr>
            </w:pPr>
            <w:r>
              <w:rPr>
                <w:rFonts w:ascii="Times New Roman" w:cs="Times New Roman" w:eastAsia="Times New Roman" w:hAnsi="Times New Roman"/>
                <w:sz w:val="18"/>
                <w:szCs w:val="18"/>
                <w:color w:val="auto"/>
              </w:rPr>
              <w:t>Commodity contracts</w:t>
            </w:r>
            <w:r>
              <w:rPr>
                <w:rFonts w:ascii="Times New Roman" w:cs="Times New Roman" w:eastAsia="Times New Roman" w:hAnsi="Times New Roman"/>
                <w:sz w:val="22"/>
                <w:szCs w:val="22"/>
                <w:color w:val="auto"/>
                <w:vertAlign w:val="superscript"/>
              </w:rPr>
              <w:t>(a)</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171"/>
        </w:trPr>
        <w:tc>
          <w:tcPr>
            <w:tcW w:w="67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Equity securities measured using net asset value practical expedient (classified within</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r>
        <w:trPr>
          <w:trHeight w:val="217"/>
        </w:trPr>
        <w:tc>
          <w:tcPr>
            <w:tcW w:w="67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rate contracts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20" w:type="dxa"/>
            <w:vAlign w:val="bottom"/>
          </w:tcPr>
          <w:p>
            <w:pPr>
              <w:ind w:left="340"/>
              <w:spacing w:after="0" w:line="224" w:lineRule="exact"/>
              <w:rPr>
                <w:sz w:val="20"/>
                <w:szCs w:val="20"/>
                <w:color w:val="auto"/>
              </w:rPr>
            </w:pPr>
            <w:r>
              <w:rPr>
                <w:rFonts w:ascii="Times New Roman" w:cs="Times New Roman" w:eastAsia="Times New Roman" w:hAnsi="Times New Roman"/>
                <w:sz w:val="18"/>
                <w:szCs w:val="18"/>
                <w:color w:val="auto"/>
              </w:rPr>
              <w:t>Commodity contracts</w:t>
            </w:r>
            <w:r>
              <w:rPr>
                <w:rFonts w:ascii="Times New Roman" w:cs="Times New Roman" w:eastAsia="Times New Roman" w:hAnsi="Times New Roman"/>
                <w:sz w:val="22"/>
                <w:szCs w:val="22"/>
                <w:color w:val="auto"/>
                <w:vertAlign w:val="superscript"/>
              </w:rPr>
              <w:t>(a)</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Consumer Financing Program</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7"/>
        </w:trPr>
        <w:tc>
          <w:tcPr>
            <w:tcW w:w="67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$622 million of derivative assets and $138 million of derivative liabilities that were elected as NPNS on October 1, 2024 and are no longer valued at fair value on a recurring basis</w:t>
      </w:r>
    </w:p>
    <w:p>
      <w:pPr>
        <w:spacing w:after="0" w:line="106"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reconciles, for the three months ended March 31, 2026 and 2025, the beginning and ending balances for financial instruments that are recognized at fair value in the condensed consolidated financial statements, using significant unobservable inputs, for commodity derivatives:</w:t>
      </w:r>
    </w:p>
    <w:p>
      <w:pPr>
        <w:sectPr>
          <w:pgSz w:w="11900" w:h="16838" w:orient="portrait"/>
          <w:cols w:equalWidth="0" w:num="1">
            <w:col w:w="11240"/>
          </w:cols>
          <w:pgMar w:left="320" w:top="1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42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Contracts added from LSP Portfolio acquisition</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Total (losses)/gains realized/unrealized included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Purchases</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Transfers into Level 3</w:t>
      </w:r>
      <w:r>
        <w:rPr>
          <w:rFonts w:ascii="Times New Roman" w:cs="Times New Roman" w:eastAsia="Times New Roman" w:hAnsi="Times New Roman"/>
          <w:sz w:val="20"/>
          <w:szCs w:val="20"/>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5495" cy="133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Transfers out of Level 3</w:t>
      </w:r>
      <w:r>
        <w:rPr>
          <w:rFonts w:ascii="Times New Roman" w:cs="Times New Roman" w:eastAsia="Times New Roman" w:hAnsi="Times New Roman"/>
          <w:sz w:val="20"/>
          <w:szCs w:val="20"/>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5495" cy="158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Ending balance</w:t>
      </w:r>
    </w:p>
    <w:p>
      <w:pPr>
        <w:spacing w:after="0" w:line="9" w:lineRule="exact"/>
        <w:rPr>
          <w:sz w:val="20"/>
          <w:szCs w:val="20"/>
          <w:color w:val="auto"/>
        </w:rPr>
      </w:pPr>
    </w:p>
    <w:p>
      <w:pPr>
        <w:ind w:left="180" w:hanging="157"/>
        <w:spacing w:after="0" w:line="237" w:lineRule="auto"/>
        <w:rPr>
          <w:sz w:val="20"/>
          <w:szCs w:val="20"/>
          <w:color w:val="auto"/>
        </w:rPr>
      </w:pPr>
      <w:r>
        <w:rPr>
          <w:rFonts w:ascii="Times New Roman" w:cs="Times New Roman" w:eastAsia="Times New Roman" w:hAnsi="Times New Roman"/>
          <w:sz w:val="16"/>
          <w:szCs w:val="16"/>
          <w:color w:val="auto"/>
        </w:rPr>
        <w:t>(Losses)/gains for the period included in earnings attributable to the change in unrealized gains or losses relating to assets or liabilities still held as of period end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left="-19" w:right="60"/>
        <w:spacing w:after="0" w:line="251" w:lineRule="auto"/>
        <w:rPr>
          <w:sz w:val="20"/>
          <w:szCs w:val="20"/>
          <w:color w:val="auto"/>
        </w:rPr>
      </w:pPr>
      <w:r>
        <w:rPr>
          <w:rFonts w:ascii="Times New Roman" w:cs="Times New Roman" w:eastAsia="Times New Roman" w:hAnsi="Times New Roman"/>
          <w:sz w:val="14"/>
          <w:szCs w:val="14"/>
          <w:b w:val="1"/>
          <w:bCs w:val="1"/>
          <w:color w:val="auto"/>
        </w:rPr>
        <w:t>Fair Value Measurement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22561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56155" cy="8255"/>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14"/>
          <w:szCs w:val="14"/>
          <w:b w:val="1"/>
          <w:bCs w:val="1"/>
          <w:color w:val="auto"/>
        </w:rPr>
        <w:t>Commodity Derivatives</w:t>
      </w:r>
      <w:r>
        <w:rPr>
          <w:rFonts w:ascii="Times New Roman" w:cs="Times New Roman" w:eastAsia="Times New Roman" w:hAnsi="Times New Roman"/>
          <w:sz w:val="9"/>
          <w:szCs w:val="9"/>
          <w:b w:val="1"/>
          <w:bCs w:val="1"/>
          <w:color w:val="auto"/>
        </w:rPr>
        <w: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860" w:type="dxa"/>
            <w:vAlign w:val="bottom"/>
            <w:tcBorders>
              <w:top w:val="single" w:sz="8" w:color="auto"/>
            </w:tcBorders>
            <w:gridSpan w:val="3"/>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5"/>
        </w:trPr>
        <w:tc>
          <w:tcPr>
            <w:tcW w:w="38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39</w:t>
            </w:r>
          </w:p>
        </w:tc>
      </w:tr>
      <w:tr>
        <w:trPr>
          <w:trHeight w:val="210"/>
        </w:trPr>
        <w:tc>
          <w:tcPr>
            <w:tcW w:w="38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12</w:t>
            </w:r>
          </w:p>
        </w:tc>
      </w:tr>
      <w:tr>
        <w:trPr>
          <w:trHeight w:val="211"/>
        </w:trPr>
        <w:tc>
          <w:tcPr>
            <w:tcW w:w="38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38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6"/>
                <w:szCs w:val="16"/>
                <w:color w:val="auto"/>
                <w:w w:val="96"/>
              </w:rPr>
              <w:t>(2)</w:t>
            </w:r>
          </w:p>
        </w:tc>
      </w:tr>
      <w:tr>
        <w:trPr>
          <w:trHeight w:val="204"/>
        </w:trPr>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49</w:t>
            </w: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307"/>
        </w:trPr>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42</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ectPr>
          <w:pgSz w:w="11900" w:h="16838" w:orient="portrait"/>
          <w:cols w:equalWidth="0" w:num="2">
            <w:col w:w="7300" w:space="380"/>
            <w:col w:w="3560"/>
          </w:cols>
          <w:pgMar w:left="320" w:top="1141" w:right="339" w:bottom="1440" w:gutter="0" w:footer="0" w:header="0"/>
          <w:type w:val="continuous"/>
        </w:sectPr>
      </w:pPr>
    </w:p>
    <w:p>
      <w:pPr>
        <w:ind w:left="320" w:hanging="315"/>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derivative assets and liabilities, net, excluding derivatives liabilities from the Consumer Financing Program, which are presented in a separate table below</w:t>
      </w:r>
    </w:p>
    <w:p>
      <w:pPr>
        <w:spacing w:after="0" w:line="21" w:lineRule="exact"/>
        <w:rPr>
          <w:rFonts w:ascii="Times New Roman" w:cs="Times New Roman" w:eastAsia="Times New Roman" w:hAnsi="Times New Roman"/>
          <w:sz w:val="14"/>
          <w:szCs w:val="14"/>
          <w:color w:val="auto"/>
        </w:rPr>
      </w:pPr>
    </w:p>
    <w:p>
      <w:pPr>
        <w:ind w:left="320" w:hanging="315"/>
        <w:spacing w:after="0" w:line="270" w:lineRule="auto"/>
        <w:tabs>
          <w:tab w:leader="none" w:pos="31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into/out of Level 3 within the fair value hierarchy are related to the availability of consensus pricing and external broker quotes, including volatilities, and are valued as of the end of the reporting period. All transfers in/out of Level 3 are from/to Level 2</w:t>
      </w:r>
    </w:p>
    <w:p>
      <w:pPr>
        <w:spacing w:after="0" w:line="209"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Realized and unrealized gains and losses included in earnings that are related to the commodity derivatives are recorded in revenues and cost of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type w:val="continuous"/>
        </w:sectPr>
      </w:pPr>
    </w:p>
    <w:bookmarkStart w:id="25" w:name="page26"/>
    <w:bookmarkEnd w:id="25"/>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 reconciles, for the three months ended March 31, 2026 and 2025, the beginning and ending balances of the contractual obligations from the Consumer Financing Program that are recognized at fair value in the condensed consolidated financial statements, using significant unobservable inputs:</w:t>
      </w:r>
    </w:p>
    <w:p>
      <w:pPr>
        <w:spacing w:after="0" w:line="55"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Fair Value Measurement Using Significant Unobservable</w:t>
      </w:r>
    </w:p>
    <w:p>
      <w:pPr>
        <w:spacing w:after="0" w:line="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4841240</wp:posOffset>
            </wp:positionH>
            <wp:positionV relativeFrom="paragraph">
              <wp:posOffset>10795</wp:posOffset>
            </wp:positionV>
            <wp:extent cx="22980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98065" cy="8255"/>
                    </a:xfrm>
                    <a:prstGeom prst="rect">
                      <a:avLst/>
                    </a:prstGeom>
                    <a:noFill/>
                  </pic:spPr>
                </pic:pic>
              </a:graphicData>
            </a:graphic>
          </wp:anchor>
        </w:drawing>
      </w:r>
    </w:p>
    <w:p>
      <w:pPr>
        <w:ind w:left="8520"/>
        <w:spacing w:after="0"/>
        <w:rPr>
          <w:sz w:val="20"/>
          <w:szCs w:val="20"/>
          <w:color w:val="auto"/>
        </w:rPr>
      </w:pPr>
      <w:r>
        <w:rPr>
          <w:rFonts w:ascii="Times New Roman" w:cs="Times New Roman" w:eastAsia="Times New Roman" w:hAnsi="Times New Roman"/>
          <w:sz w:val="14"/>
          <w:szCs w:val="14"/>
          <w:b w:val="1"/>
          <w:bCs w:val="1"/>
          <w:color w:val="auto"/>
        </w:rPr>
        <w:t>Consumer Financing Program</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60" w:type="dxa"/>
            <w:vAlign w:val="bottom"/>
            <w:tcBorders>
              <w:top w:val="single" w:sz="8" w:color="auto"/>
            </w:tcBorders>
            <w:gridSpan w:val="3"/>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760" w:type="dxa"/>
            <w:vAlign w:val="bottom"/>
            <w:tcBorders>
              <w:top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0" w:type="dxa"/>
            <w:vAlign w:val="bottom"/>
          </w:tcPr>
          <w:p>
            <w:pPr>
              <w:spacing w:after="0"/>
              <w:rPr>
                <w:sz w:val="1"/>
                <w:szCs w:val="1"/>
                <w:color w:val="auto"/>
              </w:rPr>
            </w:pPr>
          </w:p>
        </w:tc>
      </w:tr>
      <w:tr>
        <w:trPr>
          <w:trHeight w:val="190"/>
        </w:trPr>
        <w:tc>
          <w:tcPr>
            <w:tcW w:w="76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09"/>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New contractual obligations</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9"/>
        </w:trPr>
        <w:tc>
          <w:tcPr>
            <w:tcW w:w="7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losses included in earnings</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1"/>
        </w:trPr>
        <w:tc>
          <w:tcPr>
            <w:tcW w:w="7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Gains and losses that are related to the Consumer Financing Program derivative are recorded in other income, net.</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Derivative Fair Value Measurements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fair value of the Company’s contracts primarily consist of non-exchange traded contracts based on consensus pricing provided by independent pricing services. As of March 31, 2026, contracts valued with prices provided by models and other valuation techniques made up 7% of derivative assets and 11% of derivative liabilities.</w:t>
      </w:r>
    </w:p>
    <w:p>
      <w:pPr>
        <w:spacing w:after="0" w:line="75"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NRG’s significant positions classified as Level 3 include physical and financial natural gas, power, capacity contracts and RECs executed in illiquid markets, FTRs, certain power options and the Consumer Financing Program. The significant unobservable inputs used in developing fair value include illiquid natural gas and power location pricing, which is derived as a basis to liquid locations. The basis spread is based on observable market data when available or derived from historic prices and forward market prices from similar observable markets when not available. Forward capacity prices are based on market information, forecasted future electricity demand and supply, past auctions and internally developed pricing models. REC prices are based on market information and internally developed pricing models. Power options are valued using industry standard option models. The valuation of certain power options includes significant unobservable inputs such as forward volatilities. For FTRs, NRG uses the most recent auction prices to derive the fair value. The Consumer Financing Program derivatives are valued using a discounted cash flow model, with inputs consisting of available market data, such as market yield discount rates, as well as unobservable internally derived assumptions, such as collateral prepayment rates, collateral default rates and credit loss rates.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6" w:name="page27"/>
    <w:bookmarkEnd w:id="26"/>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quantify the significant, unobservable inputs used in developing the fair value of the Company’s Level 3 positions as of March 31, 2026 and December 31, 2025:</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March 31, 2026</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Input/Range</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ind w:left="340"/>
              <w:spacing w:after="0" w:line="153" w:lineRule="exact"/>
              <w:rPr>
                <w:sz w:val="20"/>
                <w:szCs w:val="20"/>
                <w:color w:val="auto"/>
              </w:rPr>
            </w:pPr>
            <w:r>
              <w:rPr>
                <w:rFonts w:ascii="Times New Roman" w:cs="Times New Roman" w:eastAsia="Times New Roman" w:hAnsi="Times New Roman"/>
                <w:sz w:val="16"/>
                <w:szCs w:val="16"/>
                <w:b w:val="1"/>
                <w:bCs w:val="1"/>
                <w:color w:val="auto"/>
              </w:rPr>
              <w:t>Valuation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3"/>
          </w:tcPr>
          <w:p>
            <w:pPr>
              <w:ind w:left="460"/>
              <w:spacing w:after="0" w:line="153"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Low</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High</w:t>
            </w:r>
          </w:p>
        </w:tc>
        <w:tc>
          <w:tcPr>
            <w:tcW w:w="10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01"/>
              <w:spacing w:after="0" w:line="153"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(In millions, except as noted)</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Technique</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1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Natural Gas Contracts</w:t>
            </w:r>
          </w:p>
        </w:tc>
        <w:tc>
          <w:tcPr>
            <w:tcW w:w="220" w:type="dxa"/>
            <w:vAlign w:val="bottom"/>
            <w:gridSpan w:val="2"/>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Forward Market Price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60" w:type="dxa"/>
            <w:vAlign w:val="bottom"/>
            <w:gridSpan w:val="4"/>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1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MMBtu)</w:t>
            </w:r>
          </w:p>
        </w:tc>
        <w:tc>
          <w:tcPr>
            <w:tcW w:w="28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Power Contracts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114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4"/>
          </w:tcPr>
          <w:p>
            <w:pPr>
              <w:ind w:left="20"/>
              <w:spacing w:after="0" w:line="158" w:lineRule="exact"/>
              <w:rPr>
                <w:sz w:val="20"/>
                <w:szCs w:val="20"/>
                <w:color w:val="auto"/>
              </w:rPr>
            </w:pPr>
            <w:r>
              <w:rPr>
                <w:rFonts w:ascii="Times New Roman" w:cs="Times New Roman" w:eastAsia="Times New Roman" w:hAnsi="Times New Roman"/>
                <w:sz w:val="16"/>
                <w:szCs w:val="16"/>
                <w:color w:val="auto"/>
              </w:rPr>
              <w:t>Discounted Cash</w:t>
            </w:r>
          </w:p>
        </w:tc>
        <w:tc>
          <w:tcPr>
            <w:tcW w:w="1800" w:type="dxa"/>
            <w:vAlign w:val="bottom"/>
            <w:gridSpan w:val="4"/>
          </w:tcPr>
          <w:p>
            <w:pPr>
              <w:ind w:left="20"/>
              <w:spacing w:after="0" w:line="158" w:lineRule="exact"/>
              <w:rPr>
                <w:sz w:val="20"/>
                <w:szCs w:val="20"/>
                <w:color w:val="auto"/>
              </w:rPr>
            </w:pPr>
            <w:r>
              <w:rPr>
                <w:rFonts w:ascii="Times New Roman" w:cs="Times New Roman" w:eastAsia="Times New Roman" w:hAnsi="Times New Roman"/>
                <w:sz w:val="16"/>
                <w:szCs w:val="16"/>
                <w:color w:val="auto"/>
              </w:rPr>
              <w:t>Forward Market Price ($</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244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per MWh)</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1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Capacity Contracts</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gridSpan w:val="4"/>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Discounted Cash</w:t>
            </w:r>
          </w:p>
        </w:tc>
        <w:tc>
          <w:tcPr>
            <w:tcW w:w="1800" w:type="dxa"/>
            <w:vAlign w:val="bottom"/>
            <w:gridSpan w:val="4"/>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Forward Market Price ($</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806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1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MW/Day)</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RECs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4"/>
          </w:tcPr>
          <w:p>
            <w:pPr>
              <w:ind w:left="20"/>
              <w:spacing w:after="0" w:line="158" w:lineRule="exact"/>
              <w:rPr>
                <w:sz w:val="20"/>
                <w:szCs w:val="20"/>
                <w:color w:val="auto"/>
              </w:rPr>
            </w:pPr>
            <w:r>
              <w:rPr>
                <w:rFonts w:ascii="Times New Roman" w:cs="Times New Roman" w:eastAsia="Times New Roman" w:hAnsi="Times New Roman"/>
                <w:sz w:val="16"/>
                <w:szCs w:val="16"/>
                <w:color w:val="auto"/>
              </w:rPr>
              <w:t>Discounted Cash</w:t>
            </w:r>
          </w:p>
        </w:tc>
        <w:tc>
          <w:tcPr>
            <w:tcW w:w="1800" w:type="dxa"/>
            <w:vAlign w:val="bottom"/>
            <w:gridSpan w:val="4"/>
          </w:tcPr>
          <w:p>
            <w:pPr>
              <w:ind w:left="20"/>
              <w:spacing w:after="0" w:line="158" w:lineRule="exact"/>
              <w:rPr>
                <w:sz w:val="20"/>
                <w:szCs w:val="20"/>
                <w:color w:val="auto"/>
              </w:rPr>
            </w:pPr>
            <w:r>
              <w:rPr>
                <w:rFonts w:ascii="Times New Roman" w:cs="Times New Roman" w:eastAsia="Times New Roman" w:hAnsi="Times New Roman"/>
                <w:sz w:val="16"/>
                <w:szCs w:val="16"/>
                <w:color w:val="auto"/>
              </w:rPr>
              <w:t>Forward Market Price ($</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375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per Certificate)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1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FTRs</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gridSpan w:val="4"/>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Discounted Cash</w:t>
            </w:r>
          </w:p>
        </w:tc>
        <w:tc>
          <w:tcPr>
            <w:tcW w:w="1800" w:type="dxa"/>
            <w:vAlign w:val="bottom"/>
            <w:gridSpan w:val="4"/>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Auction Prices ($ per</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19,100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1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MWh)</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Power Options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Option Models</w:t>
            </w: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Volatilities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Consumer Financing</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gridSpan w:val="4"/>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Discounted Cash</w:t>
            </w:r>
          </w:p>
        </w:tc>
        <w:tc>
          <w:tcPr>
            <w:tcW w:w="180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 Default Rates</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Program</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1800" w:type="dxa"/>
            <w:vAlign w:val="bottom"/>
            <w:gridSpan w:val="4"/>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gridSpan w:val="4"/>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Discounted Cash</w:t>
            </w:r>
          </w:p>
        </w:tc>
        <w:tc>
          <w:tcPr>
            <w:tcW w:w="1800" w:type="dxa"/>
            <w:vAlign w:val="bottom"/>
            <w:gridSpan w:val="4"/>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Collateral Prepayment</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1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gridSpan w:val="4"/>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Discounted Cash</w:t>
            </w:r>
          </w:p>
        </w:tc>
        <w:tc>
          <w:tcPr>
            <w:tcW w:w="180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Loss Rates</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1800" w:type="dxa"/>
            <w:vAlign w:val="bottom"/>
            <w:gridSpan w:val="4"/>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67"/>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Input/Range</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2"/>
          </w:tcPr>
          <w:p>
            <w:pPr>
              <w:ind w:left="380"/>
              <w:spacing w:after="0" w:line="153" w:lineRule="exact"/>
              <w:rPr>
                <w:sz w:val="20"/>
                <w:szCs w:val="20"/>
                <w:color w:val="auto"/>
              </w:rPr>
            </w:pPr>
            <w:r>
              <w:rPr>
                <w:rFonts w:ascii="Times New Roman" w:cs="Times New Roman" w:eastAsia="Times New Roman" w:hAnsi="Times New Roman"/>
                <w:sz w:val="16"/>
                <w:szCs w:val="16"/>
                <w:b w:val="1"/>
                <w:bCs w:val="1"/>
                <w:color w:val="auto"/>
              </w:rPr>
              <w:t>Valuation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3"/>
          </w:tcPr>
          <w:p>
            <w:pPr>
              <w:jc w:val="center"/>
              <w:ind w:right="80"/>
              <w:spacing w:after="0" w:line="153"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Low</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High</w:t>
            </w:r>
          </w:p>
        </w:tc>
        <w:tc>
          <w:tcPr>
            <w:tcW w:w="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01"/>
              <w:spacing w:after="0" w:line="153"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as noted)</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Technique</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Unobservable Input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Natural Gas Contracts</w:t>
            </w:r>
          </w:p>
        </w:tc>
        <w:tc>
          <w:tcPr>
            <w:tcW w:w="220" w:type="dxa"/>
            <w:vAlign w:val="bottom"/>
            <w:gridSpan w:val="2"/>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Discounted Cash</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Forward Market Price ($</w:t>
            </w:r>
          </w:p>
        </w:tc>
        <w:tc>
          <w:tcPr>
            <w:tcW w:w="80" w:type="dxa"/>
            <w:vAlign w:val="bottom"/>
            <w:shd w:val="clear" w:color="auto" w:fill="CCEEFF"/>
          </w:tcPr>
          <w:p>
            <w:pPr>
              <w:spacing w:after="0"/>
              <w:rPr>
                <w:sz w:val="13"/>
                <w:szCs w:val="13"/>
                <w:color w:val="auto"/>
              </w:rPr>
            </w:pPr>
          </w:p>
        </w:tc>
        <w:tc>
          <w:tcPr>
            <w:tcW w:w="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60" w:type="dxa"/>
            <w:vAlign w:val="bottom"/>
            <w:gridSpan w:val="4"/>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MMBtu)</w:t>
            </w:r>
          </w:p>
        </w:tc>
        <w:tc>
          <w:tcPr>
            <w:tcW w:w="28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Power Contracts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tcPr>
          <w:p>
            <w:pPr>
              <w:spacing w:after="0"/>
              <w:rPr>
                <w:sz w:val="13"/>
                <w:szCs w:val="13"/>
                <w:color w:val="auto"/>
              </w:rPr>
            </w:pPr>
          </w:p>
        </w:tc>
        <w:tc>
          <w:tcPr>
            <w:tcW w:w="178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color w:val="auto"/>
              </w:rPr>
              <w:t>Forward Market Price ($</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rPr>
              <w:t>125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per MWh)</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Capacity Contracts</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shd w:val="clear" w:color="auto" w:fill="CCEEFF"/>
          </w:tcPr>
          <w:p>
            <w:pPr>
              <w:spacing w:after="0"/>
              <w:rPr>
                <w:sz w:val="13"/>
                <w:szCs w:val="13"/>
                <w:color w:val="auto"/>
              </w:rPr>
            </w:pPr>
          </w:p>
        </w:tc>
        <w:tc>
          <w:tcPr>
            <w:tcW w:w="1780" w:type="dxa"/>
            <w:vAlign w:val="bottom"/>
            <w:gridSpan w:val="3"/>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Forward Market Price ($</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577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MW/Day)</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RECs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tcPr>
          <w:p>
            <w:pPr>
              <w:spacing w:after="0"/>
              <w:rPr>
                <w:sz w:val="13"/>
                <w:szCs w:val="13"/>
                <w:color w:val="auto"/>
              </w:rPr>
            </w:pPr>
          </w:p>
        </w:tc>
        <w:tc>
          <w:tcPr>
            <w:tcW w:w="178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color w:val="auto"/>
              </w:rPr>
              <w:t>Forward Market Price ($</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rPr>
              <w:t>370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per Certificate)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FTRs</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shd w:val="clear" w:color="auto" w:fill="CCEEFF"/>
          </w:tcPr>
          <w:p>
            <w:pPr>
              <w:spacing w:after="0"/>
              <w:rPr>
                <w:sz w:val="13"/>
                <w:szCs w:val="13"/>
                <w:color w:val="auto"/>
              </w:rPr>
            </w:pPr>
          </w:p>
        </w:tc>
        <w:tc>
          <w:tcPr>
            <w:tcW w:w="1780" w:type="dxa"/>
            <w:vAlign w:val="bottom"/>
            <w:gridSpan w:val="3"/>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Auction Prices ($ per</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19,100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MWh)</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Power Options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Option Models</w:t>
            </w:r>
          </w:p>
        </w:tc>
        <w:tc>
          <w:tcPr>
            <w:tcW w:w="20" w:type="dxa"/>
            <w:vAlign w:val="bottom"/>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Volatilities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Consumer Financing</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shd w:val="clear" w:color="auto" w:fill="CCEEFF"/>
          </w:tcPr>
          <w:p>
            <w:pPr>
              <w:spacing w:after="0"/>
              <w:rPr>
                <w:sz w:val="13"/>
                <w:szCs w:val="13"/>
                <w:color w:val="auto"/>
              </w:rPr>
            </w:pPr>
          </w:p>
        </w:tc>
        <w:tc>
          <w:tcPr>
            <w:tcW w:w="178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 Default Rates</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Program</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shd w:val="clear" w:color="auto" w:fill="CCEEFF"/>
          </w:tcPr>
          <w:p>
            <w:pPr>
              <w:spacing w:after="0"/>
              <w:rPr>
                <w:sz w:val="17"/>
                <w:szCs w:val="17"/>
                <w:color w:val="auto"/>
              </w:rPr>
            </w:pPr>
          </w:p>
        </w:tc>
        <w:tc>
          <w:tcPr>
            <w:tcW w:w="17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shd w:val="clear" w:color="auto" w:fill="CCEEFF"/>
          </w:tcPr>
          <w:p>
            <w:pPr>
              <w:spacing w:after="0"/>
              <w:rPr>
                <w:sz w:val="14"/>
                <w:szCs w:val="14"/>
                <w:color w:val="auto"/>
              </w:rPr>
            </w:pPr>
          </w:p>
        </w:tc>
        <w:tc>
          <w:tcPr>
            <w:tcW w:w="1780" w:type="dxa"/>
            <w:vAlign w:val="bottom"/>
            <w:gridSpan w:val="3"/>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Collateral Prepayment</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shd w:val="clear" w:color="auto" w:fill="CCEEFF"/>
          </w:tcPr>
          <w:p>
            <w:pPr>
              <w:spacing w:after="0"/>
              <w:rPr>
                <w:sz w:val="14"/>
                <w:szCs w:val="14"/>
                <w:color w:val="auto"/>
              </w:rPr>
            </w:pPr>
          </w:p>
        </w:tc>
        <w:tc>
          <w:tcPr>
            <w:tcW w:w="178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Loss Rates</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shd w:val="clear" w:color="auto" w:fill="CCEEFF"/>
          </w:tcPr>
          <w:p>
            <w:pPr>
              <w:spacing w:after="0"/>
              <w:rPr>
                <w:sz w:val="18"/>
                <w:szCs w:val="18"/>
                <w:color w:val="auto"/>
              </w:rPr>
            </w:pPr>
          </w:p>
        </w:tc>
        <w:tc>
          <w:tcPr>
            <w:tcW w:w="17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0" w:type="dxa"/>
            <w:vAlign w:val="bottom"/>
            <w:tcBorders>
              <w:bottom w:val="single" w:sz="8" w:color="auto"/>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6"/>
          <w:szCs w:val="16"/>
          <w:color w:val="auto"/>
        </w:rPr>
        <w:t>The following table provides sensitivity of fair value measurements to increases/(decreases) in significant, unobservable inputs as of March 31, 2026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Unobservable Input</w:t>
            </w:r>
          </w:p>
        </w:tc>
        <w:tc>
          <w:tcPr>
            <w:tcW w:w="2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Position</w:t>
            </w:r>
          </w:p>
        </w:tc>
        <w:tc>
          <w:tcPr>
            <w:tcW w:w="2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Change In Input</w:t>
            </w: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Impact on Fair Value</w:t>
            </w:r>
          </w:p>
        </w:tc>
        <w:tc>
          <w:tcPr>
            <w:tcW w:w="0" w:type="dxa"/>
            <w:vAlign w:val="bottom"/>
          </w:tcPr>
          <w:p>
            <w:pPr>
              <w:spacing w:after="0"/>
              <w:rPr>
                <w:sz w:val="1"/>
                <w:szCs w:val="1"/>
                <w:color w:val="auto"/>
              </w:rPr>
            </w:pPr>
          </w:p>
        </w:tc>
      </w:tr>
      <w:tr>
        <w:trPr>
          <w:trHeight w:val="210"/>
        </w:trPr>
        <w:tc>
          <w:tcPr>
            <w:tcW w:w="4320" w:type="dxa"/>
            <w:vAlign w:val="bottom"/>
            <w:gridSpan w:val="2"/>
            <w:vMerge w:val="continue"/>
          </w:tcPr>
          <w:p>
            <w:pPr>
              <w:spacing w:after="0"/>
              <w:rPr>
                <w:sz w:val="18"/>
                <w:szCs w:val="18"/>
                <w:color w:val="auto"/>
              </w:rPr>
            </w:pPr>
          </w:p>
        </w:tc>
        <w:tc>
          <w:tcPr>
            <w:tcW w:w="2340" w:type="dxa"/>
            <w:vAlign w:val="bottom"/>
            <w:gridSpan w:val="2"/>
            <w:vMerge w:val="continue"/>
          </w:tcPr>
          <w:p>
            <w:pPr>
              <w:spacing w:after="0"/>
              <w:rPr>
                <w:sz w:val="18"/>
                <w:szCs w:val="18"/>
                <w:color w:val="auto"/>
              </w:rPr>
            </w:pPr>
          </w:p>
        </w:tc>
        <w:tc>
          <w:tcPr>
            <w:tcW w:w="2340" w:type="dxa"/>
            <w:vAlign w:val="bottom"/>
            <w:gridSpan w:val="2"/>
            <w:vMerge w:val="continue"/>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Measurement</w:t>
            </w:r>
          </w:p>
        </w:tc>
        <w:tc>
          <w:tcPr>
            <w:tcW w:w="0" w:type="dxa"/>
            <w:vAlign w:val="bottom"/>
          </w:tcPr>
          <w:p>
            <w:pPr>
              <w:spacing w:after="0"/>
              <w:rPr>
                <w:sz w:val="1"/>
                <w:szCs w:val="1"/>
                <w:color w:val="auto"/>
              </w:rPr>
            </w:pPr>
          </w:p>
        </w:tc>
      </w:tr>
      <w:tr>
        <w:trPr>
          <w:trHeight w:val="218"/>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Market Price Natural Gas/Power/Capacity/RECs</w:t>
            </w:r>
          </w:p>
        </w:tc>
        <w:tc>
          <w:tcPr>
            <w:tcW w:w="1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Increase/(Decrease)</w:t>
            </w: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Higher/(Lower)</w:t>
            </w:r>
          </w:p>
        </w:tc>
        <w:tc>
          <w:tcPr>
            <w:tcW w:w="0" w:type="dxa"/>
            <w:vAlign w:val="bottom"/>
          </w:tcPr>
          <w:p>
            <w:pPr>
              <w:spacing w:after="0"/>
              <w:rPr>
                <w:sz w:val="1"/>
                <w:szCs w:val="1"/>
                <w:color w:val="auto"/>
              </w:rPr>
            </w:pPr>
          </w:p>
        </w:tc>
      </w:tr>
      <w:tr>
        <w:trPr>
          <w:trHeight w:val="22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Market Price Natural Gas/Power/Capacity/RECs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Sell</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Increase/(Decrease)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Lower/(Higher)</w:t>
            </w:r>
          </w:p>
        </w:tc>
        <w:tc>
          <w:tcPr>
            <w:tcW w:w="0" w:type="dxa"/>
            <w:vAlign w:val="bottom"/>
          </w:tcPr>
          <w:p>
            <w:pPr>
              <w:spacing w:after="0"/>
              <w:rPr>
                <w:sz w:val="1"/>
                <w:szCs w:val="1"/>
                <w:color w:val="auto"/>
              </w:rPr>
            </w:pPr>
          </w:p>
        </w:tc>
      </w:tr>
      <w:tr>
        <w:trPr>
          <w:trHeight w:val="224"/>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FTR Prices</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Buy</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Increase/(Decrease)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Higher/(Lower)</w:t>
            </w:r>
          </w:p>
        </w:tc>
        <w:tc>
          <w:tcPr>
            <w:tcW w:w="0" w:type="dxa"/>
            <w:vAlign w:val="bottom"/>
          </w:tcPr>
          <w:p>
            <w:pPr>
              <w:spacing w:after="0"/>
              <w:rPr>
                <w:sz w:val="1"/>
                <w:szCs w:val="1"/>
                <w:color w:val="auto"/>
              </w:rPr>
            </w:pPr>
          </w:p>
        </w:tc>
      </w:tr>
      <w:tr>
        <w:trPr>
          <w:trHeight w:val="22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FTR Prices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Sell</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Increase/(Decrease)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Lower/(Higher)</w:t>
            </w:r>
          </w:p>
        </w:tc>
        <w:tc>
          <w:tcPr>
            <w:tcW w:w="0" w:type="dxa"/>
            <w:vAlign w:val="bottom"/>
          </w:tcPr>
          <w:p>
            <w:pPr>
              <w:spacing w:after="0"/>
              <w:rPr>
                <w:sz w:val="1"/>
                <w:szCs w:val="1"/>
                <w:color w:val="auto"/>
              </w:rPr>
            </w:pPr>
          </w:p>
        </w:tc>
      </w:tr>
      <w:tr>
        <w:trPr>
          <w:trHeight w:val="224"/>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Volatilities</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Buy</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Increase/(Decrease)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Higher/(Lower)</w:t>
            </w:r>
          </w:p>
        </w:tc>
        <w:tc>
          <w:tcPr>
            <w:tcW w:w="0" w:type="dxa"/>
            <w:vAlign w:val="bottom"/>
          </w:tcPr>
          <w:p>
            <w:pPr>
              <w:spacing w:after="0"/>
              <w:rPr>
                <w:sz w:val="1"/>
                <w:szCs w:val="1"/>
                <w:color w:val="auto"/>
              </w:rPr>
            </w:pPr>
          </w:p>
        </w:tc>
      </w:tr>
      <w:tr>
        <w:trPr>
          <w:trHeight w:val="22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Volatilities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Sell</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Increase/(Decrease)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Lower/(Higher)</w:t>
            </w:r>
          </w:p>
        </w:tc>
        <w:tc>
          <w:tcPr>
            <w:tcW w:w="0" w:type="dxa"/>
            <w:vAlign w:val="bottom"/>
          </w:tcPr>
          <w:p>
            <w:pPr>
              <w:spacing w:after="0"/>
              <w:rPr>
                <w:sz w:val="1"/>
                <w:szCs w:val="1"/>
                <w:color w:val="auto"/>
              </w:rPr>
            </w:pPr>
          </w:p>
        </w:tc>
      </w:tr>
      <w:tr>
        <w:trPr>
          <w:trHeight w:val="224"/>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 Default Rates</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Increase/(Decrease)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Higher/(Lower)</w:t>
            </w:r>
          </w:p>
        </w:tc>
        <w:tc>
          <w:tcPr>
            <w:tcW w:w="0" w:type="dxa"/>
            <w:vAlign w:val="bottom"/>
          </w:tcPr>
          <w:p>
            <w:pPr>
              <w:spacing w:after="0"/>
              <w:rPr>
                <w:sz w:val="1"/>
                <w:szCs w:val="1"/>
                <w:color w:val="auto"/>
              </w:rPr>
            </w:pPr>
          </w:p>
        </w:tc>
      </w:tr>
      <w:tr>
        <w:trPr>
          <w:trHeight w:val="22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Collateral Prepayment Rates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Increase/(Decrease)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Lower/(Higher)</w:t>
            </w:r>
          </w:p>
        </w:tc>
        <w:tc>
          <w:tcPr>
            <w:tcW w:w="0" w:type="dxa"/>
            <w:vAlign w:val="bottom"/>
          </w:tcPr>
          <w:p>
            <w:pPr>
              <w:spacing w:after="0"/>
              <w:rPr>
                <w:sz w:val="1"/>
                <w:szCs w:val="1"/>
                <w:color w:val="auto"/>
              </w:rPr>
            </w:pPr>
          </w:p>
        </w:tc>
      </w:tr>
      <w:tr>
        <w:trPr>
          <w:trHeight w:val="224"/>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Rates</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Increase/(Decrease)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Higher/(Lower)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fair value of each contract is discounted using a risk-free interest rate. In addition, the Company applies a credit reserve to reflect credit risk, which is calculated based on published default probabilities. As of March 31, 2026, the credit reserve resulted in a $2 million increase in fair value, primarily within cost of operations. As of December 31, 2025, the credit reserve was immaterial.</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11" w:lineRule="exact"/>
        <w:rPr>
          <w:sz w:val="20"/>
          <w:szCs w:val="20"/>
          <w:color w:val="auto"/>
        </w:rPr>
      </w:pPr>
    </w:p>
    <w:p>
      <w:pPr>
        <w:jc w:val="both"/>
        <w:ind w:firstLine="395"/>
        <w:spacing w:after="0" w:line="294" w:lineRule="auto"/>
        <w:rPr>
          <w:sz w:val="20"/>
          <w:szCs w:val="20"/>
          <w:color w:val="auto"/>
        </w:rPr>
      </w:pPr>
      <w:r>
        <w:rPr>
          <w:rFonts w:ascii="Times New Roman" w:cs="Times New Roman" w:eastAsia="Times New Roman" w:hAnsi="Times New Roman"/>
          <w:sz w:val="16"/>
          <w:szCs w:val="16"/>
          <w:color w:val="auto"/>
        </w:rPr>
        <w:t xml:space="preserve">In addition to the credit risk discussion as disclosed in Note 2,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to the Company’s 2025 Form 10-K, the following is a discussion of the concentration of credit risk for the Company’s contractual obligations. Credit risk relates to the risk of loss resulting from non-performance or non-payment by counterparties pursuant to the terms of their contractual obligations. NRG is exposed to counterparty credit risk through various activities including wholesale sales, fuel purchases and retail supply arrangements, as well as retail customer credit risk through its retail load activities.</w:t>
      </w:r>
    </w:p>
    <w:p>
      <w:pPr>
        <w:spacing w:after="0" w:line="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Company’s counterparty credit risk policies are disclosed in its 2025 Form 10-K. As of March 31, 2026, counterparty credit exposure, excluding credit exposure from RTOs, ISOs, registered commodity exchanges and certain long-term agreements, was $1.3 billion and NRG held collateral (cash and letters of credit) against those positions of $117 million, resulting in a Net Exposure of $1.2 billion. NRG periodically receives collateral from counterparties in excess of their exposure. Collateral amounts shown include such excess while Net Exposure shown excludes excess collateral received. Approximately 61% of the Company’s exposure before collateral is expected to roll off by the end of 2027. Counterparty credit exposure is valued through observable market quotes and discounted at a risk free interest rate. The following tables highlight net counterparty credit exposure by industry sector and by counterparty credit quality. Net counterparty credit exposure is defined as the aggregate net asset position for NRG with counterparties where netting is permitted under the enabling agreement and includes all cash flow, mark-to-market and NPNS, and non-derivative transactions. The exposure is shown net of collateral held and includes amounts net of receivables or payables.</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9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Net Exposure</w:t>
            </w:r>
            <w:r>
              <w:rPr>
                <w:rFonts w:ascii="Times New Roman" w:cs="Times New Roman" w:eastAsia="Times New Roman" w:hAnsi="Times New Roman"/>
                <w:sz w:val="18"/>
                <w:szCs w:val="18"/>
                <w:b w:val="1"/>
                <w:bCs w:val="1"/>
                <w:color w:val="auto"/>
                <w:w w:val="92"/>
                <w:vertAlign w:val="superscript"/>
              </w:rPr>
              <w:t>(a)(b)</w:t>
            </w:r>
          </w:p>
        </w:tc>
      </w:tr>
      <w:tr>
        <w:trPr>
          <w:trHeight w:val="174"/>
        </w:trPr>
        <w:tc>
          <w:tcPr>
            <w:tcW w:w="1920" w:type="dxa"/>
            <w:vAlign w:val="bottom"/>
            <w:tcBorders>
              <w:bottom w:val="single" w:sz="8" w:color="auto"/>
            </w:tcBorders>
          </w:tcPr>
          <w:p>
            <w:pPr>
              <w:spacing w:after="0" w:line="174" w:lineRule="exact"/>
              <w:rPr>
                <w:sz w:val="20"/>
                <w:szCs w:val="20"/>
                <w:color w:val="auto"/>
              </w:rPr>
            </w:pPr>
            <w:r>
              <w:rPr>
                <w:rFonts w:ascii="Times New Roman" w:cs="Times New Roman" w:eastAsia="Times New Roman" w:hAnsi="Times New Roman"/>
                <w:sz w:val="16"/>
                <w:szCs w:val="16"/>
                <w:b w:val="1"/>
                <w:bCs w:val="1"/>
                <w:color w:val="auto"/>
                <w:w w:val="97"/>
              </w:rPr>
              <w:t>Category by Industry Sector</w:t>
            </w:r>
          </w:p>
        </w:tc>
        <w:tc>
          <w:tcPr>
            <w:tcW w:w="76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0"/>
        </w:trPr>
        <w:tc>
          <w:tcPr>
            <w:tcW w:w="19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5495" cy="150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Utilities, energy merchants, marketers and other</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35495" cy="167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as of March 31, 2026</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Times New Roman" w:cs="Times New Roman" w:eastAsia="Times New Roman" w:hAnsi="Times New Roman"/>
          <w:sz w:val="16"/>
          <w:szCs w:val="16"/>
          <w:color w:val="auto"/>
        </w:rPr>
        <w:t>73%</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27</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38735</wp:posOffset>
            </wp:positionV>
            <wp:extent cx="10864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10080" w:space="720"/>
            <w:col w:w="440"/>
          </w:cols>
          <w:pgMar w:left="320" w:top="871" w:right="339" w:bottom="1440" w:gutter="0" w:footer="0" w:header="0"/>
          <w:type w:val="continuous"/>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xml:space="preserve">Net Exposure </w:t>
            </w:r>
            <w:r>
              <w:rPr>
                <w:rFonts w:ascii="Times New Roman" w:cs="Times New Roman" w:eastAsia="Times New Roman" w:hAnsi="Times New Roman"/>
                <w:sz w:val="9"/>
                <w:szCs w:val="9"/>
                <w:b w:val="1"/>
                <w:bCs w:val="1"/>
                <w:color w:val="auto"/>
              </w:rPr>
              <w:t>(a)(b)</w:t>
            </w:r>
          </w:p>
        </w:tc>
      </w:tr>
      <w:tr>
        <w:trPr>
          <w:trHeight w:val="195"/>
        </w:trPr>
        <w:tc>
          <w:tcPr>
            <w:tcW w:w="20" w:type="dxa"/>
            <w:vAlign w:val="bottom"/>
          </w:tcPr>
          <w:p>
            <w:pPr>
              <w:spacing w:after="0"/>
              <w:rPr>
                <w:sz w:val="16"/>
                <w:szCs w:val="16"/>
                <w:color w:val="auto"/>
              </w:rPr>
            </w:pPr>
          </w:p>
        </w:tc>
        <w:tc>
          <w:tcPr>
            <w:tcW w:w="9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Category by Counterparty Credit Quality</w:t>
            </w:r>
          </w:p>
        </w:tc>
        <w:tc>
          <w:tcPr>
            <w:tcW w:w="17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2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grade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4"/>
        </w:trPr>
        <w:tc>
          <w:tcPr>
            <w:tcW w:w="20" w:type="dxa"/>
            <w:vAlign w:val="bottom"/>
            <w:tcBorders>
              <w:bottom w:val="single" w:sz="8" w:color="CCEEFF"/>
            </w:tcBorders>
          </w:tcPr>
          <w:p>
            <w:pPr>
              <w:spacing w:after="0"/>
              <w:rPr>
                <w:sz w:val="19"/>
                <w:szCs w:val="19"/>
                <w:color w:val="auto"/>
              </w:rPr>
            </w:pPr>
          </w:p>
        </w:tc>
        <w:tc>
          <w:tcPr>
            <w:tcW w:w="9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Non-investment grade/Non-Rated</w:t>
            </w:r>
          </w:p>
        </w:tc>
        <w:tc>
          <w:tcPr>
            <w:tcW w:w="17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30</w:t>
            </w: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9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 of March 31, 2026</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credit exposure excludes coal transportation contracts because of the unavailability of market prices</w:t>
      </w:r>
    </w:p>
    <w:p>
      <w:pPr>
        <w:spacing w:after="0" w:line="2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figures in the tables above exclude potential counterparty credit exposure related to RTOs, ISOs, registered commodity exchanges and certain long-term contracts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28" w:name="page29"/>
    <w:bookmarkEnd w:id="28"/>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had no exposure to wholesale counterparties in excess of 10% of total Net Exposure as of March 31, 2026. Changes in hedge positions and market prices will affect credit exposure and counterparty concentration.</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RTOs and ISOs</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 participates in the organized markets of CAISO, ERCOT, AESO, IESO, ISO-NE, MISO, NYISO and PJM, known as RTOs or ISOs. Trading in the majority of these markets is approved by FERC, whereas in the case of ERCOT, it is approved by the PUCT, and whereas in the case of AESO and IESO, both exist provincially with AESO primarily subject to Alberta Utilities Commission and the IESO to the Ontario Energy Board. These ISOs may include credit policies that, under certain circumstances, require that losses arising from the default of one member on spot market transactions be shared by the remaining participants. As a result, the counterparty credit risk to these markets is limited to NRG’s share of the overall market and are excluded from the above exposures.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Exchange Traded Transactions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enters into commodity transactions on registered exchanges, notably ICE, NYMEX and Nodal. These clearinghouses act as the counterparty and transactions are subject to extensive collateral and margining requirements. As a result, these commodity transactions have limited counterparty credit risk.</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Long-Term Contracts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Counterparty credit exposure described above excludes credit risk exposure under certain long-term contracts, primarily solar under Renewable PPAs. As external sources or observable market quotes are not always available to estimate such exposure, the Company values these contracts based on various techniques including, but not limited to, internal models based on a fundamental analysis of the market and extrapolation of observable market data with similar characteristics. Based on these valuation techniques, as of March 31, 2026, aggregate credit risk exposure managed by NRG to these counterparties was approximately $679 million for the next five years.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Retail Customer Credit Risk</w:t>
      </w:r>
    </w:p>
    <w:p>
      <w:pPr>
        <w:spacing w:after="0" w:line="11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The Company is exposed to retail credit risk through the Company’s retail electricity and gas providers as well as through Vivint Smart Home, which serve both Home and Business customers. Retail credit risk results in losses when a customer fails to pay for services rendered. The losses may result from both non-payment of customer accounts receivable and the loss of in-the-money forward value. The Company manages retail credit risk by using established credit policies, which include monitoring of the portfolio and the use of credit mitigation measures such as deposits or prepayment arrangements.</w:t>
      </w:r>
    </w:p>
    <w:p>
      <w:pPr>
        <w:spacing w:after="0" w:line="4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March 31, 2026, the Company’s retail customer credit exposure to Home and Business customers was diversified across many customers and various industries, as well as government entities. Current economic conditions may affect the Company’s customers’ ability to pay their bills in a timely manner or at all, which could increase customer delinquencies and may lead to an increase in credit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w:t>
      </w:r>
      <w:r>
        <w:rPr>
          <w:rFonts w:ascii="Times New Roman" w:cs="Times New Roman" w:eastAsia="Times New Roman" w:hAnsi="Times New Roman"/>
          <w:sz w:val="18"/>
          <w:szCs w:val="18"/>
          <w:b w:val="1"/>
          <w:bCs w:val="1"/>
          <w:i w:val="1"/>
          <w:iCs w:val="1"/>
          <w:color w:val="auto"/>
        </w:rPr>
        <w:t>Accounting for Derivative Instruments and Hedging Activities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Commodities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March 31, 2026, NRG had energy-related derivative instruments extending through 2036. The Company marks these derivatives to market through the consolidated statement of operations. NRG has executed energy-related contracts extending through 2037 that qualified for the NPNS exception and were therefore exempt from fair value accounting treatment.</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Derivatives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 is exposed to changes in interest rates through the Company’s issuance of debt. To mitigate the Company’s interest rate risk, NRG enters into interest rate derivatives, including swaps and treasury locks. As of March 31, 2026, the Company had $700 million of interest rate swaps extending through 2029 to mitigate the risk of the floating rate of the Term Loan B. In February 2026, the Company entered into treasury locks with a total notional amount of $800 million which were fully terminated in March 2026.</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Contracts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NRG is exposed to changes in foreign currency primarily associated with the purchase of U.S. dollar denominated natural gas for its Canadian business. To manage the Company’s foreign exchange risk, NRG entered into foreign exchange contracts. As of March 31, 2026, NRG had foreign exchange contracts extending through 2029. The Company marks these derivatives to market through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Consumer Financing Program</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Under the Consumer Financing Program, Vivint Smart Home pays a monthly fee to financing providers based on either the average daily outstanding balance of the loans or the number of outstanding loans. For certain loans, Vivint Smart Home incurs fees at the time of the loan origination and receives proceeds that are net of these fees. Vivint Smart Home also shares the liability for credit losses, depending on the credit quality of the customer. Due to the nature of certain provisions under the Consumer Financing Program, the Company records a derivative liability that is not designated as a hedging instrument and is adjusted to fair value, measured using the present value of the estimated future payments. Changes to the fair value are recorded through other income, net in the consolidated statement of operations. The following represent the contractual future payment obligations with the financing providers under the Consumer Financing Program that are components of the derivative:</w:t>
      </w:r>
    </w:p>
    <w:p>
      <w:pPr>
        <w:spacing w:after="0" w:line="82" w:lineRule="exact"/>
        <w:rPr>
          <w:sz w:val="20"/>
          <w:szCs w:val="20"/>
          <w:color w:val="auto"/>
        </w:rPr>
      </w:pPr>
    </w:p>
    <w:p>
      <w:pPr>
        <w:ind w:left="640" w:hanging="240"/>
        <w:spacing w:after="0" w:line="254" w:lineRule="auto"/>
        <w:tabs>
          <w:tab w:leader="none" w:pos="7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Vivint Smart Home pays either a monthly fee based on the average daily outstanding balance of the loans, or the number of outstanding loans, depending on the financing provider;</w:t>
      </w:r>
    </w:p>
    <w:p>
      <w:pPr>
        <w:ind w:left="640" w:hanging="24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Vivint Smart Home shares the liability for credit losses depending on the credit quality of the customer; and</w:t>
      </w:r>
    </w:p>
    <w:p>
      <w:pPr>
        <w:spacing w:after="0" w:line="3"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Vivint Smart Home pays transactional fees associated with customer payment processing.</w:t>
      </w:r>
    </w:p>
    <w:p>
      <w:pPr>
        <w:spacing w:after="0" w:line="9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derivative is classified as a Level 3 instrument. The derivative positions are valued using a discounted cash flow model, with inputs consisting of available market data, such as market yield discount rates, as well as unobservable internally derived assumptions, such as collateral prepayment rates, collateral default rates and credit loss rates. In summary, the fair value represents an estimate of the present value of the cash flows Vivint Smart Home will be obligated to pay to the financing providers for each component of the derivative.</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 summarizes the net notional volume buy/(sell) of NRG’s open derivative transactions broken out by category, excluding those derivatives that qualified for the NPNS exception, as of March 31, 2026 and December 31, 2025. Option contracts are reflected using delta volume. Delta volume equals the notional volume of an option adjusted for the probability that the option will be in-the-money at its expiration date.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500" w:type="dxa"/>
            <w:vAlign w:val="bottom"/>
            <w:gridSpan w:val="3"/>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Total Volume (In millions)</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08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38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vMerge w:val="continue"/>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2380" w:type="dxa"/>
            <w:vAlign w:val="bottom"/>
          </w:tcPr>
          <w:p>
            <w:pPr>
              <w:spacing w:after="0"/>
              <w:rPr>
                <w:sz w:val="11"/>
                <w:szCs w:val="11"/>
                <w:color w:val="auto"/>
              </w:rPr>
            </w:pPr>
          </w:p>
        </w:tc>
        <w:tc>
          <w:tcPr>
            <w:tcW w:w="1880" w:type="dxa"/>
            <w:vAlign w:val="bottom"/>
            <w:gridSpan w:val="2"/>
          </w:tcPr>
          <w:p>
            <w:pPr>
              <w:ind w:left="420"/>
              <w:spacing w:after="0" w:line="138"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620" w:type="dxa"/>
            <w:vAlign w:val="bottom"/>
          </w:tcPr>
          <w:p>
            <w:pPr>
              <w:jc w:val="right"/>
              <w:ind w:right="154"/>
              <w:spacing w:after="0" w:line="138"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560" w:type="dxa"/>
            <w:vAlign w:val="bottom"/>
            <w:tcBorders>
              <w:top w:val="single" w:sz="8" w:color="auto"/>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Emissions</w:t>
            </w:r>
          </w:p>
        </w:tc>
        <w:tc>
          <w:tcPr>
            <w:tcW w:w="20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Short Ton</w:t>
            </w:r>
          </w:p>
        </w:tc>
        <w:tc>
          <w:tcPr>
            <w:tcW w:w="2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Renewable Energy Certificates</w:t>
            </w:r>
          </w:p>
        </w:tc>
        <w:tc>
          <w:tcPr>
            <w:tcW w:w="208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Certificates</w:t>
            </w:r>
          </w:p>
        </w:tc>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Coal</w:t>
            </w:r>
          </w:p>
        </w:tc>
        <w:tc>
          <w:tcPr>
            <w:tcW w:w="20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Short Ton</w:t>
            </w:r>
          </w:p>
        </w:tc>
        <w:tc>
          <w:tcPr>
            <w:tcW w:w="4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Natural Gas</w:t>
            </w:r>
          </w:p>
        </w:tc>
        <w:tc>
          <w:tcPr>
            <w:tcW w:w="208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MMBtu</w:t>
            </w:r>
          </w:p>
        </w:tc>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w:t>
            </w:r>
          </w:p>
        </w:tc>
        <w:tc>
          <w:tcPr>
            <w:tcW w:w="20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MWh</w:t>
            </w:r>
          </w:p>
        </w:tc>
        <w:tc>
          <w:tcPr>
            <w:tcW w:w="4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208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Dollars</w:t>
            </w:r>
          </w:p>
        </w:tc>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0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Dollars</w:t>
            </w:r>
          </w:p>
        </w:tc>
        <w:tc>
          <w:tcPr>
            <w:tcW w:w="4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Financing Program</w:t>
            </w:r>
          </w:p>
        </w:tc>
        <w:tc>
          <w:tcPr>
            <w:tcW w:w="208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Dollars</w:t>
            </w:r>
          </w:p>
        </w:tc>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83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80" w:type="dxa"/>
            <w:vAlign w:val="bottom"/>
          </w:tcPr>
          <w:p>
            <w:pPr>
              <w:jc w:val="right"/>
              <w:ind w:right="1932"/>
              <w:spacing w:after="0"/>
              <w:rPr>
                <w:sz w:val="20"/>
                <w:szCs w:val="20"/>
                <w:color w:val="auto"/>
              </w:rPr>
            </w:pPr>
            <w:r>
              <w:rPr>
                <w:rFonts w:ascii="Times New Roman" w:cs="Times New Roman" w:eastAsia="Times New Roman" w:hAnsi="Times New Roman"/>
                <w:sz w:val="18"/>
                <w:szCs w:val="18"/>
                <w:color w:val="auto"/>
              </w:rPr>
              <w:t>30</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balance sheets: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280" w:type="dxa"/>
            <w:vAlign w:val="bottom"/>
          </w:tcPr>
          <w:p>
            <w:pPr>
              <w:spacing w:after="0"/>
              <w:rPr>
                <w:sz w:val="15"/>
                <w:szCs w:val="15"/>
                <w:color w:val="auto"/>
              </w:rPr>
            </w:pPr>
          </w:p>
        </w:tc>
        <w:tc>
          <w:tcPr>
            <w:tcW w:w="2880" w:type="dxa"/>
            <w:vAlign w:val="bottom"/>
            <w:gridSpan w:val="4"/>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0" w:type="dxa"/>
            <w:vAlign w:val="bottom"/>
          </w:tcPr>
          <w:p>
            <w:pPr>
              <w:spacing w:after="0"/>
              <w:rPr>
                <w:sz w:val="1"/>
                <w:szCs w:val="1"/>
                <w:color w:val="auto"/>
              </w:rPr>
            </w:pPr>
          </w:p>
        </w:tc>
      </w:tr>
      <w:tr>
        <w:trPr>
          <w:trHeight w:val="19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57"/>
        </w:trPr>
        <w:tc>
          <w:tcPr>
            <w:tcW w:w="480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Derivatives Not Designated as Cash Flow or Fair Value</w:t>
            </w:r>
          </w:p>
        </w:tc>
        <w:tc>
          <w:tcPr>
            <w:tcW w:w="2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 current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 long-term</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current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long-term</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 - current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 - long-term</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24"/>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Financing Program - current</w:t>
            </w: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Financing Program - long-term</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7"/>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Derivatives Not Designated as Cash Flow or Fair Value Hedges</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gains/losses on NPNS contracts - current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4"/>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gains/losses on NPNS contracts - long-term</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b w:val="1"/>
                <w:bCs w:val="1"/>
                <w:color w:val="auto"/>
              </w:rPr>
              <w:t>Deferred gains/losses on NPNS contracts</w:t>
            </w:r>
            <w:r>
              <w:rPr>
                <w:rFonts w:ascii="Times New Roman" w:cs="Times New Roman" w:eastAsia="Times New Roman" w:hAnsi="Times New Roman"/>
                <w:sz w:val="22"/>
                <w:szCs w:val="22"/>
                <w:b w:val="1"/>
                <w:bCs w:val="1"/>
                <w:color w:val="auto"/>
                <w:vertAlign w:val="superscript"/>
              </w:rPr>
              <w:t>(a)</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51"/>
        </w:trPr>
        <w:tc>
          <w:tcPr>
            <w:tcW w:w="480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Total Derivatives Not Designated as Cash Flow or Fair Value</w:t>
            </w: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Pr>
          <w:p>
            <w:pPr>
              <w:spacing w:after="0"/>
              <w:rPr>
                <w:sz w:val="13"/>
                <w:szCs w:val="13"/>
                <w:color w:val="auto"/>
              </w:rPr>
            </w:pPr>
          </w:p>
        </w:tc>
        <w:tc>
          <w:tcPr>
            <w:tcW w:w="2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2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line="268" w:lineRule="auto"/>
        <w:tabs>
          <w:tab w:leader="none" w:pos="31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related to certain derivative contracts that were accounted for as derivative contracts prior to the election of the NPNS exemption on October 1, 2024 and the discontinuance of derivative accounting treatment as of the election date</w:t>
      </w:r>
    </w:p>
    <w:p>
      <w:pPr>
        <w:spacing w:after="0" w:line="13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consolidated balance sheet on a trade-by-trade basis and does not offset amounts at the counterparty master agreement level. In addition, collateral received or paid on the Company’s derivative assets or liabilities are recorded on a separate line item on the consolidated balance sheet. The following table summarizes the offsetting of derivatives by counterparty master agreement level and collateral received or paid: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0" w:type="dxa"/>
            <w:vAlign w:val="bottom"/>
            <w:gridSpan w:val="9"/>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w w:val="99"/>
              </w:rPr>
              <w:t>Gross Amounts of</w:t>
            </w: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Recognized Assets /</w:t>
            </w:r>
          </w:p>
        </w:tc>
        <w:tc>
          <w:tcPr>
            <w:tcW w:w="1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0"/>
        </w:trPr>
        <w:tc>
          <w:tcPr>
            <w:tcW w:w="4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(Held)/Posted</w:t>
            </w:r>
          </w:p>
        </w:tc>
        <w:tc>
          <w:tcPr>
            <w:tcW w:w="3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4"/>
        </w:trPr>
        <w:tc>
          <w:tcPr>
            <w:tcW w:w="46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Foreign exchange contracts:</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4"/>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foreign exchange contracts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4"/>
        </w:trPr>
        <w:tc>
          <w:tcPr>
            <w:tcW w:w="46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Commodity contracts:</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04"/>
        </w:trPr>
        <w:tc>
          <w:tcPr>
            <w:tcW w:w="46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Consumer Financing Program:</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0" w:type="dxa"/>
            <w:vAlign w:val="bottom"/>
            <w:gridSpan w:val="9"/>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w w:val="99"/>
              </w:rPr>
              <w:t>Gross Amounts of</w:t>
            </w: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Recognized Assets /</w:t>
            </w:r>
          </w:p>
        </w:tc>
        <w:tc>
          <w:tcPr>
            <w:tcW w:w="1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4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(Held)/Posted</w:t>
            </w:r>
          </w:p>
        </w:tc>
        <w:tc>
          <w:tcPr>
            <w:tcW w:w="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exchange contracts: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7"/>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foreign exchange contracts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46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Commodity contracts:</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04"/>
        </w:trPr>
        <w:tc>
          <w:tcPr>
            <w:tcW w:w="46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Consumer Financing Program:</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Statements of Operations</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Unrealized gains and losses associated with changes in the fair value of derivative instruments not accounted for as cash flow and fair value hedges are reflected in current period results of operations.</w:t>
      </w:r>
    </w:p>
    <w:p>
      <w:pPr>
        <w:spacing w:after="0" w:line="6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following table summarizes the pre-tax effects of economic hedges that have not been designated as cash flow hedges or fair value hedges and trading activity on the Company’s consolidated statement of operations. The effect of foreign exchange and commodity hedges are included within revenues and cost of operations. The effect of the interest rate contracts are included within interest expense. The effect of the Consumer Financing Program is included in other income, net.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252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mark-to-market results</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44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Reversal of previously recognized unrealized gains on settled positions related to economic hedges</w:t>
            </w:r>
            <w:r>
              <w:rPr>
                <w:rFonts w:ascii="Times New Roman" w:cs="Times New Roman" w:eastAsia="Times New Roman" w:hAnsi="Times New Roman"/>
                <w:sz w:val="22"/>
                <w:szCs w:val="22"/>
                <w:color w:val="auto"/>
                <w:vertAlign w:val="superscript"/>
              </w:rPr>
              <w:t>(a)</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 of acquired loss/(gain) positions related to economic hedges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(losses)/gains on open positions related to economic hedges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7"/>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unrealized mark-to-market (losses)/gains for economic hedging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Reversal of previously recognized unrealized gains on settled positions related to trading activity</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losses on open positions related to trading activity</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unrealized mark-to-market losses for trading activity</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7"/>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unrealized (losses)/gains - commodities and foreign exchange</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20" w:hanging="315"/>
        <w:spacing w:after="0" w:line="287" w:lineRule="auto"/>
        <w:tabs>
          <w:tab w:leader="none" w:pos="31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2026 and 2025, includes $(51) million and $(83) million, respectively, related to derivative contracts that were elected as NPNS on October 1, 2024 and are no longer valued at fair value on a recurring basis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impact to statement of operations - interest rate contracts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7"/>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losses included in revenues - commodities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(losses)/gains included in cost of operations - commodities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4"/>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gains/(losses) included in cost of operations - foreign exchange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impact to statement of operations - commodities and foreign exchange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7"/>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impact to statement of operations - Consumer Financing Program</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940"/>
        </w:trPr>
        <w:tc>
          <w:tcPr>
            <w:tcW w:w="84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2" w:name="page33"/>
    <w:bookmarkEnd w:id="32"/>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reversals of acquired loss/(gain) positions were valued based upon the forward prices on the acquisition date. The roll-off amounts were offset by realized gains or losses at the settled prices and are reflected in revenue or cost of operations during the same period.</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2026, the $181 million unrealized loss from open economic hedge positions was primarily the result of a decrease in the value of forward positions as a result of decreases in natural gas prices and CAISO and Alberta power prices.</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2025, the $553 million unrealized gain from open economic hedge positions was primarily the result of an increase in the value of forward positions as a result of increases in natural gas prices and ERCOT and East power prices.</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Credit Risk Related Contingent Features</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Certain of the Company’s trading agreements contain provisions that entitle the counterparty to demand that the Company post additional collateral if the counterparty determines that there has been deterioration in the Company’s credit quality, generally termed “adequate assurance” under the agreements, or require the Company to post additional collateral if there were a downgrade in the Company’s credit rating. The collateral potentially required for all contracts with adequate assurance clauses that were in a net liability position as of March 31, 2026 was $694 million. The Company is also party to certain marginable agreements under which it has a net liability position, but the counterparty has not called for the collateral due, which was approximately $238 million as of March 31, 2026. In the event of a downgrade in the Company’s credit rating and if called for by the counterparty, $61 million of additional collateral would be required for all contracts with credit rating contingent features as of March 31, 2026.</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 xml:space="preserve">Note 7 — </w:t>
      </w:r>
      <w:r>
        <w:rPr>
          <w:rFonts w:ascii="Times New Roman" w:cs="Times New Roman" w:eastAsia="Times New Roman" w:hAnsi="Times New Roman"/>
          <w:sz w:val="18"/>
          <w:szCs w:val="18"/>
          <w:b w:val="1"/>
          <w:bCs w:val="1"/>
          <w:i w:val="1"/>
          <w:iCs w:val="1"/>
          <w:color w:val="auto"/>
        </w:rPr>
        <w:t>Long-term Debt and Finance Leases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Long-term debt and finance leases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rates)</w:t>
            </w:r>
          </w:p>
        </w:tc>
        <w:tc>
          <w:tcPr>
            <w:tcW w:w="28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74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Interest rate %</w:t>
            </w:r>
          </w:p>
        </w:tc>
        <w:tc>
          <w:tcPr>
            <w:tcW w:w="0" w:type="dxa"/>
            <w:vAlign w:val="bottom"/>
          </w:tcPr>
          <w:p>
            <w:pPr>
              <w:spacing w:after="0"/>
              <w:rPr>
                <w:sz w:val="1"/>
                <w:szCs w:val="1"/>
                <w:color w:val="auto"/>
              </w:rPr>
            </w:pPr>
          </w:p>
        </w:tc>
      </w:tr>
      <w:tr>
        <w:trPr>
          <w:trHeight w:val="206"/>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Recourse debt:</w:t>
            </w:r>
          </w:p>
        </w:tc>
        <w:tc>
          <w:tcPr>
            <w:tcW w:w="2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2028</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3"/>
              </w:rPr>
              <w:t>5.750</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2029</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3"/>
              </w:rPr>
              <w:t>5.250</w:t>
            </w:r>
          </w:p>
        </w:tc>
        <w:tc>
          <w:tcPr>
            <w:tcW w:w="0" w:type="dxa"/>
            <w:vAlign w:val="bottom"/>
          </w:tcPr>
          <w:p>
            <w:pPr>
              <w:spacing w:after="0"/>
              <w:rPr>
                <w:sz w:val="1"/>
                <w:szCs w:val="1"/>
                <w:color w:val="auto"/>
              </w:rPr>
            </w:pPr>
          </w:p>
        </w:tc>
      </w:tr>
      <w:tr>
        <w:trPr>
          <w:trHeight w:val="22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2029</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3"/>
              </w:rPr>
              <w:t>3.375</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2029</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3"/>
              </w:rPr>
              <w:t>5.750</w:t>
            </w:r>
          </w:p>
        </w:tc>
        <w:tc>
          <w:tcPr>
            <w:tcW w:w="0" w:type="dxa"/>
            <w:vAlign w:val="bottom"/>
          </w:tcPr>
          <w:p>
            <w:pPr>
              <w:spacing w:after="0"/>
              <w:rPr>
                <w:sz w:val="1"/>
                <w:szCs w:val="1"/>
                <w:color w:val="auto"/>
              </w:rPr>
            </w:pPr>
          </w:p>
        </w:tc>
      </w:tr>
      <w:tr>
        <w:trPr>
          <w:trHeight w:val="22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2031</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3"/>
              </w:rPr>
              <w:t>3.625</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2032</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3"/>
              </w:rPr>
              <w:t>3.875</w:t>
            </w:r>
          </w:p>
        </w:tc>
        <w:tc>
          <w:tcPr>
            <w:tcW w:w="0" w:type="dxa"/>
            <w:vAlign w:val="bottom"/>
          </w:tcPr>
          <w:p>
            <w:pPr>
              <w:spacing w:after="0"/>
              <w:rPr>
                <w:sz w:val="1"/>
                <w:szCs w:val="1"/>
                <w:color w:val="auto"/>
              </w:rPr>
            </w:pPr>
          </w:p>
        </w:tc>
      </w:tr>
      <w:tr>
        <w:trPr>
          <w:trHeight w:val="22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2033</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3"/>
              </w:rPr>
              <w:t>6.000</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2034</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3"/>
              </w:rPr>
              <w:t>6.250</w:t>
            </w:r>
          </w:p>
        </w:tc>
        <w:tc>
          <w:tcPr>
            <w:tcW w:w="0" w:type="dxa"/>
            <w:vAlign w:val="bottom"/>
          </w:tcPr>
          <w:p>
            <w:pPr>
              <w:spacing w:after="0"/>
              <w:rPr>
                <w:sz w:val="1"/>
                <w:szCs w:val="1"/>
                <w:color w:val="auto"/>
              </w:rPr>
            </w:pPr>
          </w:p>
        </w:tc>
      </w:tr>
      <w:tr>
        <w:trPr>
          <w:trHeight w:val="22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2034</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3"/>
              </w:rPr>
              <w:t>5.750</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2036</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0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3"/>
              </w:rPr>
              <w:t>6.000</w:t>
            </w:r>
          </w:p>
        </w:tc>
        <w:tc>
          <w:tcPr>
            <w:tcW w:w="0" w:type="dxa"/>
            <w:vAlign w:val="bottom"/>
          </w:tcPr>
          <w:p>
            <w:pPr>
              <w:spacing w:after="0"/>
              <w:rPr>
                <w:sz w:val="1"/>
                <w:szCs w:val="1"/>
                <w:color w:val="auto"/>
              </w:rPr>
            </w:pPr>
          </w:p>
        </w:tc>
      </w:tr>
      <w:tr>
        <w:trPr>
          <w:trHeight w:val="22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Secured First Lien Notes, due 2027</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3"/>
              </w:rPr>
              <w:t>2.450</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Secured First Lien Notes, due 2029</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3"/>
              </w:rPr>
              <w:t>4.450</w:t>
            </w:r>
          </w:p>
        </w:tc>
        <w:tc>
          <w:tcPr>
            <w:tcW w:w="0" w:type="dxa"/>
            <w:vAlign w:val="bottom"/>
          </w:tcPr>
          <w:p>
            <w:pPr>
              <w:spacing w:after="0"/>
              <w:rPr>
                <w:sz w:val="1"/>
                <w:szCs w:val="1"/>
                <w:color w:val="auto"/>
              </w:rPr>
            </w:pPr>
          </w:p>
        </w:tc>
      </w:tr>
      <w:tr>
        <w:trPr>
          <w:trHeight w:val="22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Secured First Lien Notes, due 2030</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3"/>
              </w:rPr>
              <w:t>4.734</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Secured First Lien Notes, due 2033</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3"/>
              </w:rPr>
              <w:t>7.000</w:t>
            </w:r>
          </w:p>
        </w:tc>
        <w:tc>
          <w:tcPr>
            <w:tcW w:w="0" w:type="dxa"/>
            <w:vAlign w:val="bottom"/>
          </w:tcPr>
          <w:p>
            <w:pPr>
              <w:spacing w:after="0"/>
              <w:rPr>
                <w:sz w:val="1"/>
                <w:szCs w:val="1"/>
                <w:color w:val="auto"/>
              </w:rPr>
            </w:pPr>
          </w:p>
        </w:tc>
      </w:tr>
      <w:tr>
        <w:trPr>
          <w:trHeight w:val="22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Secured First Lien Notes, due 2035</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3"/>
              </w:rPr>
              <w:t>5.407</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Facility, due 2026</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SOFR + 0.775</w:t>
            </w:r>
          </w:p>
        </w:tc>
        <w:tc>
          <w:tcPr>
            <w:tcW w:w="0" w:type="dxa"/>
            <w:vAlign w:val="bottom"/>
          </w:tcPr>
          <w:p>
            <w:pPr>
              <w:spacing w:after="0"/>
              <w:rPr>
                <w:sz w:val="1"/>
                <w:szCs w:val="1"/>
                <w:color w:val="auto"/>
              </w:rPr>
            </w:pPr>
          </w:p>
        </w:tc>
      </w:tr>
      <w:tr>
        <w:trPr>
          <w:trHeight w:val="22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SOFR + 1.720</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Term Loan B, due 2031</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SOFR + 1.750</w:t>
            </w:r>
          </w:p>
        </w:tc>
        <w:tc>
          <w:tcPr>
            <w:tcW w:w="0" w:type="dxa"/>
            <w:vAlign w:val="bottom"/>
          </w:tcPr>
          <w:p>
            <w:pPr>
              <w:spacing w:after="0"/>
              <w:rPr>
                <w:sz w:val="1"/>
                <w:szCs w:val="1"/>
                <w:color w:val="auto"/>
              </w:rPr>
            </w:pPr>
          </w:p>
        </w:tc>
      </w:tr>
      <w:tr>
        <w:trPr>
          <w:trHeight w:val="22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Tax-exempt bonds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4.000 - 4.750</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 Wharton TEF loan, due 2045</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3"/>
              </w:rPr>
              <w:t>3.000</w:t>
            </w:r>
          </w:p>
        </w:tc>
        <w:tc>
          <w:tcPr>
            <w:tcW w:w="0" w:type="dxa"/>
            <w:vAlign w:val="bottom"/>
          </w:tcPr>
          <w:p>
            <w:pPr>
              <w:spacing w:after="0"/>
              <w:rPr>
                <w:sz w:val="1"/>
                <w:szCs w:val="1"/>
                <w:color w:val="auto"/>
              </w:rPr>
            </w:pPr>
          </w:p>
        </w:tc>
      </w:tr>
      <w:tr>
        <w:trPr>
          <w:trHeight w:val="22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Cedar Bayou 5 TEF loan, due 2045</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3"/>
              </w:rPr>
              <w:t>3.000</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Greens Bayou 6 TEF loan, due 2045</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3"/>
              </w:rPr>
              <w:t>3.000</w:t>
            </w:r>
          </w:p>
        </w:tc>
        <w:tc>
          <w:tcPr>
            <w:tcW w:w="0" w:type="dxa"/>
            <w:vAlign w:val="bottom"/>
          </w:tcPr>
          <w:p>
            <w:pPr>
              <w:spacing w:after="0"/>
              <w:rPr>
                <w:sz w:val="1"/>
                <w:szCs w:val="1"/>
                <w:color w:val="auto"/>
              </w:rPr>
            </w:pPr>
          </w:p>
        </w:tc>
      </w:tr>
      <w:tr>
        <w:trPr>
          <w:trHeight w:val="217"/>
        </w:trPr>
        <w:tc>
          <w:tcPr>
            <w:tcW w:w="51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Subtotal recourse debt</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16,576</w:t>
            </w: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Non-recourse debt:</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Lightning Term Loan, due 2031</w:t>
            </w:r>
          </w:p>
        </w:tc>
        <w:tc>
          <w:tcPr>
            <w:tcW w:w="280" w:type="dxa"/>
            <w:vAlign w:val="bottom"/>
          </w:tcPr>
          <w:p>
            <w:pPr>
              <w:spacing w:after="0"/>
              <w:rPr>
                <w:sz w:val="19"/>
                <w:szCs w:val="19"/>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SOFR + 2.250</w:t>
            </w:r>
          </w:p>
        </w:tc>
        <w:tc>
          <w:tcPr>
            <w:tcW w:w="0" w:type="dxa"/>
            <w:vAlign w:val="bottom"/>
          </w:tcPr>
          <w:p>
            <w:pPr>
              <w:spacing w:after="0"/>
              <w:rPr>
                <w:sz w:val="1"/>
                <w:szCs w:val="1"/>
                <w:color w:val="auto"/>
              </w:rPr>
            </w:pPr>
          </w:p>
        </w:tc>
      </w:tr>
      <w:tr>
        <w:trPr>
          <w:trHeight w:val="100"/>
        </w:trPr>
        <w:tc>
          <w:tcPr>
            <w:tcW w:w="5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Lightning Senior Secured Notes, due 2032</w:t>
            </w:r>
          </w:p>
        </w:tc>
        <w:tc>
          <w:tcPr>
            <w:tcW w:w="280" w:type="dxa"/>
            <w:vAlign w:val="bottom"/>
            <w:shd w:val="clear" w:color="auto" w:fill="CCEEFF"/>
          </w:tcPr>
          <w:p>
            <w:pPr>
              <w:spacing w:after="0"/>
              <w:rPr>
                <w:sz w:val="19"/>
                <w:szCs w:val="19"/>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vMerge w:val="restart"/>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3"/>
              </w:rPr>
              <w:t>7.250</w:t>
            </w:r>
          </w:p>
        </w:tc>
        <w:tc>
          <w:tcPr>
            <w:tcW w:w="0" w:type="dxa"/>
            <w:vAlign w:val="bottom"/>
          </w:tcPr>
          <w:p>
            <w:pPr>
              <w:spacing w:after="0"/>
              <w:rPr>
                <w:sz w:val="1"/>
                <w:szCs w:val="1"/>
                <w:color w:val="auto"/>
              </w:rPr>
            </w:pPr>
          </w:p>
        </w:tc>
      </w:tr>
      <w:tr>
        <w:trPr>
          <w:trHeight w:val="101"/>
        </w:trPr>
        <w:tc>
          <w:tcPr>
            <w:tcW w:w="5120" w:type="dxa"/>
            <w:vAlign w:val="bottom"/>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16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740" w:type="dxa"/>
            <w:vAlign w:val="bottom"/>
            <w:tcBorders>
              <w:bottom w:val="single" w:sz="8" w:color="auto"/>
            </w:tcBorders>
            <w:vMerge w:val="continue"/>
            <w:shd w:val="clear" w:color="auto" w:fill="CCEEFF"/>
          </w:tcPr>
          <w:p>
            <w:pPr>
              <w:spacing w:after="0"/>
              <w:rPr>
                <w:sz w:val="8"/>
                <w:szCs w:val="8"/>
                <w:color w:val="auto"/>
              </w:rPr>
            </w:pPr>
          </w:p>
        </w:tc>
        <w:tc>
          <w:tcPr>
            <w:tcW w:w="208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51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Subtotal all Lightning non-recourse debt</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Subtotal long-term debt (including current maturities)</w:t>
            </w: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16,576</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0" w:type="dxa"/>
            <w:vAlign w:val="bottom"/>
          </w:tcPr>
          <w:p>
            <w:pPr>
              <w:spacing w:after="0"/>
              <w:rPr>
                <w:sz w:val="1"/>
                <w:szCs w:val="1"/>
                <w:color w:val="auto"/>
              </w:rPr>
            </w:pPr>
          </w:p>
        </w:tc>
      </w:tr>
      <w:tr>
        <w:trPr>
          <w:trHeight w:val="151"/>
        </w:trPr>
        <w:tc>
          <w:tcPr>
            <w:tcW w:w="5120" w:type="dxa"/>
            <w:vAlign w:val="bottom"/>
            <w:shd w:val="clear" w:color="auto" w:fill="CCEEFF"/>
          </w:tcPr>
          <w:p>
            <w:pPr>
              <w:ind w:left="660"/>
              <w:spacing w:after="0" w:line="152" w:lineRule="exact"/>
              <w:rPr>
                <w:sz w:val="20"/>
                <w:szCs w:val="20"/>
                <w:color w:val="auto"/>
              </w:rPr>
            </w:pPr>
            <w:r>
              <w:rPr>
                <w:rFonts w:ascii="Times New Roman" w:cs="Times New Roman" w:eastAsia="Times New Roman" w:hAnsi="Times New Roman"/>
                <w:sz w:val="16"/>
                <w:szCs w:val="16"/>
                <w:color w:val="auto"/>
              </w:rPr>
              <w:t>Subtotal long-term debt and finance leases (including current</w:t>
            </w:r>
          </w:p>
        </w:tc>
        <w:tc>
          <w:tcPr>
            <w:tcW w:w="2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maturities)</w:t>
            </w:r>
          </w:p>
        </w:tc>
        <w:tc>
          <w:tcPr>
            <w:tcW w:w="28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Less current maturities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Premiums/(discounts), net</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1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long-term debt and finance leases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Recourse Debt</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Term Loan B Incurrence</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April 28, 2026, the Company and APX Group LLC, as borrowers, and certain of the Company’s subsidiaries, as guarantors, entered into the Sixteenth Amendment to the Second Amended and Restated Credit Agreement (the “Sixteenth Amendment”), dated of June 30, 2016, with, among others, Citicorp North America, Inc., as administrative agent and as collateral agent, and certain financial institutions, as lenders (as amended, restated, supplemented and/or otherwise modified from time to time, the “Credit Agreement”), in order to (i) establish new term loans in aggregate principal amount of $900 million (the “Incremental Term Loans”), and (ii) make certain modifications to the Credit Agreement in connection therewith. The Incremental Term Loans constitute a new and separate class of term loans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i w:val="1"/>
          <w:iCs w:val="1"/>
          <w:color w:val="auto"/>
        </w:rPr>
        <w:t>Issuance of Unsecured Notes and Secured Notes</w:t>
      </w:r>
    </w:p>
    <w:p>
      <w:pPr>
        <w:spacing w:after="0" w:line="111"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On April 28, 2026, the Company issued $2.1 billion in aggregate principal amount of senior unsecured notes consisting of (i) $1.05 billion aggregate principal amount of 5.875% senior notes due 2034 (the “New 2034 Notes”) and (ii) $1.05 billion aggregate principal amount of 6.125% senior notes due 2036 (the “New 2036 Notes” and, together with the New 2034 Notes, the “New Unsecured Notes”). The New Unsecured Notes are senior unsecured obligations of the Company and are guaranteed by its wholly-owned U.S. subsidiaries that guarantee the loans under the Senior Credit Facility. The New 2034 Notes will mature on May 15, 2034. Interest on the New 2034 Notes will be paid semi-annually on May 15 and November 15 of each year commencing on November 15, 2026. The New 2036 Notes will mature on May 15, 2036. Interest on the New 2036 Notes will be paid semi-annually commencing on November 15, 2026.</w:t>
      </w:r>
    </w:p>
    <w:p>
      <w:pPr>
        <w:spacing w:after="0" w:line="5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April 28, 2026, the Company also issued $500 million aggregate principal amount of 4.955% senior secured first lien notes due 2031 (the “New 2031 Notes”). The New 2031 Notes are senior secured obligations of the Company and are guaranteed by its wholly-owned U.S. subsidiaries that guarantee the loans under the Senior Credit Facility. The New 2031 Notes are secured by a first priority security interest in the same collateral that is pledged for the benefit of the lenders under the Senior Credit Facility and existing senior secured notes, which collateral consists of a substantial portion of the property and assets owned by the Company and the guarantors. The New 2031 Notes will mature on April 30, 2031. Interest on the New 2031 Notes will be paid semi-annually on April 30 and October 30 of each year commencing on October 30, 2026.</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used the net proceeds from the New Unsecured Notes, together with the net proceeds from the New 2031 Notes, and the Incremental Term Loans, to pay the tender price of the Tender Offer (as defined below), to pay estimated transaction fees, expenses and premiums, and the remainder to repay a portion of the outstanding borrowings under the Company’s Revolving Credit Facility.</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Bilateral Letter of Credit Facilities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January and February 2026, the Company and certain of its subsidiaries, as guarantors, entered into amendments to its existing bilateral letter of credit facilities to increase the size of its bilateral credit facilities by $410 million and $90 million, respectively, to provide additional liquidity. As of March 31, 2026, $739 million was issued under these facilities.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Texas Development Projects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April 30, 2026, $192 million, $302 million and $117 million of disbursements have occurred for the T.H. Wharton TEF loan, due 2045, Cedar Bayou 5 TEF loan, due 2045 and Greens Bayou 6 TEF loan, due 2045, respectively (collectively the “TEF loans”).</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Non-recourse Debt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are descriptions of certain indebtedness of NRG’s subsidiaries, which are non-recourse debt to NRG.</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Acquired LS Power Debt</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January 30, 2026 (the “Acquisition Closing Date”), in connection with the acquisition of the LSP Portfolio from LS Power, Lightning, an indirect, wholly-owned subsidiary of NRG as of such date, retained its 7.250% Senior Secured Notes due 2032, term loan and revolving loan facility.</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Lightning Notes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the Acquisition Closing Date, Lightning remained the issuer of $1.5 billion aggregate principal amount of 7.250% Senior Secured Notes due 2032 (the “Lightning 2032 Notes”) issued pursuant to an indenture dated August 16, 2024 (the “Lightning Indenture”), by and among Lightning, Lightning’s subsidiaries that are guarantors from time to time party thereto, and U.S. Bank Trust Company, National Association, in its capacities as trustee and collateral trustee (the “Lightning Notes Trustee”).</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Subject to certain qualifications and exceptions, the Lightning Indenture, among other things, limits Lightning’s ability and the ability of Lightning’s restricted subsidiaries to incur or guarantee additional indebtedness; create or incur liens; make certain restricted payments; and consolidate, merge or transfer all or substantially all of Lightning’s and its subsidiaries’ assets on a consolidated basis.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Lightning Tender Offer and Redemption</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April 14, 2026, Lightning commenced a cash tender offer to purchase any and all of the Lightning 2032 Notes (the “Tender Offer”). In conjunction with the Tender Offer, Lightning solicited consents (the “Consent Solicitation”) to adopt certain proposed amendments to the Lightning Indenture to (1) eliminate substantially all of the restrictive covenants and certain affirmative covenants and events of default and related provisions therein and (2) release all of the guarantees of and the collateral securing the Lightning 2032 Notes.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5" w:name="page36"/>
    <w:bookmarkEnd w:id="35"/>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As of the early tender deadline for the Tender Offer on April 27, 2026, $1.495 billion aggregate principal amount of Lightning 2032 Notes (or 99.670%) were tendered. On April 29, 2026, Lightning repurchased such tendered notes for an aggregate purchase price of $1.59 billion (plus accrued and unpaid interest to, but excluding, the repurchase date). In addition, pursuant to the Consent Solicitation, Lightning obtained consents from the requisite holders of the Lightning 2032 Notes and, on April 29, 2026, Lightning, the Lightning Notes Trustee, and the relevant guarantors, entered into a supplemental indenture to the Lightning Indenture to effectuate the amendments described above. The Tender Offer is scheduled to expire on May 12, 2026.</w:t>
      </w:r>
    </w:p>
    <w:p>
      <w:pPr>
        <w:spacing w:after="0" w:line="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Further, pursuant to the terms of the Lightning Indenture, on April 28, 2026, Lightning issued a notice of redemption to redeem (the “Redemption”) the remaining $5 million aggregate principal amount of the Lightning 2032 Notes at a redemption price of 101.375% (plus accrued and unpaid interest to, but excluding, the redemption date). The redemption of such notes is scheduled to occur on May 14, 2026.</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Lightning Credit Facility</w:t>
      </w:r>
    </w:p>
    <w:p>
      <w:pPr>
        <w:spacing w:after="0" w:line="11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On the Acquisition Closing Date, Lightning remained party to a credit agreement (the “Lightning Credit Agreement”) with Morgan Stanley Senior Funding, Inc. as administrative agent and collateral agent and various lenders and issuing banks from time to time party thereto. The Lightning Credit Agreement consists of a term loan in an original aggregate principal amount of $1.75 billion (the “Lightning Term Loan”) and revolving loan facility of $600 million (the “Lightning Revolving Facility”). The maturity date of the Lightning Term Loan and the Lightning Revolving Facility is August 16, 2031, and August 16, 2029, respectively. Interest on the Lightning Term Loan accrues at a rate per annum equal to the SOFR rate plus a margin of 2.250%, subject to leverage-based margin step-downs. Interest on revolving credit borrowings under the Lightning Revolving Facility accrues at a rate per annum equal to the SOFR rate plus a margin of 2.000%, subject to leverage-based margin step-downs. As of March 31, 2026, there were no outstanding borrowings and there were $105 million in letters of credit issued under the Lightning Revolving Facility.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w:t>
      </w:r>
      <w:r>
        <w:rPr>
          <w:rFonts w:ascii="Times New Roman" w:cs="Times New Roman" w:eastAsia="Times New Roman" w:hAnsi="Times New Roman"/>
          <w:sz w:val="18"/>
          <w:szCs w:val="18"/>
          <w:b w:val="1"/>
          <w:bCs w:val="1"/>
          <w:i w:val="1"/>
          <w:iCs w:val="1"/>
          <w:color w:val="auto"/>
        </w:rPr>
        <w:t>Investments Accounted for by the Equity Method and Variable Interest Entities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not Consolidated</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NRG accounts for the Company’s investments using the equity method of accounting. NRG’s carrying value of equity investments can be impacted by a number of elements including impairments and movements in foreign currency exchange rates.</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 that are Consolidated</w:t>
      </w:r>
    </w:p>
    <w:p>
      <w:pPr>
        <w:spacing w:after="0" w:line="113"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 xml:space="preserve">The Company has a controlling financial interest that has been identified as a VIE under ASC 810 in NRG Receivables, which has entered into financing transactions related to the Receivables Facility as further described in Note 12, </w:t>
      </w:r>
      <w:r>
        <w:rPr>
          <w:rFonts w:ascii="Times New Roman" w:cs="Times New Roman" w:eastAsia="Times New Roman" w:hAnsi="Times New Roman"/>
          <w:sz w:val="16"/>
          <w:szCs w:val="16"/>
          <w:i w:val="1"/>
          <w:iCs w:val="1"/>
          <w:color w:val="auto"/>
        </w:rPr>
        <w:t>Long-term Debt and Finance Leases,</w:t>
      </w:r>
      <w:r>
        <w:rPr>
          <w:rFonts w:ascii="Times New Roman" w:cs="Times New Roman" w:eastAsia="Times New Roman" w:hAnsi="Times New Roman"/>
          <w:sz w:val="16"/>
          <w:szCs w:val="16"/>
          <w:color w:val="auto"/>
        </w:rPr>
        <w:t xml:space="preserve"> to the Company’s 2025 Form 10-K.</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summarized financial information for the Company’s consolidated VIE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and Other current assets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24"/>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42"/>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assets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Changes in Capital Structure</w:t>
      </w:r>
    </w:p>
    <w:p>
      <w:pPr>
        <w:spacing w:after="0" w:line="113"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As of March 31, 2026 and December 31, 2025, the Company had 10,000,000 shares of preferred stock authorized and 500,000,000 shares of common stock authorized. The following table reflects the changes in NRG’s preferred and common stock issued and outstanding: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340" w:type="dxa"/>
            <w:vAlign w:val="bottom"/>
          </w:tcPr>
          <w:p>
            <w:pPr>
              <w:spacing w:after="0"/>
              <w:rPr>
                <w:sz w:val="11"/>
                <w:szCs w:val="11"/>
                <w:color w:val="auto"/>
              </w:rPr>
            </w:pPr>
          </w:p>
        </w:tc>
        <w:tc>
          <w:tcPr>
            <w:tcW w:w="142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Issued and</w:t>
            </w:r>
          </w:p>
        </w:tc>
        <w:tc>
          <w:tcPr>
            <w:tcW w:w="100" w:type="dxa"/>
            <w:vAlign w:val="bottom"/>
          </w:tcPr>
          <w:p>
            <w:pPr>
              <w:spacing w:after="0"/>
              <w:rPr>
                <w:sz w:val="11"/>
                <w:szCs w:val="11"/>
                <w:color w:val="auto"/>
              </w:rPr>
            </w:pPr>
          </w:p>
        </w:tc>
        <w:tc>
          <w:tcPr>
            <w:tcW w:w="1540" w:type="dxa"/>
            <w:vAlign w:val="bottom"/>
            <w:tcBorders>
              <w:top w:val="single" w:sz="8" w:color="auto"/>
            </w:tcBorders>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480" w:type="dxa"/>
            <w:vAlign w:val="bottom"/>
            <w:tcBorders>
              <w:top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360" w:type="dxa"/>
            <w:vAlign w:val="bottom"/>
            <w:tcBorders>
              <w:top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54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199,828,615</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(9,452,008)</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190,376,607</w:t>
            </w:r>
          </w:p>
        </w:tc>
        <w:tc>
          <w:tcPr>
            <w:tcW w:w="0" w:type="dxa"/>
            <w:vAlign w:val="bottom"/>
          </w:tcPr>
          <w:p>
            <w:pPr>
              <w:spacing w:after="0"/>
              <w:rPr>
                <w:sz w:val="1"/>
                <w:szCs w:val="1"/>
                <w:color w:val="auto"/>
              </w:rPr>
            </w:pPr>
          </w:p>
        </w:tc>
      </w:tr>
      <w:tr>
        <w:trPr>
          <w:trHeight w:val="224"/>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under LTIPs</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1,112,449</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1,112,449</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repurchased</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(2,976,169)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(2,976,169)</w:t>
            </w:r>
          </w:p>
        </w:tc>
        <w:tc>
          <w:tcPr>
            <w:tcW w:w="0" w:type="dxa"/>
            <w:vAlign w:val="bottom"/>
          </w:tcPr>
          <w:p>
            <w:pPr>
              <w:spacing w:after="0"/>
              <w:rPr>
                <w:sz w:val="1"/>
                <w:szCs w:val="1"/>
                <w:color w:val="auto"/>
              </w:rPr>
            </w:pPr>
          </w:p>
        </w:tc>
      </w:tr>
      <w:tr>
        <w:trPr>
          <w:trHeight w:val="224"/>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for the acquisition of the LSP Portfolio</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24,250,000</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24,250,000</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340,900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224,850,164</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(12,087,277)</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212,762,887</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under LTIPs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296,220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296,220</w:t>
            </w:r>
          </w:p>
        </w:tc>
        <w:tc>
          <w:tcPr>
            <w:tcW w:w="0" w:type="dxa"/>
            <w:vAlign w:val="bottom"/>
          </w:tcPr>
          <w:p>
            <w:pPr>
              <w:spacing w:after="0"/>
              <w:rPr>
                <w:sz w:val="1"/>
                <w:szCs w:val="1"/>
                <w:color w:val="auto"/>
              </w:rPr>
            </w:pPr>
          </w:p>
        </w:tc>
      </w:tr>
      <w:tr>
        <w:trPr>
          <w:trHeight w:val="224"/>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under ESPP</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85,289</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repurchased</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(2,157,926)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(2,157,926)</w:t>
            </w:r>
          </w:p>
        </w:tc>
        <w:tc>
          <w:tcPr>
            <w:tcW w:w="0" w:type="dxa"/>
            <w:vAlign w:val="bottom"/>
          </w:tcPr>
          <w:p>
            <w:pPr>
              <w:spacing w:after="0"/>
              <w:rPr>
                <w:sz w:val="1"/>
                <w:szCs w:val="1"/>
                <w:color w:val="auto"/>
              </w:rPr>
            </w:pPr>
          </w:p>
        </w:tc>
      </w:tr>
      <w:tr>
        <w:trPr>
          <w:trHeight w:val="21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2026</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225,146,384</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(14,159,914)</w:t>
            </w: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210,986,470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Company’s long-term capital allocation policy is to target allocating approximately 80% of cash available for allocation, after debt reduction, to be returned to shareholders. During the quarter ended March 31, 2026, the Company completed repurchases under its $3.7 billion share repurchase program, which began in 2023. The remaining repurchases were made under the October 16, 2025 Board of Directors’ authorization of share repurchases of up to $3.0 billion, to be executed through 2028</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7" w:name="page38"/>
    <w:bookmarkEnd w:id="37"/>
    <w:p>
      <w:pPr>
        <w:ind w:right="10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share repurchases made under the $3.7 billion authorization which was completed during the quarter ended March 31, 2026:</w:t>
      </w:r>
    </w:p>
    <w:tbl>
      <w:tblPr>
        <w:tblLayout w:type="fixed"/>
        <w:tblInd w:w="0" w:type="dxa"/>
        <w:tblCellMar>
          <w:top w:w="0" w:type="dxa"/>
          <w:left w:w="0" w:type="dxa"/>
          <w:bottom w:w="0" w:type="dxa"/>
          <w:right w:w="0" w:type="dxa"/>
        </w:tblCellMar>
      </w:tblPr>
      <w:tr>
        <w:trPr>
          <w:trHeight w:val="145"/>
        </w:trPr>
        <w:tc>
          <w:tcPr>
            <w:tcW w:w="6920" w:type="dxa"/>
            <w:vAlign w:val="bottom"/>
          </w:tcPr>
          <w:p>
            <w:pPr>
              <w:spacing w:after="0"/>
              <w:rPr>
                <w:sz w:val="12"/>
                <w:szCs w:val="12"/>
                <w:color w:val="auto"/>
              </w:rPr>
            </w:pPr>
          </w:p>
        </w:tc>
        <w:tc>
          <w:tcPr>
            <w:tcW w:w="1600" w:type="dxa"/>
            <w:vAlign w:val="bottom"/>
          </w:tcPr>
          <w:p>
            <w:pPr>
              <w:jc w:val="right"/>
              <w:ind w:right="15"/>
              <w:spacing w:after="0" w:line="145"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940" w:type="dxa"/>
            <w:vAlign w:val="bottom"/>
          </w:tcPr>
          <w:p>
            <w:pPr>
              <w:jc w:val="center"/>
              <w:ind w:right="34"/>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price</w:t>
            </w:r>
          </w:p>
        </w:tc>
        <w:tc>
          <w:tcPr>
            <w:tcW w:w="166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Amounts paid for shares</w:t>
            </w:r>
          </w:p>
        </w:tc>
      </w:tr>
      <w:tr>
        <w:trPr>
          <w:trHeight w:val="190"/>
        </w:trPr>
        <w:tc>
          <w:tcPr>
            <w:tcW w:w="69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paid per share</w:t>
            </w: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purchased (in millions)</w:t>
            </w:r>
          </w:p>
        </w:tc>
      </w:tr>
      <w:tr>
        <w:trPr>
          <w:trHeight w:val="20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 Repurchases: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2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 market repurchases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5,054,798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Pr>
          <w:p>
            <w:pPr>
              <w:spacing w:after="0"/>
              <w:rPr>
                <w:sz w:val="19"/>
                <w:szCs w:val="19"/>
                <w:color w:val="auto"/>
              </w:rPr>
            </w:pPr>
          </w:p>
        </w:tc>
      </w:tr>
      <w:tr>
        <w:trPr>
          <w:trHeight w:val="22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made under the accelerated share repurchase agreements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17,676,142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color w:val="auto"/>
                <w:w w:val="89"/>
              </w:rPr>
              <w:t>(a)</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950</w:t>
            </w:r>
          </w:p>
        </w:tc>
        <w:tc>
          <w:tcPr>
            <w:tcW w:w="340" w:type="dxa"/>
            <w:vAlign w:val="bottom"/>
            <w:tcBorders>
              <w:bottom w:val="single" w:sz="8" w:color="auto"/>
            </w:tcBorders>
            <w:shd w:val="clear" w:color="auto" w:fill="CCEEFF"/>
          </w:tcPr>
          <w:p>
            <w:pPr>
              <w:spacing w:after="0"/>
              <w:rPr>
                <w:sz w:val="19"/>
                <w:szCs w:val="19"/>
                <w:color w:val="auto"/>
              </w:rPr>
            </w:pPr>
          </w:p>
        </w:tc>
      </w:tr>
      <w:tr>
        <w:trPr>
          <w:trHeight w:val="217"/>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 Repurchases during 2023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22,730,940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r>
      <w:tr>
        <w:trPr>
          <w:trHeight w:val="22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 Repurchases:</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made under the accelerated share repurchase agreements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1,163,230</w:t>
            </w:r>
          </w:p>
        </w:tc>
        <w:tc>
          <w:tcPr>
            <w:tcW w:w="120" w:type="dxa"/>
            <w:vAlign w:val="bottom"/>
          </w:tcPr>
          <w:p>
            <w:pPr>
              <w:spacing w:after="0"/>
              <w:rPr>
                <w:sz w:val="19"/>
                <w:szCs w:val="19"/>
                <w:color w:val="auto"/>
              </w:rPr>
            </w:pPr>
          </w:p>
        </w:tc>
        <w:tc>
          <w:tcPr>
            <w:tcW w:w="94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89"/>
              </w:rPr>
              <w:t>(a)</w:t>
            </w:r>
          </w:p>
        </w:tc>
        <w:tc>
          <w:tcPr>
            <w:tcW w:w="12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r>
      <w:tr>
        <w:trPr>
          <w:trHeight w:val="22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market repurchases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10,562,333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925</w:t>
            </w:r>
          </w:p>
        </w:tc>
        <w:tc>
          <w:tcPr>
            <w:tcW w:w="340" w:type="dxa"/>
            <w:vAlign w:val="bottom"/>
            <w:tcBorders>
              <w:bottom w:val="single" w:sz="8" w:color="auto"/>
            </w:tcBorders>
            <w:shd w:val="clear" w:color="auto" w:fill="CCEEFF"/>
          </w:tcPr>
          <w:p>
            <w:pPr>
              <w:spacing w:after="0"/>
              <w:rPr>
                <w:sz w:val="19"/>
                <w:szCs w:val="19"/>
                <w:color w:val="auto"/>
              </w:rPr>
            </w:pPr>
          </w:p>
        </w:tc>
      </w:tr>
      <w:tr>
        <w:trPr>
          <w:trHeight w:val="217"/>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 Repurchases during 2024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11,725,563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925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r>
      <w:tr>
        <w:trPr>
          <w:trHeight w:val="22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 Repurchases:</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 market repurchases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9,971,620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12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1,302</w:t>
            </w:r>
          </w:p>
        </w:tc>
        <w:tc>
          <w:tcPr>
            <w:tcW w:w="340" w:type="dxa"/>
            <w:vAlign w:val="bottom"/>
          </w:tcPr>
          <w:p>
            <w:pPr>
              <w:spacing w:after="0"/>
              <w:rPr>
                <w:sz w:val="19"/>
                <w:szCs w:val="19"/>
                <w:color w:val="auto"/>
              </w:rPr>
            </w:pPr>
          </w:p>
        </w:tc>
      </w:tr>
      <w:tr>
        <w:trPr>
          <w:trHeight w:val="22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received from the exercise of the Capped Call Options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w:t>
            </w:r>
          </w:p>
        </w:tc>
      </w:tr>
      <w:tr>
        <w:trPr>
          <w:trHeight w:val="217"/>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 Repurchases during 2025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10,196,205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1,318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w:t>
            </w:r>
          </w:p>
        </w:tc>
      </w:tr>
      <w:tr>
        <w:trPr>
          <w:trHeight w:val="22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 Repurchases:</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 market repurchases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1,146,900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156.62</w:t>
            </w:r>
          </w:p>
        </w:tc>
        <w:tc>
          <w:tcPr>
            <w:tcW w:w="12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180</w:t>
            </w:r>
          </w:p>
        </w:tc>
        <w:tc>
          <w:tcPr>
            <w:tcW w:w="340" w:type="dxa"/>
            <w:vAlign w:val="bottom"/>
          </w:tcPr>
          <w:p>
            <w:pPr>
              <w:spacing w:after="0"/>
              <w:rPr>
                <w:sz w:val="19"/>
                <w:szCs w:val="19"/>
                <w:color w:val="auto"/>
              </w:rPr>
            </w:pPr>
          </w:p>
        </w:tc>
      </w:tr>
      <w:tr>
        <w:trPr>
          <w:trHeight w:val="22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 from LS Power</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7"/>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 Repurchases during 2026 under the $3.7 billion authorization</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1,917,980</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307</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(g)</w:t>
            </w:r>
          </w:p>
        </w:tc>
      </w:tr>
      <w:tr>
        <w:trPr>
          <w:trHeight w:val="242"/>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 Repurchases under the $3.7 billion authorization</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46,570,688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3,700</w:t>
            </w:r>
          </w:p>
        </w:tc>
        <w:tc>
          <w:tcPr>
            <w:tcW w:w="340" w:type="dxa"/>
            <w:vAlign w:val="bottom"/>
            <w:tcBorders>
              <w:bottom w:val="single" w:sz="8" w:color="auto"/>
            </w:tcBorders>
            <w:shd w:val="clear" w:color="auto" w:fill="CCEEFF"/>
          </w:tcPr>
          <w:p>
            <w:pPr>
              <w:spacing w:after="0"/>
              <w:rPr>
                <w:sz w:val="20"/>
                <w:szCs w:val="20"/>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40" w:right="100" w:hanging="235"/>
        <w:spacing w:after="0" w:line="254" w:lineRule="auto"/>
        <w:tabs>
          <w:tab w:leader="none" w:pos="23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Under the November 6, 2023 accelerated share repurchase agreements, the Company received a total of 18,839,372 shares for an average price per share of $50.43, excluding the impact of the excise tax incurred. For additional information, refer to Note 15, </w:t>
      </w:r>
      <w:r>
        <w:rPr>
          <w:rFonts w:ascii="Times New Roman" w:cs="Times New Roman" w:eastAsia="Times New Roman" w:hAnsi="Times New Roman"/>
          <w:sz w:val="14"/>
          <w:szCs w:val="14"/>
          <w:i w:val="1"/>
          <w:iCs w:val="1"/>
          <w:color w:val="auto"/>
        </w:rPr>
        <w:t>Capital Structure,</w:t>
      </w:r>
      <w:r>
        <w:rPr>
          <w:rFonts w:ascii="Times New Roman" w:cs="Times New Roman" w:eastAsia="Times New Roman" w:hAnsi="Times New Roman"/>
          <w:sz w:val="14"/>
          <w:szCs w:val="14"/>
          <w:color w:val="auto"/>
        </w:rPr>
        <w:t xml:space="preserve"> to the Company’s 2025 Form 10-K</w:t>
      </w:r>
    </w:p>
    <w:p>
      <w:pPr>
        <w:ind w:left="240" w:hanging="235"/>
        <w:spacing w:after="0"/>
        <w:tabs>
          <w:tab w:leader="none" w:pos="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$10 million of excise tax accrued in 2023 which was paid in 2024</w:t>
      </w:r>
    </w:p>
    <w:p>
      <w:pPr>
        <w:spacing w:after="0" w:line="10"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$9 million of excise tax accrued in 2024 which was paid in 2025</w:t>
      </w:r>
    </w:p>
    <w:p>
      <w:pPr>
        <w:spacing w:after="0" w:line="10"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on the Capped Call Options, see discussion below</w:t>
      </w:r>
    </w:p>
    <w:p>
      <w:pPr>
        <w:spacing w:after="0" w:line="10"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$11 million of excise tax accrued in 2025</w:t>
      </w:r>
    </w:p>
    <w:p>
      <w:pPr>
        <w:ind w:left="240" w:right="100" w:hanging="235"/>
        <w:spacing w:after="0" w:line="251" w:lineRule="auto"/>
        <w:tabs>
          <w:tab w:leader="none" w:pos="23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 stock purchase agreement to repurchase 1,829,269 shares of NRG common stock from LS Power. 771,080 shares were repurchased under the $3.7 billion authorization, and the remaining 1,058,189 shares were repurchased under the $3.0 billion authorization</w:t>
      </w:r>
    </w:p>
    <w:p>
      <w:pPr>
        <w:spacing w:after="0" w:line="1"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$3 million accrued for estimated excise tax for the three months ended March 31, 2026</w:t>
      </w:r>
    </w:p>
    <w:p>
      <w:pPr>
        <w:sectPr>
          <w:pgSz w:w="11900" w:h="16838" w:orient="portrait"/>
          <w:cols w:equalWidth="0" w:num="1">
            <w:col w:w="11340"/>
          </w:cols>
          <w:pgMar w:left="320" w:top="871" w:right="239" w:bottom="1440" w:gutter="0" w:footer="0" w:header="0"/>
        </w:sectPr>
      </w:pP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summarizes the share repurchases made under the $3.0 billion authorization through April 30, 2026:</w:t>
      </w:r>
    </w:p>
    <w:p>
      <w:pPr>
        <w:spacing w:after="0" w:line="48"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Total number of shares</w:t>
      </w: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purchased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4"/>
          <w:szCs w:val="14"/>
          <w:b w:val="1"/>
          <w:bCs w:val="1"/>
          <w:color w:val="auto"/>
        </w:rPr>
        <w:t>Average price</w:t>
      </w:r>
      <w:r>
        <w:rPr>
          <w:sz w:val="20"/>
          <w:szCs w:val="20"/>
          <w:color w:val="auto"/>
        </w:rPr>
        <w:tab/>
      </w:r>
      <w:r>
        <w:rPr>
          <w:rFonts w:ascii="Times New Roman" w:cs="Times New Roman" w:eastAsia="Times New Roman" w:hAnsi="Times New Roman"/>
          <w:sz w:val="13"/>
          <w:szCs w:val="13"/>
          <w:b w:val="1"/>
          <w:bCs w:val="1"/>
          <w:color w:val="auto"/>
        </w:rPr>
        <w:t>Amounts paid for sha</w:t>
      </w:r>
    </w:p>
    <w:p>
      <w:pPr>
        <w:spacing w:after="0"/>
        <w:tabs>
          <w:tab w:leader="none" w:pos="1080" w:val="left"/>
        </w:tabs>
        <w:rPr>
          <w:sz w:val="20"/>
          <w:szCs w:val="20"/>
          <w:color w:val="auto"/>
        </w:rPr>
      </w:pPr>
      <w:r>
        <w:rPr>
          <w:rFonts w:ascii="Times New Roman" w:cs="Times New Roman" w:eastAsia="Times New Roman" w:hAnsi="Times New Roman"/>
          <w:sz w:val="14"/>
          <w:szCs w:val="14"/>
          <w:b w:val="1"/>
          <w:bCs w:val="1"/>
          <w:color w:val="auto"/>
        </w:rPr>
        <w:t>paid per share</w:t>
      </w:r>
      <w:r>
        <w:rPr>
          <w:sz w:val="20"/>
          <w:szCs w:val="20"/>
          <w:color w:val="auto"/>
        </w:rPr>
        <w:tab/>
      </w:r>
      <w:r>
        <w:rPr>
          <w:rFonts w:ascii="Times New Roman" w:cs="Times New Roman" w:eastAsia="Times New Roman" w:hAnsi="Times New Roman"/>
          <w:sz w:val="14"/>
          <w:szCs w:val="14"/>
          <w:b w:val="1"/>
          <w:bCs w:val="1"/>
          <w:color w:val="auto"/>
        </w:rPr>
        <w:t>purchased (in millio</w:t>
      </w:r>
    </w:p>
    <w:p>
      <w:pPr>
        <w:spacing w:after="0" w:line="10" w:lineRule="exact"/>
        <w:rPr>
          <w:sz w:val="20"/>
          <w:szCs w:val="20"/>
          <w:color w:val="auto"/>
        </w:rPr>
      </w:pPr>
    </w:p>
    <w:p>
      <w:pPr>
        <w:sectPr>
          <w:pgSz w:w="11900" w:h="16838" w:orient="portrait"/>
          <w:cols w:equalWidth="0" w:num="2">
            <w:col w:w="8860" w:space="160"/>
            <w:col w:w="2320"/>
          </w:cols>
          <w:pgMar w:left="320" w:top="871" w:right="239" w:bottom="1440" w:gutter="0" w:footer="0" w:header="0"/>
          <w:type w:val="continuous"/>
        </w:sectPr>
      </w:pPr>
    </w:p>
    <w:tbl>
      <w:tblPr>
        <w:tblLayout w:type="fixed"/>
        <w:tblInd w:w="400" w:type="dxa"/>
        <w:tblCellMar>
          <w:top w:w="0" w:type="dxa"/>
          <w:left w:w="0" w:type="dxa"/>
          <w:bottom w:w="0" w:type="dxa"/>
          <w:right w:w="0" w:type="dxa"/>
        </w:tblCellMar>
      </w:tblPr>
      <w:tr>
        <w:trPr>
          <w:trHeight w:val="224"/>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 Repurchases:</w:t>
            </w:r>
          </w:p>
        </w:tc>
        <w:tc>
          <w:tcPr>
            <w:tcW w:w="16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24"/>
        </w:trPr>
        <w:tc>
          <w:tcPr>
            <w:tcW w:w="69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Shares repurchased from LS Power</w:t>
            </w:r>
            <w:r>
              <w:rPr>
                <w:rFonts w:ascii="Times New Roman" w:cs="Times New Roman" w:eastAsia="Times New Roman" w:hAnsi="Times New Roman"/>
                <w:sz w:val="22"/>
                <w:szCs w:val="22"/>
                <w:color w:val="auto"/>
                <w:vertAlign w:val="superscript"/>
              </w:rPr>
              <w:t>(a)</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1,058,189</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360" w:type="dxa"/>
            <w:vAlign w:val="bottom"/>
          </w:tcPr>
          <w:p>
            <w:pPr>
              <w:jc w:val="right"/>
              <w:ind w:right="1172"/>
              <w:spacing w:after="0"/>
              <w:rPr>
                <w:sz w:val="20"/>
                <w:szCs w:val="20"/>
                <w:color w:val="auto"/>
              </w:rPr>
            </w:pPr>
            <w:r>
              <w:rPr>
                <w:rFonts w:ascii="Times New Roman" w:cs="Times New Roman" w:eastAsia="Times New Roman" w:hAnsi="Times New Roman"/>
                <w:sz w:val="18"/>
                <w:szCs w:val="18"/>
                <w:color w:val="auto"/>
                <w:w w:val="88"/>
              </w:rPr>
              <w:t>$</w:t>
            </w:r>
          </w:p>
        </w:tc>
      </w:tr>
      <w:tr>
        <w:trPr>
          <w:trHeight w:val="22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market repurchases April 1, 2026 through April 30, 2026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2,157,926</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156.52</w:t>
            </w:r>
          </w:p>
        </w:tc>
        <w:tc>
          <w:tcPr>
            <w:tcW w:w="1360" w:type="dxa"/>
            <w:vAlign w:val="bottom"/>
            <w:tcBorders>
              <w:bottom w:val="single" w:sz="8" w:color="auto"/>
            </w:tcBorders>
            <w:shd w:val="clear" w:color="auto" w:fill="CCEEFF"/>
          </w:tcPr>
          <w:p>
            <w:pPr>
              <w:spacing w:after="0"/>
              <w:rPr>
                <w:sz w:val="19"/>
                <w:szCs w:val="19"/>
                <w:color w:val="auto"/>
              </w:rPr>
            </w:pPr>
          </w:p>
        </w:tc>
      </w:tr>
      <w:tr>
        <w:trPr>
          <w:trHeight w:val="217"/>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 Repurchases under the $3.0 billion authorization</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3,216,115</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158.98</w:t>
            </w:r>
          </w:p>
        </w:tc>
        <w:tc>
          <w:tcPr>
            <w:tcW w:w="136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69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240" w:right="100" w:hanging="235"/>
        <w:spacing w:after="0" w:line="287" w:lineRule="auto"/>
        <w:tabs>
          <w:tab w:leader="none" w:pos="23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 stock purchase agreement to repurchase 1,829,269 shares of NRG common stock from LS Power. 771,080 shares were repurchased under the $3.7 billion authorization, and the remaining 1,058,189 shares were repurchased under the $3.0 billion authorization</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1" w:lineRule="exact"/>
        <w:rPr>
          <w:sz w:val="20"/>
          <w:szCs w:val="20"/>
          <w:color w:val="auto"/>
        </w:rPr>
      </w:pPr>
    </w:p>
    <w:p>
      <w:pPr>
        <w:jc w:val="both"/>
        <w:ind w:right="100" w:firstLine="395"/>
        <w:spacing w:after="0" w:line="252" w:lineRule="auto"/>
        <w:rPr>
          <w:sz w:val="20"/>
          <w:szCs w:val="20"/>
          <w:color w:val="auto"/>
        </w:rPr>
      </w:pPr>
      <w:r>
        <w:rPr>
          <w:rFonts w:ascii="Times New Roman" w:cs="Times New Roman" w:eastAsia="Times New Roman" w:hAnsi="Times New Roman"/>
          <w:sz w:val="18"/>
          <w:szCs w:val="18"/>
          <w:color w:val="auto"/>
        </w:rPr>
        <w:t>The Company offers participation in the ESPP which allows eligible employees to elect to withhold between 1% and 100%, subject to an annual maximum of $25,000, of their eligible compensation to purchase shares of NRG common stock at the lesser of 90% of its market value on the offering date or 90% of the fair market value on the exercise date. An offering date occurs each April 1 and October 1. An exercise date occurs each September 30 and March 31.</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NRG Common Stock Dividends</w:t>
      </w:r>
    </w:p>
    <w:p>
      <w:pPr>
        <w:spacing w:after="0" w:line="111" w:lineRule="exact"/>
        <w:rPr>
          <w:sz w:val="20"/>
          <w:szCs w:val="20"/>
          <w:color w:val="auto"/>
        </w:rPr>
      </w:pPr>
    </w:p>
    <w:p>
      <w:pPr>
        <w:jc w:val="both"/>
        <w:ind w:right="100" w:firstLine="395"/>
        <w:spacing w:after="0" w:line="252" w:lineRule="auto"/>
        <w:rPr>
          <w:sz w:val="20"/>
          <w:szCs w:val="20"/>
          <w:color w:val="auto"/>
        </w:rPr>
      </w:pPr>
      <w:r>
        <w:rPr>
          <w:rFonts w:ascii="Times New Roman" w:cs="Times New Roman" w:eastAsia="Times New Roman" w:hAnsi="Times New Roman"/>
          <w:sz w:val="18"/>
          <w:szCs w:val="18"/>
          <w:color w:val="auto"/>
        </w:rPr>
        <w:t>During the first quarter of 2026, NRG increased the annual dividend to $1.90 from $1.76 per share. A quarterly dividend of $0.475 per share was paid on the Company’s common stock during the three months ended March 31, 2026. On April 21, 2026, NRG declared a quarterly dividend on the Company’s common stock of $0.475 per share, payable on May 15, 2026 to stockholders of record as of May 1, 2026. The Company targets an annual dividend growth rate of 7%-9% per share in subsequent years.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71" w:right="239" w:bottom="1440" w:gutter="0" w:footer="0" w:header="0"/>
          <w:type w:val="continuous"/>
        </w:sectPr>
      </w:pPr>
    </w:p>
    <w:bookmarkStart w:id="38" w:name="page39"/>
    <w:bookmarkEnd w:id="38"/>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Company’s common stock dividends are subject to available capital, market conditions, and compliance with associated laws, regulations and other contractual obligations.</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Retirement of Treasury Stock</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retired shares of treasury stock as detailed below. These retired shares are now included in NRG’s pool of authorized but unissued shares. The Company’s accounting policy upon the formal retirement of treasury stock is to deduct its par value from common stock and to reflect any excess of cost over par value as a deduction from additional paid-in-capital.</w:t>
      </w:r>
    </w:p>
    <w:tbl>
      <w:tblPr>
        <w:tblLayout w:type="fixed"/>
        <w:tblInd w:w="0" w:type="dxa"/>
        <w:tblCellMar>
          <w:top w:w="0" w:type="dxa"/>
          <w:left w:w="0" w:type="dxa"/>
          <w:bottom w:w="0" w:type="dxa"/>
          <w:right w:w="0" w:type="dxa"/>
        </w:tblCellMar>
      </w:tblPr>
      <w:tr>
        <w:trPr>
          <w:trHeight w:val="147"/>
        </w:trPr>
        <w:tc>
          <w:tcPr>
            <w:tcW w:w="6740" w:type="dxa"/>
            <w:vAlign w:val="bottom"/>
          </w:tcPr>
          <w:p>
            <w:pPr>
              <w:spacing w:after="0"/>
              <w:rPr>
                <w:sz w:val="12"/>
                <w:szCs w:val="12"/>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price per</w:t>
            </w:r>
          </w:p>
        </w:tc>
        <w:tc>
          <w:tcPr>
            <w:tcW w:w="180" w:type="dxa"/>
            <w:vAlign w:val="bottom"/>
          </w:tcPr>
          <w:p>
            <w:pPr>
              <w:spacing w:after="0"/>
              <w:rPr>
                <w:sz w:val="12"/>
                <w:szCs w:val="12"/>
                <w:color w:val="auto"/>
              </w:rPr>
            </w:pPr>
          </w:p>
        </w:tc>
        <w:tc>
          <w:tcPr>
            <w:tcW w:w="1440" w:type="dxa"/>
            <w:vAlign w:val="bottom"/>
          </w:tcPr>
          <w:p>
            <w:pPr>
              <w:jc w:val="right"/>
              <w:ind w:right="201"/>
              <w:spacing w:after="0" w:line="147" w:lineRule="exact"/>
              <w:rPr>
                <w:sz w:val="20"/>
                <w:szCs w:val="20"/>
                <w:color w:val="auto"/>
              </w:rPr>
            </w:pPr>
            <w:r>
              <w:rPr>
                <w:rFonts w:ascii="Times New Roman" w:cs="Times New Roman" w:eastAsia="Times New Roman" w:hAnsi="Times New Roman"/>
                <w:sz w:val="14"/>
                <w:szCs w:val="14"/>
                <w:b w:val="1"/>
                <w:bCs w:val="1"/>
                <w:color w:val="auto"/>
              </w:rPr>
              <w:t>Carrying value of</w:t>
            </w:r>
          </w:p>
        </w:tc>
        <w:tc>
          <w:tcPr>
            <w:tcW w:w="0" w:type="dxa"/>
            <w:vAlign w:val="bottom"/>
          </w:tcPr>
          <w:p>
            <w:pPr>
              <w:spacing w:after="0"/>
              <w:rPr>
                <w:sz w:val="1"/>
                <w:szCs w:val="1"/>
                <w:color w:val="auto"/>
              </w:rPr>
            </w:pPr>
          </w:p>
        </w:tc>
      </w:tr>
      <w:tr>
        <w:trPr>
          <w:trHeight w:val="143"/>
        </w:trPr>
        <w:tc>
          <w:tcPr>
            <w:tcW w:w="67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62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treasury shares retired (in</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treasury shares retired</w:t>
            </w:r>
          </w:p>
        </w:tc>
        <w:tc>
          <w:tcPr>
            <w:tcW w:w="28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80" w:type="dxa"/>
            <w:vAlign w:val="bottom"/>
          </w:tcPr>
          <w:p>
            <w:pPr>
              <w:spacing w:after="0"/>
              <w:rPr>
                <w:sz w:val="16"/>
                <w:szCs w:val="16"/>
                <w:color w:val="auto"/>
              </w:rPr>
            </w:pPr>
          </w:p>
        </w:tc>
        <w:tc>
          <w:tcPr>
            <w:tcW w:w="144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22"/>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retired during the first quarter of 2026</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retired during the first quarter of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3,070,996</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Capped Call Options</w:t>
      </w:r>
    </w:p>
    <w:p>
      <w:pPr>
        <w:spacing w:after="0" w:line="111"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During the second quarter of 2024, the Company entered into privately negotiated capped call transactions with certain counterparties (the “Capped Calls”) to mitigate the impact of potential dilution of the Convertible Senior Notes. Each had a strike price of $40.63 per share, subject to certain adjustments, which correspond to the conversion price of the Convertible Senior Notes as of March 31, 2026. The Capped Calls had a cap price of $249.00 per share, subject to certain adjustments, and effectively locked in a conversion premium of $257 million on the remaining $232 million balance of the Convertible Senior Notes. The Capped Calls were separate transactions and not part of the terms of the Convertible Senior Notes. As these transactions met certain accounting criteria, the Capped Calls were recorded in stockholders’ equity. In the second quarter of 2024, the Company recorded $253 million as a reduction to additional paid-in capital and a $4 million loss to other income, net to account for the change in the value of the Capped Calls during the calculation period which began on May 31, 2024 and concluded on June 28, 2024. In the second quarter of 2025, the expiration date of the options was extended from June 1, 2025 to July 8, 2025.</w:t>
      </w:r>
    </w:p>
    <w:p>
      <w:pPr>
        <w:spacing w:after="0" w:line="6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Upon the exercise and settlement of the Capped Calls on July 8, 2025, the Company paid a total amount of $292 million, inclusive of the initial conversion premium of $257 million. The Company received 4,210,920 shares of common stock, of which 3,986,335 were issued to the holders of the Convertible Senior Notes upon conversion, and the remaining 224,585 received were retired by the Company.</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Series A Preferred Stock Dividends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quarters ended March 31, 2026 and 2025, the Company declared and paid semi-annual 10.25% dividends of $51.25 per share on its outstanding Series A Preferred Stock, each totaling $33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w:t>
      </w:r>
      <w:r>
        <w:rPr>
          <w:rFonts w:ascii="Times New Roman" w:cs="Times New Roman" w:eastAsia="Times New Roman" w:hAnsi="Times New Roman"/>
          <w:sz w:val="18"/>
          <w:szCs w:val="18"/>
          <w:b w:val="1"/>
          <w:bCs w:val="1"/>
          <w:i w:val="1"/>
          <w:iCs w:val="1"/>
          <w:color w:val="auto"/>
        </w:rPr>
        <w:t>Income Per Share</w:t>
      </w:r>
    </w:p>
    <w:p>
      <w:pPr>
        <w:spacing w:after="0" w:line="113"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Basic income per common share is computed by dividing net income less cumulative dividends attributable to preferred stock by the weighted average number of common shares outstanding. Shares issued and treasury shares repurchased during the period are weighted for the portion of the period that they were outstanding. Diluted income per share is computed in a manner consistent with that of basic income per share while giving effect to all potentially dilutive common shares that were outstanding during the period when there is net income. The relative performance stock units and non-vested restricted stock units are not considered outstanding for purposes of computing basic income per share. However, these instruments are included in the denominator for purposes of computing diluted income per share under the treasury stock method for periods when there is net income. For the three months ended March 31, 2025, the Convertible Senior Notes were convertible, under certain circumstances, into cash or a combination of cash and the Company’s common stock. The Company included the potential share settlements, if any, in the denominator for purposes of computing diluted income per share under the if converted method. The potential shares settlements were calculated as the excess of the Company’s conversion obligation over the aggregate principal amount (which was settled in cash), divided by the average share price for the period. The Company settled all of the outstanding Convertible Senior Notes as of July 8, 2025.</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color w:val="auto"/>
        </w:rPr>
        <w:t>NRG’s basic and diluted income per share is shown in the following table: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4"/>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Cumulative dividends attributable to Series A Preferred Stock</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7"/>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 available for common stockholders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7"/>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per weighted average common share — basic</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4"/>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Cumulative dividends attributable to Series A Preferred Stock</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available for common stockholders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7"/>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4"/>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Incremental shares attributable to the issuance of equity compensation (treasury stock method)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1"/>
        </w:trPr>
        <w:tc>
          <w:tcPr>
            <w:tcW w:w="840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Incremental shares attributable to the potential share settlements of the Convertible Senior Notes (if converted</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method)</w:t>
            </w:r>
          </w:p>
        </w:tc>
        <w:tc>
          <w:tcPr>
            <w:tcW w:w="3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7"/>
        </w:trPr>
        <w:tc>
          <w:tcPr>
            <w:tcW w:w="84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dilutive</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7"/>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per weighted average common share — diluted</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had an insignificant number of outstanding equity instruments that were anti-dilutive and were not included in the computation of the Company’s diluted income per share.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 </w:t>
      </w:r>
      <w:r>
        <w:rPr>
          <w:rFonts w:ascii="Times New Roman" w:cs="Times New Roman" w:eastAsia="Times New Roman" w:hAnsi="Times New Roman"/>
          <w:sz w:val="18"/>
          <w:szCs w:val="18"/>
          <w:b w:val="1"/>
          <w:bCs w:val="1"/>
          <w:i w:val="1"/>
          <w:iCs w:val="1"/>
          <w:color w:val="auto"/>
        </w:rPr>
        <w:t>Segment Reporting</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The Company’s segment structure reflects how management makes financial decisions and allocates resources. The Company manages its operations based on the combined results of the retail and wholesale generation businesses with a geographical focus except for Vivint Smart Home operations which are reported within the Vivint Smart Home segment. Corporate represents the corporate business activities, and corporate shared services, to support the Company’s operating segments. The accounting policies of the segments are the same as those applied in the consolidated financial statements as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Company’s 2025 Form 10-K.</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NRG’s chief operating decision maker (“CODM”), its chief executive officer, uses more than one measure to evaluate the performance of its segments and allocate resources, including net income/(loss) and various non-GAAP financial measures such as adjusted earnings before interest, taxes, depreciation and amortization, or Adjusted EBITDA. Net income/(loss) and Adjusted EBITDA are used to review business performance and allocate resources as it provides a clearer view of segment profitability by focusing on operational performance. Additionally, operating expenses’ impact on each operating segment results are analyzed. On a monthly basis, Adjusted EBITDA is compared against the budget, latest forecast, and prior period.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1"/>
                <w:szCs w:val="11"/>
                <w:color w:val="auto"/>
              </w:rPr>
            </w:pPr>
          </w:p>
        </w:tc>
        <w:tc>
          <w:tcPr>
            <w:tcW w:w="80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Texas</w:t>
            </w:r>
            <w:r>
              <w:rPr>
                <w:rFonts w:ascii="Times New Roman" w:cs="Times New Roman" w:eastAsia="Times New Roman" w:hAnsi="Times New Roman"/>
                <w:sz w:val="18"/>
                <w:szCs w:val="18"/>
                <w:b w:val="1"/>
                <w:bCs w:val="1"/>
                <w:color w:val="auto"/>
                <w:vertAlign w:val="superscript"/>
              </w:rPr>
              <w:t>(a)</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East</w:t>
            </w:r>
            <w:r>
              <w:rPr>
                <w:rFonts w:ascii="Times New Roman" w:cs="Times New Roman" w:eastAsia="Times New Roman" w:hAnsi="Times New Roman"/>
                <w:sz w:val="18"/>
                <w:szCs w:val="18"/>
                <w:b w:val="1"/>
                <w:bCs w:val="1"/>
                <w:color w:val="auto"/>
                <w:vertAlign w:val="superscript"/>
              </w:rPr>
              <w:t>(a)</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20" w:type="dxa"/>
            <w:vAlign w:val="bottom"/>
            <w:vMerge w:val="restart"/>
          </w:tcPr>
          <w:p>
            <w:pPr>
              <w:spacing w:after="0"/>
              <w:rPr>
                <w:sz w:val="11"/>
                <w:szCs w:val="11"/>
                <w:color w:val="auto"/>
              </w:rPr>
            </w:pPr>
          </w:p>
        </w:tc>
        <w:tc>
          <w:tcPr>
            <w:tcW w:w="1060" w:type="dxa"/>
            <w:vAlign w:val="bottom"/>
            <w:gridSpan w:val="3"/>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Vivint Smart</w:t>
            </w:r>
          </w:p>
        </w:tc>
        <w:tc>
          <w:tcPr>
            <w:tcW w:w="160" w:type="dxa"/>
            <w:vAlign w:val="bottom"/>
          </w:tcPr>
          <w:p>
            <w:pPr>
              <w:spacing w:after="0"/>
              <w:rPr>
                <w:sz w:val="11"/>
                <w:szCs w:val="11"/>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Home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r>
              <w:rPr>
                <w:rFonts w:ascii="Times New Roman" w:cs="Times New Roman" w:eastAsia="Times New Roman" w:hAnsi="Times New Roman"/>
                <w:sz w:val="20"/>
                <w:szCs w:val="20"/>
                <w:b w:val="1"/>
                <w:bCs w:val="1"/>
                <w:color w:val="auto"/>
                <w:vertAlign w:val="superscript"/>
              </w:rPr>
              <w:t>(b)</w:t>
            </w:r>
          </w:p>
        </w:tc>
        <w:tc>
          <w:tcPr>
            <w:tcW w:w="1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2,393</w:t>
            </w:r>
          </w:p>
        </w:tc>
        <w:tc>
          <w:tcPr>
            <w:tcW w:w="100" w:type="dxa"/>
            <w:vAlign w:val="bottom"/>
            <w:shd w:val="clear" w:color="auto" w:fill="CCEEFF"/>
          </w:tcPr>
          <w:p>
            <w:pPr>
              <w:spacing w:after="0"/>
              <w:rPr>
                <w:sz w:val="24"/>
                <w:szCs w:val="24"/>
                <w:color w:val="auto"/>
              </w:rPr>
            </w:pP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6,432</w:t>
            </w:r>
          </w:p>
        </w:tc>
        <w:tc>
          <w:tcPr>
            <w:tcW w:w="100" w:type="dxa"/>
            <w:vAlign w:val="bottom"/>
            <w:shd w:val="clear" w:color="auto" w:fill="CCEEFF"/>
          </w:tcPr>
          <w:p>
            <w:pPr>
              <w:spacing w:after="0"/>
              <w:rPr>
                <w:sz w:val="24"/>
                <w:szCs w:val="2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20" w:type="dxa"/>
            <w:vAlign w:val="bottom"/>
            <w:shd w:val="clear" w:color="auto" w:fill="CCEEFF"/>
          </w:tcPr>
          <w:p>
            <w:pPr>
              <w:spacing w:after="0"/>
              <w:rPr>
                <w:sz w:val="24"/>
                <w:szCs w:val="24"/>
                <w:color w:val="auto"/>
              </w:rPr>
            </w:pPr>
          </w:p>
        </w:tc>
        <w:tc>
          <w:tcPr>
            <w:tcW w:w="2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24"/>
                <w:szCs w:val="2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7"/>
              </w:rPr>
              <w:t>(11)</w:t>
            </w:r>
          </w:p>
        </w:tc>
        <w:tc>
          <w:tcPr>
            <w:tcW w:w="100" w:type="dxa"/>
            <w:vAlign w:val="bottom"/>
            <w:shd w:val="clear" w:color="auto" w:fill="CCEEFF"/>
          </w:tcPr>
          <w:p>
            <w:pPr>
              <w:spacing w:after="0"/>
              <w:rPr>
                <w:sz w:val="24"/>
                <w:szCs w:val="24"/>
                <w:color w:val="auto"/>
              </w:rPr>
            </w:pPr>
          </w:p>
        </w:tc>
        <w:tc>
          <w:tcPr>
            <w:tcW w:w="2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10,256</w:t>
            </w:r>
          </w:p>
        </w:tc>
        <w:tc>
          <w:tcPr>
            <w:tcW w:w="0" w:type="dxa"/>
            <w:vAlign w:val="bottom"/>
          </w:tcPr>
          <w:p>
            <w:pPr>
              <w:spacing w:after="0"/>
              <w:rPr>
                <w:sz w:val="1"/>
                <w:szCs w:val="1"/>
                <w:color w:val="auto"/>
              </w:rPr>
            </w:pPr>
          </w:p>
        </w:tc>
      </w:tr>
      <w:tr>
        <w:trPr>
          <w:trHeight w:val="83"/>
        </w:trPr>
        <w:tc>
          <w:tcPr>
            <w:tcW w:w="354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7"/>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9,496</w:t>
            </w:r>
          </w:p>
        </w:tc>
        <w:tc>
          <w:tcPr>
            <w:tcW w:w="0" w:type="dxa"/>
            <w:vAlign w:val="bottom"/>
          </w:tcPr>
          <w:p>
            <w:pPr>
              <w:spacing w:after="0"/>
              <w:rPr>
                <w:sz w:val="1"/>
                <w:szCs w:val="1"/>
                <w:color w:val="auto"/>
              </w:rPr>
            </w:pPr>
          </w:p>
        </w:tc>
      </w:tr>
      <w:tr>
        <w:trPr>
          <w:trHeight w:val="3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24"/>
                <w:szCs w:val="24"/>
                <w:color w:val="auto"/>
              </w:rPr>
            </w:pPr>
          </w:p>
        </w:tc>
        <w:tc>
          <w:tcPr>
            <w:tcW w:w="8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2"/>
            <w:vMerge w:val="restart"/>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24"/>
                <w:szCs w:val="2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136"/>
        </w:trPr>
        <w:tc>
          <w:tcPr>
            <w:tcW w:w="3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Total operating cost and expenses</w:t>
            </w: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2,364</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center"/>
              <w:ind w:left="522"/>
              <w:spacing w:after="0"/>
              <w:rPr>
                <w:sz w:val="20"/>
                <w:szCs w:val="20"/>
                <w:color w:val="auto"/>
              </w:rPr>
            </w:pPr>
            <w:r>
              <w:rPr>
                <w:rFonts w:ascii="Times New Roman" w:cs="Times New Roman" w:eastAsia="Times New Roman" w:hAnsi="Times New Roman"/>
                <w:sz w:val="16"/>
                <w:szCs w:val="16"/>
                <w:color w:val="auto"/>
                <w:w w:val="97"/>
              </w:rPr>
              <w:t>(11)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9,928</w:t>
            </w:r>
          </w:p>
        </w:tc>
        <w:tc>
          <w:tcPr>
            <w:tcW w:w="0" w:type="dxa"/>
            <w:vAlign w:val="bottom"/>
          </w:tcPr>
          <w:p>
            <w:pPr>
              <w:spacing w:after="0"/>
              <w:rPr>
                <w:sz w:val="1"/>
                <w:szCs w:val="1"/>
                <w:color w:val="auto"/>
              </w:rPr>
            </w:pPr>
          </w:p>
        </w:tc>
      </w:tr>
      <w:tr>
        <w:trPr>
          <w:trHeight w:val="206"/>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Operating income/(loss)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54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09"/>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left="44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2"/>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Income/(loss) before income taxes</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left="54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3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160" w:type="dxa"/>
            <w:vAlign w:val="bottom"/>
            <w:shd w:val="clear" w:color="auto" w:fill="CCEEFF"/>
          </w:tcPr>
          <w:p>
            <w:pPr>
              <w:spacing w:after="0"/>
              <w:rPr>
                <w:sz w:val="24"/>
                <w:szCs w:val="2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2"/>
            <w:vMerge w:val="restart"/>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24"/>
                <w:szCs w:val="2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36"/>
        </w:trPr>
        <w:tc>
          <w:tcPr>
            <w:tcW w:w="3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income/(loss)</w:t>
            </w:r>
          </w:p>
        </w:tc>
        <w:tc>
          <w:tcPr>
            <w:tcW w:w="1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center"/>
              <w:ind w:left="54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bl>
    <w:p>
      <w:pPr>
        <w:ind w:left="220" w:hanging="197"/>
        <w:spacing w:after="0"/>
        <w:tabs>
          <w:tab w:leader="none" w:pos="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result of operations following the acquisition date of the LSP Portfolio of January 30, 2026</w:t>
      </w:r>
    </w:p>
    <w:p>
      <w:pPr>
        <w:spacing w:after="0" w:line="162" w:lineRule="exact"/>
        <w:rPr>
          <w:rFonts w:ascii="Times New Roman" w:cs="Times New Roman" w:eastAsia="Times New Roman" w:hAnsi="Times New Roman"/>
          <w:sz w:val="14"/>
          <w:szCs w:val="14"/>
          <w:color w:val="auto"/>
        </w:rPr>
      </w:pPr>
    </w:p>
    <w:p>
      <w:pPr>
        <w:ind w:left="220" w:hanging="197"/>
        <w:spacing w:after="0"/>
        <w:tabs>
          <w:tab w:leader="none" w:pos="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sales and inter-segment net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135495" cy="1250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5495" cy="125095"/>
                    </a:xfrm>
                    <a:prstGeom prst="rect">
                      <a:avLst/>
                    </a:prstGeom>
                    <a:noFill/>
                  </pic:spPr>
                </pic:pic>
              </a:graphicData>
            </a:graphic>
          </wp:anchor>
        </w:drawing>
      </w:r>
    </w:p>
    <w:p>
      <w:pPr>
        <w:ind w:left="180"/>
        <w:spacing w:after="0" w:line="211" w:lineRule="auto"/>
        <w:rPr>
          <w:sz w:val="20"/>
          <w:szCs w:val="20"/>
          <w:color w:val="auto"/>
        </w:rPr>
      </w:pPr>
      <w:r>
        <w:rPr>
          <w:rFonts w:ascii="Times New Roman" w:cs="Times New Roman" w:eastAsia="Times New Roman" w:hAnsi="Times New Roman"/>
          <w:sz w:val="14"/>
          <w:szCs w:val="14"/>
          <w:color w:val="auto"/>
        </w:rPr>
        <w:t>gains and losses included in revenues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16"/>
                <w:szCs w:val="16"/>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6"/>
                <w:szCs w:val="16"/>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6"/>
                <w:szCs w:val="16"/>
                <w:color w:val="auto"/>
              </w:rPr>
            </w:pP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1"/>
        </w:trPr>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segment information</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397"/>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0"/>
                <w:szCs w:val="10"/>
                <w:color w:val="auto"/>
              </w:rPr>
            </w:pPr>
          </w:p>
        </w:tc>
        <w:tc>
          <w:tcPr>
            <w:tcW w:w="76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Texas</w:t>
            </w:r>
          </w:p>
        </w:tc>
        <w:tc>
          <w:tcPr>
            <w:tcW w:w="10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East</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00" w:type="dxa"/>
            <w:vAlign w:val="bottom"/>
            <w:vMerge w:val="restart"/>
          </w:tcPr>
          <w:p>
            <w:pPr>
              <w:spacing w:after="0"/>
              <w:rPr>
                <w:sz w:val="10"/>
                <w:szCs w:val="10"/>
                <w:color w:val="auto"/>
              </w:rPr>
            </w:pPr>
          </w:p>
        </w:tc>
        <w:tc>
          <w:tcPr>
            <w:tcW w:w="1060" w:type="dxa"/>
            <w:vAlign w:val="bottom"/>
            <w:gridSpan w:val="3"/>
          </w:tcPr>
          <w:p>
            <w:pPr>
              <w:ind w:left="100"/>
              <w:spacing w:after="0" w:line="125" w:lineRule="exact"/>
              <w:rPr>
                <w:sz w:val="20"/>
                <w:szCs w:val="20"/>
                <w:color w:val="auto"/>
              </w:rPr>
            </w:pPr>
            <w:r>
              <w:rPr>
                <w:rFonts w:ascii="Times New Roman" w:cs="Times New Roman" w:eastAsia="Times New Roman" w:hAnsi="Times New Roman"/>
                <w:sz w:val="14"/>
                <w:szCs w:val="14"/>
                <w:b w:val="1"/>
                <w:bCs w:val="1"/>
                <w:color w:val="auto"/>
              </w:rPr>
              <w:t>Vivint Smart</w:t>
            </w:r>
          </w:p>
        </w:tc>
        <w:tc>
          <w:tcPr>
            <w:tcW w:w="180" w:type="dxa"/>
            <w:vAlign w:val="bottom"/>
          </w:tcPr>
          <w:p>
            <w:pPr>
              <w:spacing w:after="0"/>
              <w:rPr>
                <w:sz w:val="10"/>
                <w:szCs w:val="10"/>
                <w:color w:val="auto"/>
              </w:rPr>
            </w:pPr>
          </w:p>
        </w:tc>
        <w:tc>
          <w:tcPr>
            <w:tcW w:w="92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Home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r>
              <w:rPr>
                <w:rFonts w:ascii="Times New Roman" w:cs="Times New Roman" w:eastAsia="Times New Roman" w:hAnsi="Times New Roman"/>
                <w:sz w:val="20"/>
                <w:szCs w:val="20"/>
                <w:b w:val="1"/>
                <w:bCs w:val="1"/>
                <w:color w:val="auto"/>
                <w:vertAlign w:val="superscript"/>
              </w:rPr>
              <w:t>(a)</w:t>
            </w:r>
          </w:p>
        </w:tc>
        <w:tc>
          <w:tcPr>
            <w:tcW w:w="2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2,435</w:t>
            </w:r>
          </w:p>
        </w:tc>
        <w:tc>
          <w:tcPr>
            <w:tcW w:w="100" w:type="dxa"/>
            <w:vAlign w:val="bottom"/>
            <w:shd w:val="clear" w:color="auto" w:fill="CCEEFF"/>
          </w:tcPr>
          <w:p>
            <w:pPr>
              <w:spacing w:after="0"/>
              <w:rPr>
                <w:sz w:val="24"/>
                <w:szCs w:val="24"/>
                <w:color w:val="auto"/>
              </w:rPr>
            </w:pPr>
          </w:p>
        </w:tc>
        <w:tc>
          <w:tcPr>
            <w:tcW w:w="2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100" w:type="dxa"/>
            <w:vAlign w:val="bottom"/>
            <w:shd w:val="clear" w:color="auto" w:fill="CCEEFF"/>
          </w:tcPr>
          <w:p>
            <w:pPr>
              <w:spacing w:after="0"/>
              <w:rPr>
                <w:sz w:val="24"/>
                <w:szCs w:val="2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shd w:val="clear" w:color="auto" w:fill="CCEEFF"/>
          </w:tcPr>
          <w:p>
            <w:pPr>
              <w:spacing w:after="0"/>
              <w:rPr>
                <w:sz w:val="24"/>
                <w:szCs w:val="24"/>
                <w:color w:val="auto"/>
              </w:rPr>
            </w:pPr>
          </w:p>
        </w:tc>
        <w:tc>
          <w:tcPr>
            <w:tcW w:w="2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shd w:val="clear" w:color="auto" w:fill="CCEEFF"/>
          </w:tcPr>
          <w:p>
            <w:pPr>
              <w:spacing w:after="0"/>
              <w:rPr>
                <w:sz w:val="24"/>
                <w:szCs w:val="24"/>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w w:val="96"/>
              </w:rPr>
              <w:t>(8)</w:t>
            </w:r>
          </w:p>
        </w:tc>
        <w:tc>
          <w:tcPr>
            <w:tcW w:w="100" w:type="dxa"/>
            <w:vAlign w:val="bottom"/>
            <w:shd w:val="clear" w:color="auto" w:fill="CCEEFF"/>
          </w:tcPr>
          <w:p>
            <w:pPr>
              <w:spacing w:after="0"/>
              <w:rPr>
                <w:sz w:val="24"/>
                <w:szCs w:val="24"/>
                <w:color w:val="auto"/>
              </w:rPr>
            </w:pPr>
          </w:p>
        </w:tc>
        <w:tc>
          <w:tcPr>
            <w:tcW w:w="2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8,585</w:t>
            </w:r>
          </w:p>
        </w:tc>
        <w:tc>
          <w:tcPr>
            <w:tcW w:w="0" w:type="dxa"/>
            <w:vAlign w:val="bottom"/>
          </w:tcPr>
          <w:p>
            <w:pPr>
              <w:spacing w:after="0"/>
              <w:rPr>
                <w:sz w:val="1"/>
                <w:szCs w:val="1"/>
                <w:color w:val="auto"/>
              </w:rPr>
            </w:pPr>
          </w:p>
        </w:tc>
      </w:tr>
      <w:tr>
        <w:trPr>
          <w:trHeight w:val="83"/>
        </w:trPr>
        <w:tc>
          <w:tcPr>
            <w:tcW w:w="354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6"/>
                <w:szCs w:val="16"/>
                <w:color w:val="auto"/>
                <w:w w:val="96"/>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7,118</w:t>
            </w:r>
          </w:p>
        </w:tc>
        <w:tc>
          <w:tcPr>
            <w:tcW w:w="0" w:type="dxa"/>
            <w:vAlign w:val="bottom"/>
          </w:tcPr>
          <w:p>
            <w:pPr>
              <w:spacing w:after="0"/>
              <w:rPr>
                <w:sz w:val="1"/>
                <w:szCs w:val="1"/>
                <w:color w:val="auto"/>
              </w:rPr>
            </w:pPr>
          </w:p>
        </w:tc>
      </w:tr>
      <w:tr>
        <w:trPr>
          <w:trHeight w:val="33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24"/>
                <w:szCs w:val="24"/>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operating cost and expenses</w:t>
            </w: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2,098</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3,876</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w w:val="96"/>
              </w:rPr>
              <w:t>(8)</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7,444</w:t>
            </w: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sale of assets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2"/>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Operating income/(loss)</w:t>
            </w: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9"/>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06"/>
        </w:trPr>
        <w:tc>
          <w:tcPr>
            <w:tcW w:w="35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Income/(loss) before income taxes</w:t>
            </w: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0" w:type="dxa"/>
            <w:vAlign w:val="bottom"/>
          </w:tcPr>
          <w:p>
            <w:pPr>
              <w:spacing w:after="0"/>
              <w:rPr>
                <w:sz w:val="1"/>
                <w:szCs w:val="1"/>
                <w:color w:val="auto"/>
              </w:rPr>
            </w:pPr>
          </w:p>
        </w:tc>
      </w:tr>
      <w:tr>
        <w:trPr>
          <w:trHeight w:val="209"/>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31"/>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w:t>
            </w: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180" w:right="8100" w:hanging="157"/>
        <w:spacing w:after="0" w:line="225" w:lineRule="auto"/>
        <w:tabs>
          <w:tab w:leader="none" w:pos="21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sales and inter-segment net derivative gains and losses included in revenues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00" w:type="dxa"/>
            <w:vAlign w:val="bottom"/>
          </w:tcPr>
          <w:p>
            <w:pPr>
              <w:spacing w:after="0"/>
              <w:rPr>
                <w:sz w:val="16"/>
                <w:szCs w:val="16"/>
                <w:color w:val="auto"/>
              </w:rPr>
            </w:pPr>
          </w:p>
        </w:tc>
        <w:tc>
          <w:tcPr>
            <w:tcW w:w="12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5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w:t>
            </w:r>
          </w:p>
        </w:tc>
        <w:tc>
          <w:tcPr>
            <w:tcW w:w="5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w:t>
            </w:r>
          </w:p>
        </w:tc>
        <w:tc>
          <w:tcPr>
            <w:tcW w:w="5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50"/>
        </w:trPr>
        <w:tc>
          <w:tcPr>
            <w:tcW w:w="27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segment information</w:t>
            </w: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20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190</w:t>
            </w:r>
          </w:p>
        </w:tc>
        <w:tc>
          <w:tcPr>
            <w:tcW w:w="5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w:t>
            </w:r>
          </w:p>
        </w:tc>
        <w:tc>
          <w:tcPr>
            <w:tcW w:w="5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5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23</w:t>
            </w:r>
          </w:p>
        </w:tc>
        <w:tc>
          <w:tcPr>
            <w:tcW w:w="5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8"/>
          <w:szCs w:val="18"/>
          <w:color w:val="auto"/>
        </w:rPr>
        <w:t>The following table summarizes balance sheet information by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gridSpan w:val="6"/>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2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60" w:type="dxa"/>
            <w:vAlign w:val="bottom"/>
          </w:tcPr>
          <w:p>
            <w:pPr>
              <w:spacing w:after="0"/>
              <w:rPr>
                <w:sz w:val="11"/>
                <w:szCs w:val="11"/>
                <w:color w:val="auto"/>
              </w:rPr>
            </w:pPr>
          </w:p>
        </w:tc>
        <w:tc>
          <w:tcPr>
            <w:tcW w:w="900" w:type="dxa"/>
            <w:vAlign w:val="bottom"/>
            <w:vMerge w:val="restart"/>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Vivint Smart</w:t>
            </w:r>
          </w:p>
        </w:tc>
        <w:tc>
          <w:tcPr>
            <w:tcW w:w="20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Home</w:t>
            </w: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tcBorders>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Goodwill</w:t>
            </w:r>
            <w:r>
              <w:rPr>
                <w:rFonts w:ascii="Times New Roman" w:cs="Times New Roman" w:eastAsia="Times New Roman" w:hAnsi="Times New Roman"/>
                <w:sz w:val="20"/>
                <w:szCs w:val="20"/>
                <w:color w:val="auto"/>
                <w:vertAlign w:val="superscript"/>
              </w:rPr>
              <w:t>(a)</w:t>
            </w: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2,234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8,881</w:t>
            </w:r>
          </w:p>
        </w:tc>
        <w:tc>
          <w:tcPr>
            <w:tcW w:w="0" w:type="dxa"/>
            <w:vAlign w:val="bottom"/>
          </w:tcPr>
          <w:p>
            <w:pPr>
              <w:spacing w:after="0"/>
              <w:rPr>
                <w:sz w:val="1"/>
                <w:szCs w:val="1"/>
                <w:color w:val="auto"/>
              </w:rPr>
            </w:pPr>
          </w:p>
        </w:tc>
      </w:tr>
      <w:tr>
        <w:trPr>
          <w:trHeight w:val="201"/>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15,392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6,830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40,053</w:t>
            </w:r>
          </w:p>
        </w:tc>
        <w:tc>
          <w:tcPr>
            <w:tcW w:w="0" w:type="dxa"/>
            <w:vAlign w:val="bottom"/>
          </w:tcPr>
          <w:p>
            <w:pPr>
              <w:spacing w:after="0"/>
              <w:rPr>
                <w:sz w:val="1"/>
                <w:szCs w:val="1"/>
                <w:color w:val="auto"/>
              </w:rPr>
            </w:pPr>
          </w:p>
        </w:tc>
      </w:tr>
      <w:tr>
        <w:trPr>
          <w:trHeight w:val="183"/>
        </w:trPr>
        <w:tc>
          <w:tcPr>
            <w:tcW w:w="9120" w:type="dxa"/>
            <w:vAlign w:val="bottom"/>
            <w:gridSpan w:val="17"/>
          </w:tcPr>
          <w:p>
            <w:pPr>
              <w:ind w:left="20"/>
              <w:spacing w:after="0"/>
              <w:rPr>
                <w:sz w:val="20"/>
                <w:szCs w:val="20"/>
                <w:color w:val="auto"/>
              </w:rPr>
            </w:pPr>
            <w:r>
              <w:rPr>
                <w:rFonts w:ascii="Times New Roman" w:cs="Times New Roman" w:eastAsia="Times New Roman" w:hAnsi="Times New Roman"/>
                <w:sz w:val="14"/>
                <w:szCs w:val="14"/>
                <w:color w:val="auto"/>
              </w:rPr>
              <w:t>(a) The goodwill associated with the acquisition of the LSP Portfolio has been preliminarily allocated to the Texas and East segments as of March 31, 2026</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2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60" w:type="dxa"/>
            <w:vAlign w:val="bottom"/>
          </w:tcPr>
          <w:p>
            <w:pPr>
              <w:spacing w:after="0"/>
              <w:rPr>
                <w:sz w:val="11"/>
                <w:szCs w:val="11"/>
                <w:color w:val="auto"/>
              </w:rPr>
            </w:pPr>
          </w:p>
        </w:tc>
        <w:tc>
          <w:tcPr>
            <w:tcW w:w="900" w:type="dxa"/>
            <w:vAlign w:val="bottom"/>
            <w:vMerge w:val="restart"/>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Vivint Smart</w:t>
            </w:r>
          </w:p>
        </w:tc>
        <w:tc>
          <w:tcPr>
            <w:tcW w:w="20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Home</w:t>
            </w: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w:t>
            </w:r>
          </w:p>
        </w:tc>
        <w:tc>
          <w:tcPr>
            <w:tcW w:w="0" w:type="dxa"/>
            <w:vAlign w:val="bottom"/>
          </w:tcPr>
          <w:p>
            <w:pPr>
              <w:spacing w:after="0"/>
              <w:rPr>
                <w:sz w:val="1"/>
                <w:szCs w:val="1"/>
                <w:color w:val="auto"/>
              </w:rPr>
            </w:pPr>
          </w:p>
        </w:tc>
      </w:tr>
      <w:tr>
        <w:trPr>
          <w:trHeight w:val="207"/>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9,286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6,752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 </w:t>
      </w:r>
      <w:r>
        <w:rPr>
          <w:rFonts w:ascii="Times New Roman" w:cs="Times New Roman" w:eastAsia="Times New Roman" w:hAnsi="Times New Roman"/>
          <w:sz w:val="18"/>
          <w:szCs w:val="18"/>
          <w:b w:val="1"/>
          <w:bCs w:val="1"/>
          <w:i w:val="1"/>
          <w:iCs w:val="1"/>
          <w:color w:val="auto"/>
        </w:rPr>
        <w:t>Income Taxes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Effective Income Tax Rate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income tax provision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rates)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2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3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the effective tax rate was lower than the statutory rate of 21%, primarily due to favorable permanent differences related to stock-based compensation and the remeasurement of state net operating losses as a result of the acquisition of the LSP Portfolio. For the three months ended March 31, 2025, the effective tax rate was higher than the statutory rate of 21%, primarily due to the state tax expense.</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July 4, 2025, H.R.1 - One Big Beautiful Bill Act (“OBBB”) was enacted into law. The OBBB includes changes to U.S. tax law applicable to NRG beginning in 2025. The impact of the OBBB on the Company’s condensed consolidated financial statements has been reflected in its first quarter current and deferred taxes, however, there is no material impact to the income tax (benefit)/expense for the three months ended March 31, 2026.</w:t>
      </w:r>
    </w:p>
    <w:p>
      <w:pPr>
        <w:spacing w:after="0" w:line="7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September 12, 2024, Treasury and the IRS released proposed regulations that provide guidance on the application of the CAMT. The proposed regulations allow the exclusion of unrealized mark-to-market gains and losses, related to qualified hedge transactions, from adjusted financial statement income. The Company will continue to evaluate the applicable corporation status and the impact of the CAMT based on the proposed regulations and new guidance. NRG as an applicable corporation is subject to the CAMT, however, there is no impact on the Company’s provision for income taxes from the CAMT for the three months ended March 31, 2026 and 2025.</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Uncertain Tax Benefits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March 31, 2026, NRG had a non-current tax liability of $62 million for uncertain tax benefits from positions taken on various federal, state, and foreign income tax returns inclusive of accrued interest. For the three months ended March 31, 2026, NRG accrued $1 million of interest relating to the uncertain tax benefits. As of March 31, 2026, NRG had cumulative interest and penalties related to these uncertain tax benefits of $6 million. The Company recognizes interest and penalties related to uncertain tax benefits in income tax expense.</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NRG is subject to examination by taxing authorities for income tax returns filed in the U.S. federal jurisdiction and various state and foreign jurisdictions including operations located in Australia and Canada. The Company is no longer subject to U.S. federal income tax examinations for years prior to 2022. With few exceptions, state and Canadian income tax examinations are no longer open for years prior to 2015.</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 xml:space="preserve">Note 13 — </w:t>
      </w:r>
      <w:r>
        <w:rPr>
          <w:rFonts w:ascii="Times New Roman" w:cs="Times New Roman" w:eastAsia="Times New Roman" w:hAnsi="Times New Roman"/>
          <w:sz w:val="18"/>
          <w:szCs w:val="18"/>
          <w:b w:val="1"/>
          <w:bCs w:val="1"/>
          <w:i w:val="1"/>
          <w:iCs w:val="1"/>
          <w:color w:val="auto"/>
        </w:rPr>
        <w:t>Related Party Transactions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NRG provides services to some of its related parties, which are accounted for as equity method investments, under operations and maintenance agreements. Fees for the services under these agreements include recovery of NRG’s costs of operating the plants. Certain agreements also include fees for administrative services, a base monthly fee, profit margin and/or annual incentive bonus.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NRG’s material related party transactions with third-party affiliates: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6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3"/>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Revenues from Related Parties Included in Revenue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Gladstone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866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Ivanpah</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8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Midway-Sunset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2"/>
        </w:trPr>
        <w:tc>
          <w:tcPr>
            <w:tcW w:w="86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(a) Also includes fees under project management agreements with each project company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 </w:t>
      </w:r>
      <w:r>
        <w:rPr>
          <w:rFonts w:ascii="Times New Roman" w:cs="Times New Roman" w:eastAsia="Times New Roman" w:hAnsi="Times New Roman"/>
          <w:sz w:val="18"/>
          <w:szCs w:val="18"/>
          <w:b w:val="1"/>
          <w:bCs w:val="1"/>
          <w:i w:val="1"/>
          <w:iCs w:val="1"/>
          <w:color w:val="auto"/>
        </w:rPr>
        <w:t>Commitments and Contingencies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First Lien Structure</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has granted first liens to certain counterparties on a substantial portion of property and assets owned by NRG and the guarantors of its senior debt. NRG uses the first lien structure to reduce the amount of cash collateral and letters of credit that it would otherwise be required to post from time to time to support its obligations under out-of-the-money hedges. To the extent that the underlying hedge positions for a counterparty are out-of-the-money to NRG, the counterparty would have a claim under the first lien program. As of March 31, 2026, counterparties’ net exposure to NRG of approximately $203 million on out-of-the-money hedges was secured by the first lien structure.</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11"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 xml:space="preserve">The Company’s material legal proceedings are described below. The Company believes that it has valid defenses to these legal proceedings and intends to defend them vigorously. NRG records accruals for estimated losses from contingencies when information available indicates that a loss is probable and the amount of the loss, or range of loss, can be reasonably estimated. As applicable, the Company believes it has established an adequate accrual for the applicable legal matters, including regulatory and environmental matters as further discussed in Note 15, </w:t>
      </w:r>
      <w:r>
        <w:rPr>
          <w:rFonts w:ascii="Times New Roman" w:cs="Times New Roman" w:eastAsia="Times New Roman" w:hAnsi="Times New Roman"/>
          <w:sz w:val="16"/>
          <w:szCs w:val="16"/>
          <w:i w:val="1"/>
          <w:iCs w:val="1"/>
          <w:color w:val="auto"/>
        </w:rPr>
        <w:t>Regulatory Matters</w:t>
      </w:r>
      <w:r>
        <w:rPr>
          <w:rFonts w:ascii="Times New Roman" w:cs="Times New Roman" w:eastAsia="Times New Roman" w:hAnsi="Times New Roman"/>
          <w:sz w:val="16"/>
          <w:szCs w:val="16"/>
          <w:color w:val="auto"/>
        </w:rPr>
        <w:t xml:space="preserve">, and Note 16, </w:t>
      </w:r>
      <w:r>
        <w:rPr>
          <w:rFonts w:ascii="Times New Roman" w:cs="Times New Roman" w:eastAsia="Times New Roman" w:hAnsi="Times New Roman"/>
          <w:sz w:val="16"/>
          <w:szCs w:val="16"/>
          <w:i w:val="1"/>
          <w:iCs w:val="1"/>
          <w:color w:val="auto"/>
        </w:rPr>
        <w:t>Environmental Matters</w:t>
      </w:r>
      <w:r>
        <w:rPr>
          <w:rFonts w:ascii="Times New Roman" w:cs="Times New Roman" w:eastAsia="Times New Roman" w:hAnsi="Times New Roman"/>
          <w:sz w:val="16"/>
          <w:szCs w:val="16"/>
          <w:color w:val="auto"/>
        </w:rPr>
        <w:t>. In addition, legal costs are expensed as incurred. Management has assessed each of the following matters based on current information and made a judgment concerning its potential outcome, considering the nature of the claim, the amount and nature of damages sought, and the probability of success. Unless specified below, the Company is unable to predict the outcome of these legal proceedings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accruals and that such difference could be material.</w:t>
      </w:r>
    </w:p>
    <w:p>
      <w:pPr>
        <w:spacing w:after="0" w:line="5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addition to the legal proceedings noted below, NRG and its subsidiaries are party to other litigation or legal proceedings arising in the ordinary course of business. In management’s opinion, the disposition of these ordinary course matters will not materially adversely affect NRG’s consolidated financial position, results of operations, or cash flows.</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Environmental Lawsuits</w:t>
      </w:r>
    </w:p>
    <w:p>
      <w:pPr>
        <w:spacing w:after="0" w:line="9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Sierra club et al. v. Midwest Generation LLC </w:t>
      </w:r>
      <w:r>
        <w:rPr>
          <w:rFonts w:ascii="Times New Roman" w:cs="Times New Roman" w:eastAsia="Times New Roman" w:hAnsi="Times New Roman"/>
          <w:sz w:val="18"/>
          <w:szCs w:val="18"/>
          <w:color w:val="auto"/>
        </w:rPr>
        <w:t>— In 2012, several environmental groups filed a complaint against Midwest Generation with the Illinois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Pollution Control Board (“IPCB”) alleging violations of environmental law resulting in groundwater contamination. In June 2019, the IPCB found in an interim order that Midwest Generation violated the law because it had improperly handled coal ash at four facilities in Illinois and caused or allowed coal ash constituents to impact groundwater. On September 9, 2019, Midwest Generation filed a Motion to Reconsider numerous issues, which the court granted in part and denied in part on February 6, 2020. In 2023, the IPCB held hearings regarding the appropriate relief. Midwest Generation has been working with the Illinois EPA to address the groundwater issues since 2010.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Consumer Lawsuits</w:t>
      </w:r>
    </w:p>
    <w:p>
      <w:pPr>
        <w:spacing w:after="0" w:line="10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Similar to other energy service companies (“ESCOs”) and smart home companies operating in the industry, from time-to-time, the Company and/or its subsidiaries may be subject to consumer lawsuits in various jurisdictions where they sell natural gas, electricity or smart home solutions.</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Variable Price Case</w:t>
      </w:r>
    </w:p>
    <w:p>
      <w:pPr>
        <w:spacing w:after="0" w:line="10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Mirkin v. XOOM Energy (E.D.N.Y. Aug. 2019) </w:t>
      </w:r>
      <w:r>
        <w:rPr>
          <w:rFonts w:ascii="Times New Roman" w:cs="Times New Roman" w:eastAsia="Times New Roman" w:hAnsi="Times New Roman"/>
          <w:sz w:val="18"/>
          <w:szCs w:val="18"/>
          <w:color w:val="auto"/>
        </w:rPr>
        <w:t>— XOOM Energy is a defendant in a putative class action lawsuit pending in New York, alleging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XOOM Energy breached its contractual duty to set customer variable rates based on actual and estimated supply costs. The Court denied XOOM’s motion for summary judgment and granted class certification. The Second Circuit denied XOOM’s request to appeal the class certification grants. XOOM prevailed in its challenge to Mirkin’s expert reports. The Court granted XOOM’s motion to exclude both reports on damages. As a result, Mirkin has no method to establish damages for its class. The Court is considering whether class certification is still appropriate. Recently, this matter was moved to a new judge for further handling. A trial setting has not yet been scheduled. This matter was known and accrued for at the time of the XOOM acquisition.</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Telephone Consumer Protection Act (“TCPA”) Case</w:t>
      </w:r>
    </w:p>
    <w:p>
      <w:pPr>
        <w:spacing w:after="0" w:line="109"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i w:val="1"/>
          <w:iCs w:val="1"/>
          <w:color w:val="auto"/>
        </w:rPr>
        <w:t xml:space="preserve">Matthew Dickson v. Direct Energy (N.D. Ohio Jan. 2018) </w:t>
      </w:r>
      <w:r>
        <w:rPr>
          <w:rFonts w:ascii="Times New Roman" w:cs="Times New Roman" w:eastAsia="Times New Roman" w:hAnsi="Times New Roman"/>
          <w:sz w:val="16"/>
          <w:szCs w:val="16"/>
          <w:color w:val="auto"/>
        </w:rPr>
        <w:t>— The Company is currently defending a putative class action involving consumers alleging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violations of the Telephone Consumer Protection Act of 1991, as amended, by receiving calls, texts or voicemails without consent in violation of the federal Telemarketing Sales Rule, and/or state counterpart legislation. The Company denies the allegations asserted by plaintiffs and intends to vigorously defend this matter. This matter was known and accrued for at the time of the Direct Energy acquisition. This case was stayed pending the outcome of an appeal to the Sixth Circuit based on the unconstitutionality of the TCPA during the period from 2015-2020. The Sixth Circuit found the TCPA was in effect during that period and remanded the case back to the trial court. Direct Energy refiled its motions along with supplements. On March 25, 2022, the Court granted summary judgment in favor of Direct Energy and dismissed the case. Dickson appealed and the case was sent back to the trial court. The parties conducted fact and expert discovery and Direct Energy submitted its motion for summary judgment in August 2024. On December 16, 2025, the Court granted summary judgment in favor of Direct Energy. The Court subsequently entered default judgments against the remaining two defendants. Dickson timely filed their appeal.</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Winter Storm Uri Lawsuits</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Company has been named in certain property damage and wrongful death claims that have been filed in connection with Winter Storm Uri in its capacity as a generator and a retail electric provider. Most of the lawsuits related to Winter Storm Uri are consolidated into a single multi-district litigation matter in Harris County District Court. NRG’s retail electric providers have since been dismissed from the multi-district litigation. As a power generator, the Company is named in various cases with claims ranging from: wrongful death; personal injury only; property damage and personal injury; property damage only; and subrogation. The First Court of Appeals conditionally granted the generators’ mandamus relief, ordering the trial court to grant the generator defendants’ Motion to Dismiss. The plaintiffs challenged the ruling to the Texas Supreme Court. On March 27, 2026, the Texas Supreme Court denied review of the plaintiffs’ appeal. NRG awaits the trial court’s application of the dismissal across all of the cases filed against the generators. The Company will continue to vigorously defend these matters.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15 — </w:t>
      </w:r>
      <w:r>
        <w:rPr>
          <w:rFonts w:ascii="Times New Roman" w:cs="Times New Roman" w:eastAsia="Times New Roman" w:hAnsi="Times New Roman"/>
          <w:sz w:val="18"/>
          <w:szCs w:val="18"/>
          <w:b w:val="1"/>
          <w:bCs w:val="1"/>
          <w:i w:val="1"/>
          <w:iCs w:val="1"/>
          <w:color w:val="auto"/>
        </w:rPr>
        <w:t>Regulatory Matters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Environmental regulatory matters are discussed within Note 16, </w:t>
      </w:r>
      <w:r>
        <w:rPr>
          <w:rFonts w:ascii="Times New Roman" w:cs="Times New Roman" w:eastAsia="Times New Roman" w:hAnsi="Times New Roman"/>
          <w:sz w:val="18"/>
          <w:szCs w:val="18"/>
          <w:i w:val="1"/>
          <w:iCs w:val="1"/>
          <w:color w:val="auto"/>
        </w:rPr>
        <w:t>Environmental Matters.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 operates in a highly regulated industry and is subject to regulation by various federal, state and provincial agencies. As such, NRG is affected by regulatory developments at the federal, state and provincial levels and in the regions in which NRG operates. In addition, NRG is subject to the market rules, procedures, and protocols of the various ISO and RTO markets in which NRG participates. These power markets are subject to ongoing legislative and regulatory changes that may impact NRG’s wholesale and retail operations.</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addition to the regulatory proceeding noted below, NRG and its subsidiaries are parties to other regulatory proceedings arising in the ordinary course of business or have other regulatory exposure. In management’s opinion, the disposition of these ordinary course matters will not materially adversely affect NRG’s consolidated financial position, results of operations, or cash flows.</w:t>
      </w:r>
    </w:p>
    <w:p>
      <w:pPr>
        <w:spacing w:after="0" w:line="73" w:lineRule="exact"/>
        <w:rPr>
          <w:sz w:val="20"/>
          <w:szCs w:val="20"/>
          <w:color w:val="auto"/>
        </w:rPr>
      </w:pPr>
    </w:p>
    <w:p>
      <w:pPr>
        <w:jc w:val="both"/>
        <w:ind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NYSPSC – Order to Show Cause </w:t>
      </w:r>
      <w:r>
        <w:rPr>
          <w:rFonts w:ascii="Times New Roman" w:cs="Times New Roman" w:eastAsia="Times New Roman" w:hAnsi="Times New Roman"/>
          <w:sz w:val="16"/>
          <w:szCs w:val="16"/>
          <w:color w:val="auto"/>
        </w:rPr>
        <w:t>— The NYSPSC issued an order referred to as the Retail Reset Order in December 2019 that limited the offers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ESCOs for electric and natural gas to three compliant products: guaranteed savings from the utility default rate, a fixed rate commodity product that is priced at no more than 5% greater than the trailing 12-month average utility supply rate or New York-sourced renewable energy that is at least 50% greater than the prevailing New York Renewable Energy Standard for load serving entities. Subsequently, the NYSPSC issued an order referred to as the Clarification Order 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4" w:name="page45"/>
    <w:bookmarkEnd w:id="44"/>
    <w:p>
      <w:pPr>
        <w:jc w:val="both"/>
        <w:spacing w:after="0" w:line="247" w:lineRule="auto"/>
        <w:rPr>
          <w:sz w:val="20"/>
          <w:szCs w:val="20"/>
          <w:color w:val="auto"/>
        </w:rPr>
      </w:pPr>
      <w:r>
        <w:rPr>
          <w:rFonts w:ascii="Times New Roman" w:cs="Times New Roman" w:eastAsia="Times New Roman" w:hAnsi="Times New Roman"/>
          <w:sz w:val="18"/>
          <w:szCs w:val="18"/>
          <w:color w:val="auto"/>
        </w:rPr>
        <w:t>September 18, 2020 stating the Retail Reset Order applies only to prospective customer contracts. NRG took action to comply with the order when it became effective April 16, 2021. On January 8, 2024, the NYSPSC notified eight of NRG’s retail energy suppliers (serving both electricity and natural gas) of alleged non-compliance with New York regulatory requirements. NRG responded to the notices in February 2024 and on September 23, 2025, the NYSPSC issued a follow-up order further alleging separately that the NRG retail supplier responsible for selling natural gas to commercial and industrial customers had been improperly serving residential customers. On April 16, 2026, the NYSPSC approved a settlement agreement which resolved all outstanding claims and permitted NRG to maintain its eligibility to serve customers. The agreement requires NRG to: (i) establish a $50 million fund for distribution to certain legacy customers; (ii) offer those same customers a one-time opportunity to enroll on a special discounted 12-month rate; and (iii) distribute approximately $920 thousand to certain low-income customers. This matter was accrued for as of March 31,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16 — </w:t>
      </w:r>
      <w:r>
        <w:rPr>
          <w:rFonts w:ascii="Times New Roman" w:cs="Times New Roman" w:eastAsia="Times New Roman" w:hAnsi="Times New Roman"/>
          <w:sz w:val="18"/>
          <w:szCs w:val="18"/>
          <w:b w:val="1"/>
          <w:bCs w:val="1"/>
          <w:i w:val="1"/>
          <w:iCs w:val="1"/>
          <w:color w:val="auto"/>
        </w:rPr>
        <w:t>Environmental Matters</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NRG is subject to numerous environmental laws in the development, construction, ownership and operation of power plants. These laws generally require that governmental permits and approvals be obtained before construction and maintained during operation of power plants. In general, the electric generation industry has faced increasingly stringent requirements regarding air quality, GHG emissions, combustion byproducts, water use and discharge, and threatened and endangered species including several rules promulgated in 2024. Future laws may require the addition of emissions controls or other environmental controls or to impose additional restrictions on the operations of the Company’s facilities, which could have a material effect on the Company’s consolidated financial position, results of operations, or cash flows. At the federal level, the President has issued several Executive Orders that indicate that the current administration intends to relax or rescind some previously promulgated regulations. The EPA has proposed several and finalized some rules that relax and/or rescind regulations previously promulgated. The Company has elected to use a $1 million disclosure threshold, as permitted, for environmental proceedings to which the government is a party.</w:t>
      </w:r>
    </w:p>
    <w:p>
      <w:pPr>
        <w:spacing w:after="0" w:line="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Air</w:t>
      </w:r>
    </w:p>
    <w:p>
      <w:pPr>
        <w:spacing w:after="0" w:line="111" w:lineRule="exact"/>
        <w:rPr>
          <w:sz w:val="20"/>
          <w:szCs w:val="20"/>
          <w:color w:val="auto"/>
        </w:rPr>
      </w:pPr>
    </w:p>
    <w:p>
      <w:pPr>
        <w:jc w:val="both"/>
        <w:ind w:firstLine="395"/>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CPP/ACE Rules </w:t>
      </w:r>
      <w:r>
        <w:rPr>
          <w:rFonts w:ascii="Times New Roman" w:cs="Times New Roman" w:eastAsia="Times New Roman" w:hAnsi="Times New Roman"/>
          <w:sz w:val="18"/>
          <w:szCs w:val="18"/>
          <w:color w:val="auto"/>
        </w:rPr>
        <w:t>— The attention in recent years on GHG emissions has resulted in federal and state regulations. In 2019, the EPA promulgated the 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which rescinded the CPP, which had sought to broadly regulate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emissions from the power sector. On January 19, 2021, the U.S. Court of Appeals for the D.C. Circuit (the “D.C. Circuit”) vacated the ACE rule (but on February 22, 2021, at the EPA’s request, stayed the issuance of the portion of the mandate that would vacate the repeal of the CPP). On June 30, 2022, the U.S. Supreme Court held that the “generation shifting” approach in the CPP exceeded the powers granted to the EPA by Congress. On May 9, 2024, the EPA promulgated a rule that repealed the ACE rule and significantly revised the manner in which new combustion-turbine and existing steam EGU’s GHG emissions would be regulated including capturing and storing/sequestering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in some instances. This rule has been challenged by numerous parties in the D.C. Circuit including 27 states with 22 states intervening in support of the rule. The D.C. Circuit held oral arguments related to this rule in December 2024. In February 2025, the court granted a motion the DOJ filed asking the court to hold proceedings in abeyance while the EPA evaluates the rule. On June 17, 2025, the EPA proposed to repeal all GHG emission standards for fossil fuel-fired power plants under Section 111 of the CAA. The EPA is proposing to conclude that GHG emissions from domestic fossil fuel-fired EGUs do not contribute to dangerous air pollution at a level sufficient to invoke the EPA’s authority under CAA Section 111. In addition to its primary proposal to repeal all GHG emission standards for the power sector promulgated in both 2015 and 2024, the EPA has included an alternative proposal to repeal only specific portions. The Company believes that the EPA may amend such regulations this year.</w:t>
      </w:r>
    </w:p>
    <w:p>
      <w:pPr>
        <w:spacing w:after="0" w:line="94"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Cross-State Air Pollution Rule (“CSAPR”) </w:t>
      </w:r>
      <w:r>
        <w:rPr>
          <w:rFonts w:ascii="Times New Roman" w:cs="Times New Roman" w:eastAsia="Times New Roman" w:hAnsi="Times New Roman"/>
          <w:sz w:val="18"/>
          <w:szCs w:val="18"/>
          <w:color w:val="auto"/>
        </w:rPr>
        <w:t>— On March 15, 2023, the EPA signed and released a prepublication version of a final rule that sought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revise the CSAPR to address the good-neighbor obligations of the 2015 ozone NAAQS for 23 states (a Federal Implementation Plan or “FIP”) after earlier having disapproved numerous state plans to address the issue. Several states, including Texas, challenged the EPA’s disapproval of their state plans. On May 1, 2023, the U.S. Court of Appeals for the Fifth Circuit (the “Fifth Circuit”) stayed the EPA’s disapproval of Texas’s and Louisiana’s state plans, which disapprovals are a condition precedent to the EPA imposing its plan on Texas and Louisiana. On March 25, 2025, the Fifth Circuit upheld the EPA’s disapproval of Texas’s and Louisiana’s state plans but did not address the FIP. On May 9, 2025, Texas and other parties petitioned the Fifth Circuit for a rehearing with the whole court. On March 13, 2026, the Fifth Circuit issued a revised opinion vacating and remanding the EPA’s disapproval of Texas’s interstate transport plan. On June 5, 2023, the EPA promulgated the FIP. On June 27, 2024, the U.S. Supreme Court stayed the FIP in the 11 states where the rule had not already been stayed. On April 14, 2025, the D.C. Circuit granted the EPA’s request to hold the legal challenges in abeyance while the EPA revisits the rule. On January 30, 2026, the EPA proposed a Phase 1 reconsideration rule covering Alabama, Arizona, Iowa, Kansas, Kentucky, Minnesota, Mississippi, Nevada, New Mexico and Tennessee. The EPA intends to address additional states in a separate action. The Company cannot predict the outcome of the legal challenges to the various state disapprovals and the final rule promulgated on June 5, 2023.</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5" w:name="page46"/>
    <w:bookmarkEnd w:id="45"/>
    <w:p>
      <w:pPr>
        <w:jc w:val="both"/>
        <w:ind w:firstLine="395"/>
        <w:spacing w:after="0" w:line="284" w:lineRule="auto"/>
        <w:rPr>
          <w:sz w:val="20"/>
          <w:szCs w:val="20"/>
          <w:color w:val="auto"/>
        </w:rPr>
      </w:pPr>
      <w:r>
        <w:rPr>
          <w:rFonts w:ascii="Times New Roman" w:cs="Times New Roman" w:eastAsia="Times New Roman" w:hAnsi="Times New Roman"/>
          <w:sz w:val="17"/>
          <w:szCs w:val="17"/>
          <w:i w:val="1"/>
          <w:iCs w:val="1"/>
          <w:color w:val="auto"/>
        </w:rPr>
        <w:t xml:space="preserve">Regional Haze </w:t>
      </w:r>
      <w:r>
        <w:rPr>
          <w:rFonts w:ascii="Times New Roman" w:cs="Times New Roman" w:eastAsia="Times New Roman" w:hAnsi="Times New Roman"/>
          <w:sz w:val="17"/>
          <w:szCs w:val="17"/>
          <w:color w:val="auto"/>
        </w:rPr>
        <w:t>— In May 2023, the EPA proposed to withdraw the existing Texas Sulfur Dioxide Trading Program and replace it with unit-specific SO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limits for 12 units in Texas to address requirements to improve visibility at National Parks and Wilderness areas. The Company does not expect this proposal to be finalized during the current U.S. presidential administration. On December 5, 2025, the EPA approved Texas’s plans to address the Regional Haze rule.</w:t>
      </w:r>
    </w:p>
    <w:p>
      <w:pPr>
        <w:spacing w:after="0" w:line="5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Mercury and Air Toxics Standards (“MATS”) </w:t>
      </w:r>
      <w:r>
        <w:rPr>
          <w:rFonts w:ascii="Times New Roman" w:cs="Times New Roman" w:eastAsia="Times New Roman" w:hAnsi="Times New Roman"/>
          <w:sz w:val="18"/>
          <w:szCs w:val="18"/>
          <w:color w:val="auto"/>
        </w:rPr>
        <w:t>— On May 7, 2024, the EPA promulgated a final rule that amends the MATS rule by, among other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 the stringency of the filterable particulate matter standard at coal-burning units. The deadline for complying with this more stringent standard had been 2027. On April 8, 2025, the President signed a Proclamation that creates a 2-year exemption for compliance beginning on July 8, 2027 and ending on July 8, 2029 for certain coal units including those owned by the Company. Twenty-three states have challenged this rule in the D.C. Circuit. On June 17, 2025, the EPA proposed to repeal the majority of the 2024 final rule amending the MATS rule. On February 24, 2026, the EPA promulgated a final rule repealing the majority of the 2024 rule amending the MATS rule.</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Water</w:t>
      </w:r>
    </w:p>
    <w:p>
      <w:pPr>
        <w:spacing w:after="0" w:line="113"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ELG — In 2015, the EPA revised the ELG for Steam Electric Generating Facilities, which imposed more stringent requirements (as individual permits were renewed) for wastewater streams from FGD, fly ash, bottom ash and flue gas mercury control. On October 13, 2020, the EPA amended the 2015 ELG rule by: (i) altering the stringency of certain limits for FGD wastewater; (ii) relaxing the zero-discharge requirement for bottom ash transport water; and (iii) changing several deadlines. In 2021, NRG informed its regulators that the Company intends to comply with the ELG by ceasing combustion of coal by the end of 2028 at its domestic coal units outside of Texas, and installing appropriate controls by the end of 2025 at its two plants that have coal-fired units in Texas. On May 9, 2024, the EPA promulgated a rule that again revises the ELG by, among other things, further restricting the discharge of (i) FGD wastewater, (ii) bottom ash transport water, and (iii) combustion residual leachate. The rule was challenged in numerous courts, but the cases were consolidated in the U.S. Court of Appeals for the Eighth Circuit. The outcome of the legal challenges is uncertain. On February 19, 2025, the DOJ filed a motion asking the court to hold proceedings in abeyance while the U.S. presidential administration evaluates the rule, which the court granted. On December 31, 2025, the EPA promulgated a rule that extends several deadlines and provides greater flexibility regarding decisions to invest in more stringent controls.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Byproducts</w:t>
      </w:r>
    </w:p>
    <w:p>
      <w:pPr>
        <w:spacing w:after="0" w:line="11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2015, the EPA finalized the rule regulating byproducts of coal combustion (e.g., ash and gypsum) as solid wastes under the RCRA. On August 21, 2018, the D.C. Circuit found, among other things, that the EPA had not adequately regulated unlined ponds and legacy surface impoundments. On August 28, 2020, the EPA finalized “A Holistic Approach to Closure Part A: Deadline to Initiate Closure,” which amended the April 2015 Rule to address the August 2018 D.C. Circuit decision and extend some of the deadlines. On November 12, 2020, the EPA finalized “A Holistic Approach to Closure Part B: Alternative Demonstration for Unlined Surface Impoundments,” which further amended the April 2015 Rule to, among other things, provide procedures for requesting approval to operate existing ash impoundments with an alternate liner. On May 8, 2024, the EPA promulgated a rule that establishes requirements for: (i) inactive (or legacy) surface impoundments at inactive facilities and (ii) coal combustion residual (“CCR”) management units (regardless of how or when the CCR was placed) at regulated facilities. The rule also creates an obligation to conduct site assessments (at all active and certain inactive facilities) to determine whether CCR management units are present. On February 10, 2026, the EPA promulgated a rule extending certain deadlines in the 2024 rule. On April 13, 2026, the EPA proposed further amendments to the CCR that if finalized would provide industry greater compliance flexibility. The rule has been challenged in the D.C. Circuit and the outcome of the legal challenges is uncertain.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discussion and analysis below has been organized as follows:</w:t>
      </w:r>
    </w:p>
    <w:p>
      <w:pPr>
        <w:spacing w:after="0" w:line="109" w:lineRule="exact"/>
        <w:rPr>
          <w:sz w:val="20"/>
          <w:szCs w:val="20"/>
          <w:color w:val="auto"/>
        </w:rPr>
      </w:pPr>
    </w:p>
    <w:p>
      <w:pPr>
        <w:ind w:left="640" w:hanging="240"/>
        <w:spacing w:after="0" w:line="268"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 including introduction and overview, business strategy, and changes to the business environment during the period, including environmental and regulatory matters;</w:t>
      </w:r>
    </w:p>
    <w:p>
      <w:pPr>
        <w:spacing w:after="0" w:line="11"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trends that may affect NRG’s results of operations and financial condition in the future;</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and</w:t>
      </w:r>
    </w:p>
    <w:p>
      <w:pPr>
        <w:spacing w:after="0" w:line="56" w:lineRule="exact"/>
        <w:rPr>
          <w:rFonts w:ascii="Times New Roman" w:cs="Times New Roman" w:eastAsia="Times New Roman" w:hAnsi="Times New Roman"/>
          <w:sz w:val="18"/>
          <w:szCs w:val="18"/>
          <w:color w:val="auto"/>
        </w:rPr>
      </w:pPr>
    </w:p>
    <w:p>
      <w:pPr>
        <w:ind w:left="640" w:hanging="240"/>
        <w:spacing w:after="0" w:line="268"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 including liquidity position, financial condition addressing credit ratings, material cash requirements and commitments, and other obligations.</w:t>
      </w:r>
    </w:p>
    <w:p>
      <w:pPr>
        <w:spacing w:after="0" w:line="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you read this discussion and analysis, refer to NRG’s condensed consolidated statements of operations to this Form 10-Q, which present the results of operations for the three months ended March 31, 2026 and 2025. Also refer to NRG’s 2025 Form 10-K, which includes detailed discussions of various items impacting the Company’s business, results of operations and financial condition, including: General section; Strategy section; Business Overview section, including how regulation, weather, and other factors affect NRG’s business; and Critical Accounting Estimates section.</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111"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NRG Energy, Inc., or NRG or the Company, provides electricity, natural gas, and smart-home technology solutions to approximately 8 million residential customers (comprised of 6 million retail energy and 2 million smart home), in addition to large commercial and industrial, data center and wholesale customers. Across North America, NRG is redefining customer’s experience with energy under brand names such as NRG, Reliant, Direct Energy, Green Mountain Energy, and Vivint. As of March 31, 2026, the Company’s core power and natural gas business consists of approximately 25 GW of competitive power generation, including approximately 13 GW from the LSP portfolio, and a natural gas portfolio that serves approximately 1,900 MMDth annually.</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11" w:lineRule="exact"/>
        <w:rPr>
          <w:sz w:val="20"/>
          <w:szCs w:val="20"/>
          <w:color w:val="auto"/>
        </w:rPr>
      </w:pPr>
    </w:p>
    <w:p>
      <w:pPr>
        <w:jc w:val="both"/>
        <w:ind w:firstLine="395"/>
        <w:spacing w:after="0" w:line="278" w:lineRule="auto"/>
        <w:rPr>
          <w:sz w:val="20"/>
          <w:szCs w:val="20"/>
          <w:color w:val="auto"/>
        </w:rPr>
      </w:pPr>
      <w:r>
        <w:rPr>
          <w:rFonts w:ascii="Times New Roman" w:cs="Times New Roman" w:eastAsia="Times New Roman" w:hAnsi="Times New Roman"/>
          <w:sz w:val="16"/>
          <w:szCs w:val="16"/>
          <w:color w:val="auto"/>
        </w:rPr>
        <w:t>NRG’s strategy is to maximize shareholder value by delivering integrated energy and smart home solutions, supported by an owned generation fleet and a diversified supply strategy. The Company generates power and sells electricity and natural gas to residential, commercial, industrial, and wholesale customers in the markets it serves. The Company also provides smart home security and automation services that deepen customer relationships and support long-term engagement. NRG operates a customer-first platform that promotes reliability and affordability amid rapid transformation in the energy sector. The Company is advancing opportunities to meet growing demand, including from data centers, other large load customers, and electrification. This includes (i) demand response and virtual power plants (“VPP”), which help manage costs and improve affordability for customers, (ii) completing the Texas Development Projects,</w:t>
      </w:r>
    </w:p>
    <w:p>
      <w:pPr>
        <w:spacing w:after="0" w:line="2" w:lineRule="exact"/>
        <w:rPr>
          <w:sz w:val="20"/>
          <w:szCs w:val="20"/>
          <w:color w:val="auto"/>
        </w:rPr>
      </w:pPr>
    </w:p>
    <w:p>
      <w:pPr>
        <w:jc w:val="both"/>
        <w:ind w:firstLine="5"/>
        <w:spacing w:after="0" w:line="24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contract-backed generation and related infrastructure, supported by strategic partnerships with equipment manufacturers and engineering, procurement, and construction companies, and (iv) increasing capacity at existing facilities. The Company’s differentiated model is built to meet North America’s evolving needs while delivering affordable, reliable solutions for customers and long-term growth for shareholders. This strategy is intended to generate recurring cash flow, strengthen earnings and cost competitiveness, and reduce risk and volatility.</w:t>
      </w:r>
    </w:p>
    <w:p>
      <w:pPr>
        <w:spacing w:after="0" w:line="8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To effectuate the Company’s strategy, NRG is focused on: (i) serving the energy needs of residential, commercial and industrial, and wholesale counterparties in competitive markets and optimizing on additional revenue opportunities through its multiple brands and channels; (ii) offering a variety of energy products and smart home products and services that are differentiated by innovative, value-additive features, premium service, integrated platforms, sustainability, loyalty/affinity programs, and affordability; (iii) excellence in operating performance of its assets; (iv) achieving the optimal mix of supply to serve its customer load requirements through a diversified supply strategy, including expanding its operational capacity to meet growing retail power supply needs; and (v) engaging in disciplined and transparent capital allocation.</w:t>
      </w:r>
    </w:p>
    <w:p>
      <w:pPr>
        <w:spacing w:after="0" w:line="8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the first quarter of 2026, the operations acquired from LS Power were integrated into the Company’s existing segment structure, enhancing scale and portfolio optimization across the platform. In Texas, the Company’s generation portfolio is fully integrated with its retail load and in early 2026, the Company adopted an integrated strategy in the East, expanding this model across a broader geographic footprint. The integrated model strategically aligns generation and retail, enabling the Company to supply a portion of its retail customers with electricity from Company-owned assets, thereby reducing reliance to procure electricity from other institutions and intermediaries and supporting more stable earnings and cash flows, lower transaction costs, and reduced credit exposure. The integrated model also results in a reduction in actual and contingent collateral requirements, improving capital efficiency and further limiting transactions with third parties.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7" w:name="page48"/>
    <w:bookmarkEnd w:id="47"/>
    <w:p>
      <w:pPr>
        <w:ind w:left="400"/>
        <w:spacing w:after="0"/>
        <w:rPr>
          <w:sz w:val="20"/>
          <w:szCs w:val="20"/>
          <w:color w:val="auto"/>
        </w:rPr>
      </w:pPr>
      <w:r>
        <w:rPr>
          <w:rFonts w:ascii="Times New Roman" w:cs="Times New Roman" w:eastAsia="Times New Roman" w:hAnsi="Times New Roman"/>
          <w:sz w:val="18"/>
          <w:szCs w:val="18"/>
          <w:b w:val="1"/>
          <w:bCs w:val="1"/>
          <w:color w:val="auto"/>
        </w:rPr>
        <w:t>Energy Regulatory Matters</w:t>
      </w:r>
    </w:p>
    <w:p>
      <w:pPr>
        <w:spacing w:after="0" w:line="109"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The Company’s regulatory matters are described in the Company’s 2025 Form 10-K in Item 1, Business —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These matters have been updated below and in Note 15, </w:t>
      </w:r>
      <w:r>
        <w:rPr>
          <w:rFonts w:ascii="Times New Roman" w:cs="Times New Roman" w:eastAsia="Times New Roman" w:hAnsi="Times New Roman"/>
          <w:sz w:val="18"/>
          <w:szCs w:val="18"/>
          <w:i w:val="1"/>
          <w:iCs w:val="1"/>
          <w:color w:val="auto"/>
        </w:rPr>
        <w:t>Regulatory Matters.</w:t>
      </w:r>
    </w:p>
    <w:p>
      <w:pPr>
        <w:spacing w:after="0" w:line="6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As participants in wholesale and retail energy markets and owners and operators of power plants, certain NRG entities are subject to regulation by various federal and state government agencies. These include the CFTC, FERC and the PUCT, as well as other public utility commissions in certain states where NRG’s generation or distributed generation assets are located. In addition, NRG is subject to the market rules, procedures and protocols of the various ISO and RTO markets in which it participates. Likewise, certain NRG entities participating in the retail markets are subject to rules and regulations established by the states and provinces in which NRG entities are licensed to sell at retail. NRG must also comply with the mandatory reliability requirements imposed by NERC and the regional reliability entities in the regions where NRG operates.</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NRG’s operations within the ERCOT footprint are not subject to rate regulation by FERC, as they are deemed to operate solely within the ERCOT market and not in interstate commerce. These operations are subject to regulation by the PUCT.</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State and Provincial Energy Regulation</w:t>
      </w:r>
    </w:p>
    <w:p>
      <w:pPr>
        <w:spacing w:after="0" w:line="111" w:lineRule="exact"/>
        <w:rPr>
          <w:sz w:val="20"/>
          <w:szCs w:val="20"/>
          <w:color w:val="auto"/>
        </w:rPr>
      </w:pPr>
    </w:p>
    <w:p>
      <w:pPr>
        <w:jc w:val="both"/>
        <w:ind w:firstLine="395"/>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Maryland Legislation </w:t>
      </w:r>
      <w:r>
        <w:rPr>
          <w:rFonts w:ascii="Times New Roman" w:cs="Times New Roman" w:eastAsia="Times New Roman" w:hAnsi="Times New Roman"/>
          <w:sz w:val="16"/>
          <w:szCs w:val="16"/>
          <w:color w:val="auto"/>
        </w:rPr>
        <w:t>— On May 9, 2024, Maryland Governor Wes Moore signed Senate Bill (“SB”) 1 into law, which restricts the competitive retail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electric and natural gas market in Maryland, affecting residential customers but not commercial and industrial customers. Key provisions of the law took effect on January 1, 2025. The legislation imposes a price cap on residential contracts tied to a trailing 12-month historical average of utility rates, with only a limited exception for renewable power products. Renewable products must now have their price pre-approved by the Maryland Public Service Commission and source their renewable electricity certificates from within the PJM region. The law also requires that any variable-price contract not contain a change in price more than once a year, except time-of-use contracts, and limits contract terms to 12 months. It requires affirmative consent for the renewal of customer contracts for renewable power products. The law also imposes licensing requirements on energy salespeople. While the law states that it does not impair existing contracts, the Maryland Public Service Commission has ruled that grandfathering of existing contracts will end as of December 31, 2025, and that suppliers must issue separate bills for their charges for all new and renewing contracts as of January 1, 2026. On October 1, 2024, Green Mountain Energy Company, NRG’s renewable electricity provider, along with a retail trade association to which NRG belongs, filed a lawsuit in federal court challenging the constitutionality of SB 1. On November 18, 2024, the trial court denied the plaintiffs’ motion for a preliminary injunction. The plaintiffs, including Green Mountain, filed an appeal to this denial in the Court of Appeals for the Fourth Circuit and oral argument occurred on October 24, 2025. The appeal is pending.</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Regional Regulatory Developments</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NRG is affected by rule/tariff changes that occur in the ISO regions. For further discussion on regulatory developments, see Item 1 — Note 15,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to the condensed consolidated financial statements.</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ERCOT/PUCT</w:t>
      </w:r>
    </w:p>
    <w:p>
      <w:pPr>
        <w:spacing w:after="0" w:line="109"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PUCT’s Actions with Respect to Wholesale Pricing and Market Design — </w:t>
      </w:r>
      <w:r>
        <w:rPr>
          <w:rFonts w:ascii="Times New Roman" w:cs="Times New Roman" w:eastAsia="Times New Roman" w:hAnsi="Times New Roman"/>
          <w:sz w:val="18"/>
          <w:szCs w:val="18"/>
          <w:color w:val="auto"/>
        </w:rPr>
        <w:t>The PUCT continues to analyze and implement multiple options for promoting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reliability in the wholesale electric market, including the adoption of a reliability standard for resource adequacy and market-based mechanisms to achieve this standard. The Commission adopted a reliability standard that became effective in September 2024.</w:t>
      </w:r>
    </w:p>
    <w:p>
      <w:pPr>
        <w:spacing w:after="0" w:line="74"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2023, the Texas Legislature authorized implementation of the Performance Credit Mechanism (“PCM”), which will measure real-time contribution to system reliability and provide compensation for resources to be available, subject to certain “guardrails” such as an absolute annual net cost cap, as part of its adoption of the PUCT Sunset Bill (House Bill 1500). In December 2024, the PUCT decided to shelve implementation of the PCM indefinitely. The Texas Legislature also directed the PUCT to implement a new ancillary service called Dispatchable Reliability Reserve Service (“DRRS”) to further increase ERCOT’s capability to manage net load variability and firming requirements for new generation resources which penalize poor performance during periods of low grid reserves. In November 2025, ERCOT published an updated design proposal for DRRS that includes the ability for the PUCT to configure it to support resource adequacy through stronger financial incentives for dispatchable thermal generation. The PUCT will evaluate the final design of DRRS as part of the review of the reliability standard in 2026. The PUCT adopted a final rule to implement the firming requirement in December 2025, which requires new generation resources with signed interconnection agreements on or after January 1, 2027, to acquire additional capacity to meet a minimum requirement during low reserve hours on the ERCOT system.</w:t>
      </w:r>
    </w:p>
    <w:p>
      <w:pPr>
        <w:spacing w:after="0" w:line="8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Texas Energy Fund </w:t>
      </w:r>
      <w:r>
        <w:rPr>
          <w:rFonts w:ascii="Times New Roman" w:cs="Times New Roman" w:eastAsia="Times New Roman" w:hAnsi="Times New Roman"/>
          <w:sz w:val="18"/>
          <w:szCs w:val="18"/>
          <w:color w:val="auto"/>
        </w:rPr>
        <w:t>— Through SB 2627, the Texas Legislature created the TEF, to provide grants and low-interest loans (3%) to incentivize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more dispatchable generation and smaller backup generation in ERCOT. The PUCT also adopted a rule for the completion bonus grant program in April 2024, which provides for opportunities for grants of $120,000 per MW for dispatchable generation projects interconnected before June 1, 2026, or $80,000 per MW for dispatchable generation projects interconnected on or after June 1, 2026 but before June 1, 2029, subject to performance requirements.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8" w:name="page49"/>
    <w:bookmarkEnd w:id="48"/>
    <w:p>
      <w:pPr>
        <w:jc w:val="both"/>
        <w:spacing w:after="0" w:line="268" w:lineRule="auto"/>
        <w:rPr>
          <w:sz w:val="20"/>
          <w:szCs w:val="20"/>
          <w:color w:val="auto"/>
        </w:rPr>
      </w:pPr>
      <w:r>
        <w:rPr>
          <w:rFonts w:ascii="Times New Roman" w:cs="Times New Roman" w:eastAsia="Times New Roman" w:hAnsi="Times New Roman"/>
          <w:sz w:val="18"/>
          <w:szCs w:val="18"/>
          <w:color w:val="auto"/>
        </w:rPr>
        <w:t>89th Texas Legislature passed SB 2268, which separated the 10,000 MW collective cap on the ERCOT loan and grant programs resulting in a 10,000 MW cap for the loan program and a separate 10,000 MW cap for the completion bonus grant program.</w:t>
      </w:r>
    </w:p>
    <w:p>
      <w:pPr>
        <w:spacing w:after="0" w:line="64"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NRG, through its subsidiaries, filed and received approval from the PUCT for loan proceeds for three separate projects, totaling more than 1,500 MWs of capacity. Specifically, on July 31, 2025, the Company entered into a $216 million loan agreement with the PUCT under the TEF to support the development of T.H. Wharton, a 415 MW facility. On December 12, 2025, the PUCT approved the notice of eligibility for the completion bonus grant for T.H. Wharton. On September 26, 2025, the Company entered into a $562 million loan agreement with the PUCT under the TEF to support the development of Cedar Bayou 5, a 689 MW facility. Lastly, on November 20, 2025, the Company entered into a $370 million loan agreement with the PUCT under the TEF to support the development of Greens Bayou 6, a 443 MW facility. All three projects are currently under construction. Commercial operations at T.H. Wharton is expected by the end of May 2026.</w:t>
      </w:r>
    </w:p>
    <w:p>
      <w:pPr>
        <w:spacing w:after="0" w:line="80"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Senate Bill 6 </w:t>
      </w:r>
      <w:r>
        <w:rPr>
          <w:rFonts w:ascii="Times New Roman" w:cs="Times New Roman" w:eastAsia="Times New Roman" w:hAnsi="Times New Roman"/>
          <w:sz w:val="18"/>
          <w:szCs w:val="18"/>
          <w:color w:val="auto"/>
        </w:rPr>
        <w:t>— On June 20, 2025, the Governor of Texas signed SB 6 into law, which includes various provisions that concern how both ERCOT,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and distribution utilities, and power generation companies plan for and serve large loads (defined as 75 MWs and above) in the ERCOT market. SB 6 improves load forecasting accuracy by requiring criteria for inclusion into the forecast and by requiring financial commitments upon a request for a large load customer seeking interconnection to begin engineering studies. In addition, SB 6 includes processes by which large loads should be required or incentivized to curtail their operations. At the same time, SB 6 establishes a PUCT regulatory procedure to minimize potential reliability and stranded-cost impacts that may be associated with new large load co-locations with power generators that were interconnected to ERCOT and operating as stand-alone generators as of September 1, 2025. Generators connected to the grid after this date are exempt from this procedure. Finally, SB 6 requires the PUCT to investigate revising the cost allocation and rate design that governs the ERCOT transmission system. The PUCT rulemaking process for these components of SB 6 is in progress. On March 27, 2026, the PUCT published its proposed rule relating to large load interconnection standards, which establishes the standards and criteria to interconnect a large load customer to the ERCOT system, as well as the financial security large load customers would need to provide. A final rule is anticipated in the third quarter of 2026. ERCOT is also developing revisions to the interconnection study process to more efficiently review large load interconnection requests.</w:t>
      </w:r>
    </w:p>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PJM</w:t>
      </w:r>
    </w:p>
    <w:p>
      <w:pPr>
        <w:spacing w:after="0" w:line="10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Revisions to PJM Locational Deliverability Area (“LDA”) Reliability Requirement </w:t>
      </w:r>
      <w:r>
        <w:rPr>
          <w:rFonts w:ascii="Times New Roman" w:cs="Times New Roman" w:eastAsia="Times New Roman" w:hAnsi="Times New Roman"/>
          <w:sz w:val="18"/>
          <w:szCs w:val="18"/>
          <w:color w:val="auto"/>
        </w:rPr>
        <w:t>— PJM delayed publication of the Base Residual Auction (“BRA”)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for the 2024/2025 delivery year and filed at FERC to revise the definition of the LDA Reliability Requirement in the Tariff to allow PJM to exclude certain resources from the calculation of the LDA Reliability Requirement, which FERC accepted on February 21, 2023. Multiple parties, including NRG, filed for rehearing and subsequently appealed to the Court of Appeals for the Third Circuit. On March 12, 2024, the court vacated the portion of the FERC orders permitting application of the revised LDA Reliability Requirement to the 2024/2025 BRA. Following additional proceedings, FERC directed PJM to recalculate the BRA results using the original LDA Reliability Requirements and to rerun the Third Incremental Auction, and PJM published revised results on May 8, 2024, and May 23, 2024, respectively. On July 9, 2024, FERC denied a related complaint filed on April 22, 2024 (the “April 2024 Complaint”) which was appealed to the Court of Appeals for the D.C. Circuit on November 5, 2024. On January 13, 2026, the Court of Appeals for the D.C. Circuit issued a decision vacating FERC’s order denying the April 2024 Complaint and remanding the case to FERC for a ruling on the substance of the complaint. The remanded complaint is pending at FERC.</w:t>
      </w:r>
    </w:p>
    <w:p>
      <w:pPr>
        <w:spacing w:after="0" w:line="80"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PJM Base Residual Auction Revisions and Delay — </w:t>
      </w:r>
      <w:r>
        <w:rPr>
          <w:rFonts w:ascii="Times New Roman" w:cs="Times New Roman" w:eastAsia="Times New Roman" w:hAnsi="Times New Roman"/>
          <w:sz w:val="18"/>
          <w:szCs w:val="18"/>
          <w:color w:val="auto"/>
        </w:rPr>
        <w:t>In November 2024, at PJM’s request, FERC approved delays to future BRAs. The 2028/2029 BRA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scheduled to occur in May 2026 and is the last delayed auction affected.</w:t>
      </w:r>
    </w:p>
    <w:p>
      <w:pPr>
        <w:spacing w:after="0" w:line="59"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PJM’s Reforms to Large Load Additions — </w:t>
      </w:r>
      <w:r>
        <w:rPr>
          <w:rFonts w:ascii="Times New Roman" w:cs="Times New Roman" w:eastAsia="Times New Roman" w:hAnsi="Times New Roman"/>
          <w:sz w:val="18"/>
          <w:szCs w:val="18"/>
          <w:color w:val="auto"/>
        </w:rPr>
        <w:t>On September 15, 2025, PJM began a formal stakeholder process called the Critical Issue Fast Path (“CIFP”)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address needed reforms to accommodate large load additions. On January 16, 2026, the National Energy Dominance Council within the White House released a Statement of Principles, signed by all 13 governors in the PJM region, urging PJM to address revenue certainty for new generation through an auction process for new capacity, allocate the costs of these new resources to data centers, improve load forecasting, and accelerate ongoing generation interconnection studies. Also on January 16, 2026, the PJM Board issued a decisional letter on the CIFP process. The Board letter directed PJM staff to implement changes to load forecasting, implement a bring your own new generation program and associated expedited interconnection track, initiate immediately a Reliability Backstop Auction to obtain commitments of additional generation for a longer term, and undertake a holistic review of the PJM markets to analyze how they can evolve to provide appropriate incentives for investment and performance. On February 27, 2026, PJM made two filings at FERC. In its first filing, PJM proposed an expedited interconnection track for up to ten qualified large load projects. This filing is pending at FERC. In its second filing, PJM proposed an extension of the price cap and price floor for all capacity auctions through the 2028/2029 and 2029/2030 delivery years. On April 28, 2026, FERC approved PJM’s second filing to extend the price cap and price floor.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9" w:name="page50"/>
    <w:bookmarkEnd w:id="49"/>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April 10, 2026, PJM published a Reliability Backstop Procurement proposal in response to the January 16, 2026 Board directive. PJM proposes a one-time, transitional procurement of capacity in two-stages. An initial process for facilitating bilateral contracts between large loads and eligible supply, beginning in September 2026 and ending in March 2027, followed by a central procurement process to commence in March 2027. PJM expects to file at FERC to implement these changes in June 2026, following an abbreviated stakeholder process. The implementation of these market changes could have material impacts on the PJM market.</w:t>
      </w:r>
    </w:p>
    <w:p>
      <w:pPr>
        <w:spacing w:after="0" w:line="78"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Consumer Advocates Complaint </w:t>
      </w:r>
      <w:r>
        <w:rPr>
          <w:rFonts w:ascii="Times New Roman" w:cs="Times New Roman" w:eastAsia="Times New Roman" w:hAnsi="Times New Roman"/>
          <w:sz w:val="18"/>
          <w:szCs w:val="18"/>
          <w:color w:val="auto"/>
        </w:rPr>
        <w:t>— On April 14, 2025, various state consumer advocates filed a complaint with FERC asking FERC to reprice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2025/2026 PJM capacity auction results. If FERC were to grant the request, the capacity prices for the 2025/2026 delivery year would be expected to change. The complaint is pending at FERC.</w:t>
      </w:r>
    </w:p>
    <w:p>
      <w:pPr>
        <w:spacing w:after="0" w:line="7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Indian River RMR Proceeding </w:t>
      </w:r>
      <w:r>
        <w:rPr>
          <w:rFonts w:ascii="Times New Roman" w:cs="Times New Roman" w:eastAsia="Times New Roman" w:hAnsi="Times New Roman"/>
          <w:sz w:val="18"/>
          <w:szCs w:val="18"/>
          <w:color w:val="auto"/>
        </w:rPr>
        <w:t>— On June 29, 2021, Indian River notified PJM that it intended to retire Unit 4. PJM identified reliability violations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from the proposed deactivation of Unit 4. The Company filed a cost based RMR rate schedule at FERC. The Company reached settlement with a number of the intervening parties and the settlement agreement was filed. On January 16, 2025, FERC issued an order approving the settlement agreement. Indian River Unit 4 retired on February 23, 2025. On May 19, 2025, Maryland Office of People’s Counsel filed an appeal to the Court of Appeals for the Fourth Circuit of FERC’s denial on its request for rehearing. On August 22, 2025, NRG filed a motion to transfer venue. On November 12, 2025, the motion to transfer venue was granted and the appeal was transferred to the Court of Appeals for the D.C. Circuit. The appeal is pending.</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13"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From time to time, NRG entities may be subject to examinations, investigations and/or enforcement actions by federal, state and provincial licensing and regulatory agencies and may face the risk of penalties for violation of financial services, consumer protections and other applicable laws and regulations.</w:t>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Environmental Regulatory Matters</w:t>
      </w:r>
    </w:p>
    <w:p>
      <w:pPr>
        <w:spacing w:after="0" w:line="111"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NRG is subject to numerous environmental laws in the development, construction, ownership and operation of power plants. These laws generally require that governmental permits and approvals be obtained before construction and maintained during operation of power plants. In general, the electric generation industry has faced increasingly stringent requirements regarding air quality, GHG emissions, combustion byproducts, water use and discharge, and threatened and endangered species including several rules promulgated in 2024. Future laws may require the addition of emissions controls or other environmental controls or to impose additional restrictions the operations of the Company’s facilities including unit retirements or impose obligations related to historic coal ash use, storage and disposal. At the federal level, the President has issued several Executive Orders that indicate that the current administration intends to relax or rescind some previously promulgated regulations. The EPA has proposed several and finalized some rules that relax and/or rescind regulations previously promulgated. Complying with environmental laws often involves specialized human resources and significant capital and operating expenses, as well as occasionally curtailing operations. NRG decides to invest capital for environmental controls based on the relative certainty of the requirements, an evaluation of compliance options and the expected economic returns on capital.</w:t>
      </w:r>
    </w:p>
    <w:p>
      <w:pPr>
        <w:spacing w:after="0" w:line="8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Several regulations that affect the Company have been and continue to be revised by the EPA, including requirements regarding coal ash, GHG emissions, NAAQS revisions and implementation and effluent limitation guidelines. NRG will evaluate the impact of these regulations as they are revised but cannot fully predict the impact of each until anticipated revisions, legal challenges and reconsiderations are resolved. The Company’s environmental matters are described in the Company’s 2025 Form 10-K in Item 1, Business -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These matters have been updated in Note 16, </w:t>
      </w:r>
      <w:r>
        <w:rPr>
          <w:rFonts w:ascii="Times New Roman" w:cs="Times New Roman" w:eastAsia="Times New Roman" w:hAnsi="Times New Roman"/>
          <w:sz w:val="18"/>
          <w:szCs w:val="18"/>
          <w:i w:val="1"/>
          <w:iCs w:val="1"/>
          <w:color w:val="auto"/>
        </w:rPr>
        <w:t xml:space="preserve">Environmental Matters, </w:t>
      </w:r>
      <w:r>
        <w:rPr>
          <w:rFonts w:ascii="Times New Roman" w:cs="Times New Roman" w:eastAsia="Times New Roman" w:hAnsi="Times New Roman"/>
          <w:sz w:val="18"/>
          <w:szCs w:val="18"/>
          <w:color w:val="auto"/>
        </w:rPr>
        <w:t>to the condensed consolidated financial statements of this Form 10-Q and as follows.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Air</w:t>
      </w:r>
    </w:p>
    <w:p>
      <w:pPr>
        <w:spacing w:after="0" w:line="113" w:lineRule="exact"/>
        <w:rPr>
          <w:sz w:val="20"/>
          <w:szCs w:val="20"/>
          <w:color w:val="auto"/>
        </w:rPr>
      </w:pPr>
    </w:p>
    <w:p>
      <w:pPr>
        <w:jc w:val="both"/>
        <w:ind w:firstLine="395"/>
        <w:spacing w:after="0" w:line="239" w:lineRule="auto"/>
        <w:rPr>
          <w:sz w:val="20"/>
          <w:szCs w:val="20"/>
          <w:color w:val="auto"/>
        </w:rPr>
      </w:pPr>
      <w:r>
        <w:rPr>
          <w:rFonts w:ascii="Times New Roman" w:cs="Times New Roman" w:eastAsia="Times New Roman" w:hAnsi="Times New Roman"/>
          <w:sz w:val="18"/>
          <w:szCs w:val="18"/>
          <w:color w:val="auto"/>
        </w:rPr>
        <w:t>The CAA and related regulations (as well as similar state and local requirements) have the potential to affect air emissions, operating practices and pollution control equipment required at power plants. Under the CAA, the EPA sets NAAQS for certain pollutants including SO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ozone, and PM2.5. Many of the Company’s facilities are located in or near areas that are classified by the EPA as not achieving certain NAAQS (non-attainment areas). The relevant NAAQS may become more stringent. In March 2024, the EPA increased the stringency of the PM2.5 NAAQS but in November 2025, the EPA asked the DC Circuit to vacate the March 2024 rule. The Company maintains a comprehensive compliance strategy to address continuing and new requirements. Complying with increasingly stringent requirements could require the installation of additional emissions control equipment at some NRG facilities or retiring of units if installing such controls is not economic. Significant changes to air regulatory programs affecting the Company are described below.</w:t>
      </w:r>
    </w:p>
    <w:p>
      <w:pPr>
        <w:spacing w:after="0" w:line="88" w:lineRule="exact"/>
        <w:rPr>
          <w:sz w:val="20"/>
          <w:szCs w:val="20"/>
          <w:color w:val="auto"/>
        </w:rPr>
      </w:pPr>
    </w:p>
    <w:p>
      <w:pPr>
        <w:jc w:val="both"/>
        <w:ind w:firstLine="395"/>
        <w:spacing w:after="0" w:line="211" w:lineRule="auto"/>
        <w:rPr>
          <w:sz w:val="20"/>
          <w:szCs w:val="20"/>
          <w:color w:val="auto"/>
        </w:rPr>
      </w:pPr>
      <w:r>
        <w:rPr>
          <w:rFonts w:ascii="Times New Roman" w:cs="Times New Roman" w:eastAsia="Times New Roman" w:hAnsi="Times New Roman"/>
          <w:sz w:val="18"/>
          <w:szCs w:val="18"/>
          <w:i w:val="1"/>
          <w:iCs w:val="1"/>
          <w:color w:val="auto"/>
        </w:rPr>
        <w:t xml:space="preserve">CPP/ACE Rules </w:t>
      </w:r>
      <w:r>
        <w:rPr>
          <w:rFonts w:ascii="Times New Roman" w:cs="Times New Roman" w:eastAsia="Times New Roman" w:hAnsi="Times New Roman"/>
          <w:sz w:val="18"/>
          <w:szCs w:val="18"/>
          <w:color w:val="auto"/>
        </w:rPr>
        <w:t>— The attention in recent years on GHG emissions has resulted in federal and state regulations. In 2019, the EPA promulgated the 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which rescinded the CPP, which had sought to broadly regulate CO</w:t>
      </w:r>
      <w:r>
        <w:rPr>
          <w:rFonts w:ascii="Times New Roman" w:cs="Times New Roman" w:eastAsia="Times New Roman" w:hAnsi="Times New Roman"/>
          <w:sz w:val="27"/>
          <w:szCs w:val="27"/>
          <w:color w:val="auto"/>
          <w:vertAlign w:val="subscript"/>
        </w:rPr>
        <w:t>2</w:t>
      </w:r>
      <w:r>
        <w:rPr>
          <w:rFonts w:ascii="Times New Roman" w:cs="Times New Roman" w:eastAsia="Times New Roman" w:hAnsi="Times New Roman"/>
          <w:sz w:val="18"/>
          <w:szCs w:val="18"/>
          <w:color w:val="auto"/>
        </w:rPr>
        <w:t xml:space="preserve"> emissions from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17"/>
          <w:szCs w:val="17"/>
          <w:color w:val="auto"/>
        </w:rPr>
        <w:t>power sector. On January 19, 2021, the D.C. Circuit vacated the ACE rule (but on February 22, 2021, at the EPA’s request, stayed the issuance of the portion of the mandate that would vacate the repeal of the CPP). On June 30, 2022, the U.S. Supreme Court held that the “generation shifting” approach in the CPP exceeded the powers granted to the EPA by Congress. On May 9, 2024, the EPA promulgated a rule that repealed the ACE rule and significantly revised the manner in which new combustion-turbine and existing steam EGU’s GHG emissions would be regulated including capturing and storing/sequestering 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7"/>
          <w:szCs w:val="17"/>
          <w:color w:val="auto"/>
        </w:rPr>
        <w:t xml:space="preserve"> in some instances. This rule has been challenged by numerous parties in the D.C. Circuit including 27 states with 22 states intervening in support of the rule. The D.C. Circuit held oral arguments related to this rule in December 2024. In February 2025, the court granted a motion the DOJ filed asking the court to hold proceedings in abeyance while the EPA evaluates the rule. On June 17, 2025, the EPA proposed to repeal all GHG emission standards for fossil fuel-fired power plants under Section 111 of the CAA. The EPA is proposing to conclude that GHG emissions from domestic fossil fuel-fired EGUs do not contribute to dangerous air pollution at a level sufficient to invoke the EPA’s authority under CAA Section 111. In addition to its primary proposal to repeal all GHG emission standards for the power sector promulgated in both 2015 and 2024, the EPA has included an alternative proposal to repeal just specific portions. On February 18, 2026, the EPA rescinded the 2009 GHG Endangerment Finding related to motor vehicle emissions. Although this rescission does not directly alter the GHG regulations related to power plants, the Company believes that the EPA may amend such regulations this year.</w:t>
      </w:r>
    </w:p>
    <w:p>
      <w:pPr>
        <w:spacing w:after="0" w:line="78" w:lineRule="exact"/>
        <w:rPr>
          <w:sz w:val="20"/>
          <w:szCs w:val="20"/>
          <w:color w:val="auto"/>
        </w:rPr>
      </w:pPr>
    </w:p>
    <w:p>
      <w:pPr>
        <w:jc w:val="both"/>
        <w:ind w:firstLine="395"/>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CSAPR </w:t>
      </w:r>
      <w:r>
        <w:rPr>
          <w:rFonts w:ascii="Times New Roman" w:cs="Times New Roman" w:eastAsia="Times New Roman" w:hAnsi="Times New Roman"/>
          <w:sz w:val="16"/>
          <w:szCs w:val="16"/>
          <w:color w:val="auto"/>
        </w:rPr>
        <w:t>— On March 15, 2023, the EPA signed and released a prepublication version of a final rule that sought to significantly revise the CSAPR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address the good-neighbor obligations of the 2015 ozone NAAQS for 23 states (a Federal Implementation Plan or “FIP”) after earlier having disapproved numerous state plans to address the issue. Several states, including Texas, challenged the EPA’s disapproval of their state plans. On May 1, 2023, the Fifth Circuit stayed the EPA’s disapproval of Texas’s and Louisiana’s state plans, which disapprovals are a condition precedent to the EPA imposing its plan on Texas and Louisiana. On March 25, 2025, the Fifth Circuit upheld the EPA’s disapproval of Texas’s and Louisiana’s state plans but did not address the FIP. On May 9, 2025, Texas and other parties petitioned the Fifth Circuit for a rehearing with the whole court. On March 13, 2026, the Fifth Circuit issued a revised opinion vacating and remanding the EPA’s disapproval of Texas’s interstate transport plan. On June 5, 2023, the EPA promulgated the FIP. On June 27, 2024, the U.S. Supreme Court stayed the FIP in the 11 states where the rule had not already been stayed. On April 14, 2025, the D.C. Circuit granted the EPA’s request to hold the legal challenges in abeyance while the EPA revisits the rule. On January 30, 2026, the EPA proposed a Phase 1 reconsideration rule covering Alabama, Arizona, Iowa, Kansas, Kentucky, Minnesota, Mississippi, Nevada, New Mexico and Tennessee. The EPA intends to address additional states in a separate action. The Company cannot predict the outcome of the legal challenges to the various state disapprovals and the final rule promulgated on June 5, 2023.</w:t>
      </w:r>
    </w:p>
    <w:p>
      <w:pPr>
        <w:spacing w:after="0" w:line="7"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7"/>
          <w:szCs w:val="17"/>
          <w:i w:val="1"/>
          <w:iCs w:val="1"/>
          <w:color w:val="auto"/>
        </w:rPr>
        <w:t xml:space="preserve">Regional Haze </w:t>
      </w:r>
      <w:r>
        <w:rPr>
          <w:rFonts w:ascii="Times New Roman" w:cs="Times New Roman" w:eastAsia="Times New Roman" w:hAnsi="Times New Roman"/>
          <w:sz w:val="17"/>
          <w:szCs w:val="17"/>
          <w:color w:val="auto"/>
        </w:rPr>
        <w:t>— In May 2023, the EPA proposed to withdraw the existing Texas Sulfur Dioxide Trading Program and replace it with unit-specific SO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limits for 12 units in Texas to address requirements to improve visibility at National Parks and Wilderness areas. The Company does not expect this proposal to be finalized during the current U.S. presidential administration. On December 5, 2025, the EPA approved Texas’s plans to address the Regional Haze rule.</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 xml:space="preserve">MATS </w:t>
      </w:r>
      <w:r>
        <w:rPr>
          <w:rFonts w:ascii="Times New Roman" w:cs="Times New Roman" w:eastAsia="Times New Roman" w:hAnsi="Times New Roman"/>
          <w:sz w:val="16"/>
          <w:szCs w:val="16"/>
          <w:color w:val="auto"/>
        </w:rPr>
        <w:t>— On May 7, 2024, the EPA promulgated a final rule that amends the MATS rule by, among other things, increasing the stringency of the filterable</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particulate matter standard at coal-burning units. The deadline for complying with this more stringent standard had been 2027. On April 8, 2025, the President signed a Proclamation that creates a 2-year exemption for compliance beginning on July 8, 2027 and ending on July 8, 2029 for certain coal units including those owned by the Company. Twenty-three states have challenged this rule in the D.C. Circuit. On June 17, 2025, the EPA proposed to repeal the majority of the 2024 final rule amending the MATS rule. On February 24, 2026, the EPA promulgated a final rule repealing the majority of the 2024 rule amending the MATS rule.</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Water</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is required under the Clean Water Act to comply with intake and discharge requirements, requirements for technological controls and operating practices. As with air quality regulations, federal and state water regulations have become more stringent and imposed new requirements.</w:t>
      </w:r>
    </w:p>
    <w:p>
      <w:pPr>
        <w:spacing w:after="0" w:line="62"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i w:val="1"/>
          <w:iCs w:val="1"/>
          <w:color w:val="auto"/>
        </w:rPr>
        <w:t xml:space="preserve">ELG </w:t>
      </w:r>
      <w:r>
        <w:rPr>
          <w:rFonts w:ascii="Times New Roman" w:cs="Times New Roman" w:eastAsia="Times New Roman" w:hAnsi="Times New Roman"/>
          <w:sz w:val="16"/>
          <w:szCs w:val="16"/>
          <w:color w:val="auto"/>
        </w:rPr>
        <w:t>— In 2015, the EPA revised the ELG for Steam Electric Generating Facilities, which imposed more stringent requirements (as individual permits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were renewed) for wastewater streams from FGD, fly ash, bottom ash and flue gas mercury control. On October 13, 2020, the EPA amended the 2015 ELG rule by: (i) altering the stringency of certain limits for FGD wastewater; (ii) relaxing the zero-discharge requirement for bottom ash transport water; and (iii) changing several deadlines. In 2021, NRG informed its regulators that the Company intends to comply with the ELG by ceasing combustion of coal by the end of 2028 at its domestic coal units outside of Texas, and installing appropriate controls by the end of 2025 at its two plants that have coal-fired units in Texas. On May 9, 2024, the EPA promulgated a rule that again revises the ELG by, among other things, further restricting the discharge of (i) FGD wastewater, (ii) bottom ash transport water, and (iii) combustion residual leachate. The rule was challenged in numerous courts, but the cases were consolidated in the U.S. Court of Appeals for the Eighth Circuit. The outcome of the legal challenges is uncertain. On February 19, 2025, the DOJ filed a motion asking the court to hold proceedings in abeyance while the U.S. presidential administration evaluates the rule, which the court granted. On December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color w:val="auto"/>
        </w:rPr>
        <w:t>31, 2025, the EPA promulgated a rule that extends several deadlines and provides greater flexibility regarding decisions to invest in more stringent controls.</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Byproducts</w:t>
      </w:r>
    </w:p>
    <w:p>
      <w:pPr>
        <w:spacing w:after="0" w:line="11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2015, the EPA finalized the rule regulating byproducts of coal combustion (e.g., ash and gypsum) as solid wastes under the RCRA. On August 21, 2018, the D.C. Circuit found, among other things, that the EPA had not adequately regulated unlined ponds and legacy surface impoundments. On August 28, 2020, the EPA finalized “A Holistic Approach to Closure Part A: Deadline to Initiate Closure,” which amended the April 2015 Rule to address the August 2018 D.C. Circuit decision and extend some of the deadlines. On November 12, 2020, the EPA finalized “A Holistic Approach to Closure Part B: Alternative Demonstration for Unlined Surface Impoundments,” which further amended the April 2015 Rule to, among other things, provide procedures for requesting approval to operate existing ash impoundments with an alternate liner. On May 8, 2024, the EPA promulgated a rule that establishes requirements for: (i) inactive (or legacy) surface impoundments at inactive facilities and (ii) CCR management units (regardless of how or when the CCR was placed) at regulated facilities. The rule also creates an obligation to conduct site assessments (at all active and certain inactive facilities) to determine whether CCR management units are present. On February 10, 2026, the EPA promulgated a rule extending certain deadlines in the 2024 rule. On April 13, 2026, the EPA proposed further amendments to the CCR that if finalized would provide industry greater compliance flexibility. The rule has been challenged in the D.C. Circuit and the outcome of the legal challenges is uncertain.</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Domestic Site Remediation Matters</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Under certain federal, state and local environmental laws, a current or previous owner or operator of a facility, including an electric generating facility, may be required to investigate and remediate releases or threatened releases of hazardous or toxic substances or petroleum products. NRG may be responsible for property damage, personal injury and investigation and remediation costs incurred by a party in connection with hazardous material releases or threatened releases. These laws impose liability without regard to whether the owner knew of or caused the presence of the hazardous substances, and the courts have interpreted liability under such laws to be strict (without fault) and joint and several. Cleanup obligations can often be triggered during the closure or decommissioning of a facility, in addition to spills during its operations.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Regional Environmental Developments</w:t>
      </w:r>
    </w:p>
    <w:p>
      <w:pPr>
        <w:spacing w:after="0" w:line="111"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Ash Regulation in Illinois </w:t>
      </w:r>
      <w:r>
        <w:rPr>
          <w:rFonts w:ascii="Times New Roman" w:cs="Times New Roman" w:eastAsia="Times New Roman" w:hAnsi="Times New Roman"/>
          <w:sz w:val="18"/>
          <w:szCs w:val="18"/>
          <w:color w:val="auto"/>
        </w:rPr>
        <w:t>— On July 30, 2019, Illinois enacted legislation that required the state to promulgate regulations regarding coal ash at surface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impoundments. On April 15, 2021, the state promulgated the implementing regulation, which became effective on April 21, 2021. NRG has applied for initial operating permits and construction permits (for closure and retrofits) as required by the regulation and is waiting for most of its permits to be issued by the Illinois EPA.</w:t>
      </w:r>
    </w:p>
    <w:p>
      <w:pPr>
        <w:spacing w:after="0" w:line="75"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Houston Nonattainment for 2008 Ozone Standard </w:t>
      </w:r>
      <w:r>
        <w:rPr>
          <w:rFonts w:ascii="Times New Roman" w:cs="Times New Roman" w:eastAsia="Times New Roman" w:hAnsi="Times New Roman"/>
          <w:sz w:val="18"/>
          <w:szCs w:val="18"/>
          <w:color w:val="auto"/>
        </w:rPr>
        <w:t>— In 2022, the EPA changed the Houston area’s classification from Serious to Severe nonattainment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2008 Ozone Standard. Accordingly, Texas is required to develop a new control strategy and submit it to the EPA.</w:t>
      </w:r>
    </w:p>
    <w:p>
      <w:pPr>
        <w:spacing w:after="0" w:line="59"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Virginia Rejoining the Regional Greenhouse Gas Initiative (“RGGI”) </w:t>
      </w:r>
      <w:r>
        <w:rPr>
          <w:rFonts w:ascii="Times New Roman" w:cs="Times New Roman" w:eastAsia="Times New Roman" w:hAnsi="Times New Roman"/>
          <w:sz w:val="18"/>
          <w:szCs w:val="18"/>
          <w:color w:val="auto"/>
        </w:rPr>
        <w:t>— On February 20, 2026, Virginia enacted legislation to rejoin the RGGI. Virginia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working on promulgating the implementing regulations and is seeking to require compliance beginning on July 1, 2026.</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significant events have occurred during 2026 as further described within this Management’s Discussion and Analysis and the condensed consolidated financial statements:</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 of LSP Portfolio</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 xml:space="preserve">On January 30, 2026, NRG completed the acquisition of the LSP Portfolio from LS Power. The acquisition doubles NRG’s generation capacity with the addition of 18 natural gas-fired and dual fuel facilities totaling approximately 13 GW. In addition, NRG acquired CPower, a leading demand response platform, which operates in all the country’s deregulated energy markets and has more than 2,000 commercial and industrial customers. The consideration consisted of 24.25 million shares of NRG common stock and $6.4 billion in cash, plus preliminary working capital and certain other adjustments of $483 million. The Company funded the cash consideration using a portion of the net proceeds of $4.4 billion from the 5.750% 2034 Senior Notes, the 2036 Senior Notes, Senior Secured First Lien Notes, due 2030 and the Senior Secured First Lien Notes, due 2035 and proceeds of $2.5 billion from the Company’s Revolving Credit Facility. For further discussion, see Note 4, </w:t>
      </w:r>
      <w:r>
        <w:rPr>
          <w:rFonts w:ascii="Times New Roman" w:cs="Times New Roman" w:eastAsia="Times New Roman" w:hAnsi="Times New Roman"/>
          <w:sz w:val="18"/>
          <w:szCs w:val="18"/>
          <w:i w:val="1"/>
          <w:iCs w:val="1"/>
          <w:color w:val="auto"/>
        </w:rPr>
        <w:t>Acquisitions.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Capital Allocation</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the Company completed $481 million of share repurchases at an average price of $161.16 per share. Through April 30, 2026, an additional $338 million of share repurchases were executed at an average price of $156.52 per share. See Note 9, </w:t>
      </w:r>
      <w:r>
        <w:rPr>
          <w:rFonts w:ascii="Times New Roman" w:cs="Times New Roman" w:eastAsia="Times New Roman" w:hAnsi="Times New Roman"/>
          <w:sz w:val="18"/>
          <w:szCs w:val="18"/>
          <w:i w:val="1"/>
          <w:iCs w:val="1"/>
          <w:color w:val="auto"/>
        </w:rPr>
        <w:t>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Structure </w:t>
      </w:r>
      <w:r>
        <w:rPr>
          <w:rFonts w:ascii="Times New Roman" w:cs="Times New Roman" w:eastAsia="Times New Roman" w:hAnsi="Times New Roman"/>
          <w:sz w:val="18"/>
          <w:szCs w:val="18"/>
          <w:color w:val="auto"/>
        </w:rPr>
        <w:t>for additional discussion.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2" w:name="page53"/>
    <w:bookmarkEnd w:id="52"/>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the first quarter of 2026, NRG increased the annual common stock dividend to $1.90 from $1.76 per share, representing an 8% increase from 2025. The Company targets an annual dividend growth rate of 7-9% per share in subsequent years.</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Term Loan B Incurrence</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On April 28, 2026, the Company and APX Group LLC, as borrowers, and certain of the Company’s subsidiaries, as guarantors, entered into the Sixteenth Amendment to the Credit Agreement. For further discussion, see Note 7, </w:t>
      </w:r>
      <w:r>
        <w:rPr>
          <w:rFonts w:ascii="Times New Roman" w:cs="Times New Roman" w:eastAsia="Times New Roman" w:hAnsi="Times New Roman"/>
          <w:sz w:val="18"/>
          <w:szCs w:val="18"/>
          <w:i w:val="1"/>
          <w:iCs w:val="1"/>
          <w:color w:val="auto"/>
        </w:rPr>
        <w:t>Long-term Debt and Finance Leases.</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Issuance of Unsecured Notes and Secured Notes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On April 28, 2026, the Company issued $2.1 billion in aggregate principal amount of the New Unsecured Notes. The New Unsecured Notes are senior unsecured obligations of the Company and are guaranteed by its wholly-owned U.S. subsidiaries that guarantee the loans under the Senior Credit Facility. For further discussion, see Note 7, </w:t>
      </w:r>
      <w:r>
        <w:rPr>
          <w:rFonts w:ascii="Times New Roman" w:cs="Times New Roman" w:eastAsia="Times New Roman" w:hAnsi="Times New Roman"/>
          <w:sz w:val="18"/>
          <w:szCs w:val="18"/>
          <w:i w:val="1"/>
          <w:iCs w:val="1"/>
          <w:color w:val="auto"/>
        </w:rPr>
        <w:t>Long-term Debt and Finance Leases.</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On April 28, 2026, the Company also issued $500 million aggregate principal amount of the New 2031 Notes. The New 2031 Notes are senior secured obligations of the Company and are guaranteed by its wholly-owned U.S. subsidiaries that guarantee the loans under the Senior Credit Facility. For further discussion, see Note 7, </w:t>
      </w:r>
      <w:r>
        <w:rPr>
          <w:rFonts w:ascii="Times New Roman" w:cs="Times New Roman" w:eastAsia="Times New Roman" w:hAnsi="Times New Roman"/>
          <w:sz w:val="18"/>
          <w:szCs w:val="18"/>
          <w:i w:val="1"/>
          <w:iCs w:val="1"/>
          <w:color w:val="auto"/>
        </w:rPr>
        <w:t>Long-term Debt and Finance Leases.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Bilateral Letter of Credit Facilities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January and February 2026, the Company and certain of its subsidiaries, as guarantors, entered into amendments to its existing bilateral letter of credit facilities to increase the size of its bilateral credit facilities by $410 million and $90 million, respectively, to provide additional liquidity. As of March 31, 2026, $739 million was issued under these facilities.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Lightning Tender Offer and Redemption</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On April 14, 2026, Lightning commenced the Tender Offer. For further discussion, see Note 7, </w:t>
      </w:r>
      <w:r>
        <w:rPr>
          <w:rFonts w:ascii="Times New Roman" w:cs="Times New Roman" w:eastAsia="Times New Roman" w:hAnsi="Times New Roman"/>
          <w:sz w:val="18"/>
          <w:szCs w:val="18"/>
          <w:i w:val="1"/>
          <w:iCs w:val="1"/>
          <w:color w:val="auto"/>
        </w:rPr>
        <w:t>Long-term Debt and Finance Leases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Further, pursuant to the terms of the Lightning Indenture, on April 28, 2026, Lightning issued the Redemption to redeem the remaining $5 million aggregate principal amount of the Lightning 2032 Notes at a redemption price of 101.375% (plus accrued and unpaid interest to, but excluding, the redemption date). For further discussion, see Note 7, </w:t>
      </w:r>
      <w:r>
        <w:rPr>
          <w:rFonts w:ascii="Times New Roman" w:cs="Times New Roman" w:eastAsia="Times New Roman" w:hAnsi="Times New Roman"/>
          <w:sz w:val="18"/>
          <w:szCs w:val="18"/>
          <w:i w:val="1"/>
          <w:iCs w:val="1"/>
          <w:color w:val="auto"/>
        </w:rPr>
        <w:t>Long-term Debt and Finance Leases</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Trends Affecting Results of Operations and Future Business Performance</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Company’s trends are described in the Company’s 2025 Form 10-K in Item 7, M</w:t>
      </w:r>
      <w:r>
        <w:rPr>
          <w:rFonts w:ascii="Times New Roman" w:cs="Times New Roman" w:eastAsia="Times New Roman" w:hAnsi="Times New Roman"/>
          <w:sz w:val="16"/>
          <w:szCs w:val="16"/>
          <w:i w:val="1"/>
          <w:iCs w:val="1"/>
          <w:color w:val="auto"/>
        </w:rPr>
        <w:t>anagement’s Discussion and Analysis of Financial Condition and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Results of Operations - Business Environment, </w:t>
      </w:r>
      <w:r>
        <w:rPr>
          <w:rFonts w:ascii="Times New Roman" w:cs="Times New Roman" w:eastAsia="Times New Roman" w:hAnsi="Times New Roman"/>
          <w:sz w:val="18"/>
          <w:szCs w:val="18"/>
          <w:color w:val="auto"/>
        </w:rPr>
        <w:t>except for the update below:</w:t>
      </w:r>
    </w:p>
    <w:p>
      <w:pPr>
        <w:spacing w:after="0" w:line="89"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Geopolitical Developments </w:t>
      </w:r>
      <w:r>
        <w:rPr>
          <w:rFonts w:ascii="Times New Roman" w:cs="Times New Roman" w:eastAsia="Times New Roman" w:hAnsi="Times New Roman"/>
          <w:sz w:val="18"/>
          <w:szCs w:val="18"/>
          <w:color w:val="auto"/>
        </w:rPr>
        <w:t>— The ongoing geopolitical conflicts, including hostilities with Iran and conflicts in the Middle East, have contributed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elevated and volatile oil prices and could, over time, put upward pressure on U.S. natural gas. Prolonged market volatility could result in increased collateral requirements and heighten counterparty credit exposure under NRG’s hedging arrangements.</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Changes in Accounting Standards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 for the Company:</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4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Retail revenue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7"/>
                <w:szCs w:val="17"/>
                <w:color w:val="auto"/>
              </w:rPr>
              <w:t>Energy revenue</w:t>
            </w:r>
            <w:r>
              <w:rPr>
                <w:rFonts w:ascii="Times New Roman" w:cs="Times New Roman" w:eastAsia="Times New Roman" w:hAnsi="Times New Roman"/>
                <w:sz w:val="21"/>
                <w:szCs w:val="21"/>
                <w:color w:val="auto"/>
                <w:vertAlign w:val="superscript"/>
              </w:rPr>
              <w:t>(a)</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4"/>
        </w:trPr>
        <w:tc>
          <w:tcPr>
            <w:tcW w:w="7440" w:type="dxa"/>
            <w:vAlign w:val="bottom"/>
          </w:tcPr>
          <w:p>
            <w:pPr>
              <w:ind w:left="140"/>
              <w:spacing w:after="0" w:line="224" w:lineRule="exact"/>
              <w:rPr>
                <w:sz w:val="20"/>
                <w:szCs w:val="20"/>
                <w:color w:val="auto"/>
              </w:rPr>
            </w:pPr>
            <w:r>
              <w:rPr>
                <w:rFonts w:ascii="Times New Roman" w:cs="Times New Roman" w:eastAsia="Times New Roman" w:hAnsi="Times New Roman"/>
                <w:sz w:val="17"/>
                <w:szCs w:val="17"/>
                <w:color w:val="auto"/>
              </w:rPr>
              <w:t>Capacity revenue</w:t>
            </w:r>
            <w:r>
              <w:rPr>
                <w:rFonts w:ascii="Times New Roman" w:cs="Times New Roman" w:eastAsia="Times New Roman" w:hAnsi="Times New Roman"/>
                <w:sz w:val="21"/>
                <w:szCs w:val="21"/>
                <w:color w:val="auto"/>
                <w:vertAlign w:val="superscript"/>
              </w:rPr>
              <w:t>(a)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Mark-to-market for economic hedging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4"/>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Contract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7"/>
                <w:szCs w:val="17"/>
                <w:color w:val="auto"/>
              </w:rPr>
              <w:t>Other revenues</w:t>
            </w:r>
            <w:r>
              <w:rPr>
                <w:rFonts w:ascii="Times New Roman" w:cs="Times New Roman" w:eastAsia="Times New Roman" w:hAnsi="Times New Roman"/>
                <w:sz w:val="21"/>
                <w:szCs w:val="21"/>
                <w:color w:val="auto"/>
                <w:vertAlign w:val="superscript"/>
              </w:rPr>
              <w:t>(a)(b)</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7"/>
        </w:trPr>
        <w:tc>
          <w:tcPr>
            <w:tcW w:w="7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04"/>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Cost of fuel</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7"/>
                <w:szCs w:val="17"/>
                <w:color w:val="auto"/>
              </w:rPr>
              <w:t>Purchased energy and other cost of sales</w:t>
            </w:r>
            <w:r>
              <w:rPr>
                <w:rFonts w:ascii="Times New Roman" w:cs="Times New Roman" w:eastAsia="Times New Roman" w:hAnsi="Times New Roman"/>
                <w:sz w:val="21"/>
                <w:szCs w:val="21"/>
                <w:color w:val="auto"/>
                <w:vertAlign w:val="superscript"/>
              </w:rPr>
              <w:t>(c)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24"/>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Mark-to-market for economic hedging activities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7"/>
                <w:szCs w:val="17"/>
                <w:color w:val="auto"/>
              </w:rPr>
              <w:t>Contract and emissions credit amortization</w:t>
            </w:r>
            <w:r>
              <w:rPr>
                <w:rFonts w:ascii="Times New Roman" w:cs="Times New Roman" w:eastAsia="Times New Roman" w:hAnsi="Times New Roman"/>
                <w:sz w:val="21"/>
                <w:szCs w:val="21"/>
                <w:color w:val="auto"/>
                <w:vertAlign w:val="superscript"/>
              </w:rPr>
              <w:t>(c)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Operations and maintenance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cost of operations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7"/>
        </w:trPr>
        <w:tc>
          <w:tcPr>
            <w:tcW w:w="74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Cost of operations (excluding depreciation and amortization shown below)</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71"/>
        </w:trPr>
        <w:tc>
          <w:tcPr>
            <w:tcW w:w="744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w w:val="99"/>
              </w:rPr>
              <w:t>Selling, general and administrative costs (excluding amortization of customer acquisition costs of $87</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$65, respectively, which are included in depreciation and amortization shown separately above)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Acquisition-related transaction and integration costs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7"/>
        </w:trPr>
        <w:tc>
          <w:tcPr>
            <w:tcW w:w="74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on sale of assets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7"/>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04"/>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income,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7"/>
        </w:trPr>
        <w:tc>
          <w:tcPr>
            <w:tcW w:w="7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other expense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24"/>
        </w:trPr>
        <w:tc>
          <w:tcPr>
            <w:tcW w:w="7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Income tax (benefit)/expense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42"/>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ind w:left="320" w:hanging="236"/>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gains and losses from financially settled transactions</w:t>
      </w:r>
    </w:p>
    <w:p>
      <w:pPr>
        <w:spacing w:after="0" w:line="12" w:lineRule="exact"/>
        <w:rPr>
          <w:rFonts w:ascii="Times New Roman" w:cs="Times New Roman" w:eastAsia="Times New Roman" w:hAnsi="Times New Roman"/>
          <w:sz w:val="14"/>
          <w:szCs w:val="14"/>
          <w:color w:val="auto"/>
        </w:rPr>
      </w:pPr>
    </w:p>
    <w:p>
      <w:pPr>
        <w:ind w:left="320" w:hanging="236"/>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trading gains and losses and ancillary revenues</w:t>
      </w:r>
    </w:p>
    <w:p>
      <w:pPr>
        <w:spacing w:after="0" w:line="5" w:lineRule="exact"/>
        <w:rPr>
          <w:rFonts w:ascii="Times New Roman" w:cs="Times New Roman" w:eastAsia="Times New Roman" w:hAnsi="Times New Roman"/>
          <w:sz w:val="14"/>
          <w:szCs w:val="14"/>
          <w:color w:val="auto"/>
        </w:rPr>
      </w:pPr>
    </w:p>
    <w:p>
      <w:pPr>
        <w:ind w:left="320" w:hanging="236"/>
        <w:spacing w:after="0" w:line="210" w:lineRule="auto"/>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SO</w:t>
      </w:r>
      <w:r>
        <w:rPr>
          <w:rFonts w:ascii="Times New Roman" w:cs="Times New Roman" w:eastAsia="Times New Roman" w:hAnsi="Times New Roman"/>
          <w:sz w:val="18"/>
          <w:szCs w:val="18"/>
          <w:color w:val="auto"/>
          <w:vertAlign w:val="subscript"/>
        </w:rPr>
        <w:t>2</w:t>
      </w:r>
      <w:r>
        <w:rPr>
          <w:rFonts w:ascii="Times New Roman" w:cs="Times New Roman" w:eastAsia="Times New Roman" w:hAnsi="Times New Roman"/>
          <w:sz w:val="14"/>
          <w:szCs w:val="14"/>
          <w:color w:val="auto"/>
        </w:rPr>
        <w:t xml:space="preserve"> and NOx credits and excludes amortization of RGGI credits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three months ended March 31, 2026 and 2025</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Electricity Prices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average on peak power prices for each of the major markets in which NRG operates for the three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center"/>
              <w:ind w:left="673"/>
              <w:spacing w:after="0"/>
              <w:rPr>
                <w:sz w:val="20"/>
                <w:szCs w:val="20"/>
                <w:color w:val="auto"/>
              </w:rPr>
            </w:pPr>
            <w:r>
              <w:rPr>
                <w:rFonts w:ascii="Times New Roman" w:cs="Times New Roman" w:eastAsia="Times New Roman" w:hAnsi="Times New Roman"/>
                <w:sz w:val="18"/>
                <w:szCs w:val="18"/>
                <w:b w:val="1"/>
                <w:bCs w:val="1"/>
                <w:color w:val="auto"/>
                <w:w w:val="96"/>
              </w:rPr>
              <w:t>Average on Peak Power Price ($/MWh)</w:t>
            </w:r>
          </w:p>
        </w:tc>
        <w:tc>
          <w:tcPr>
            <w:tcW w:w="1180" w:type="dxa"/>
            <w:vAlign w:val="bottom"/>
            <w:tcBorders>
              <w:bottom w:val="single" w:sz="8" w:color="auto"/>
            </w:tcBorders>
          </w:tcPr>
          <w:p>
            <w:pPr>
              <w:spacing w:after="0"/>
              <w:rPr>
                <w:sz w:val="20"/>
                <w:szCs w:val="20"/>
                <w:color w:val="auto"/>
              </w:rPr>
            </w:pPr>
          </w:p>
        </w:tc>
      </w:tr>
      <w:tr>
        <w:trPr>
          <w:trHeight w:val="217"/>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jc w:val="center"/>
              <w:ind w:left="673"/>
              <w:spacing w:after="0"/>
              <w:rPr>
                <w:sz w:val="20"/>
                <w:szCs w:val="20"/>
                <w:color w:val="auto"/>
              </w:rPr>
            </w:pPr>
            <w:r>
              <w:rPr>
                <w:rFonts w:ascii="Times New Roman" w:cs="Times New Roman" w:eastAsia="Times New Roman" w:hAnsi="Times New Roman"/>
                <w:sz w:val="18"/>
                <w:szCs w:val="18"/>
                <w:b w:val="1"/>
                <w:bCs w:val="1"/>
                <w:color w:val="auto"/>
                <w:w w:val="96"/>
              </w:rPr>
              <w:t>Three months ended March 31,</w:t>
            </w:r>
          </w:p>
        </w:tc>
        <w:tc>
          <w:tcPr>
            <w:tcW w:w="1180" w:type="dxa"/>
            <w:vAlign w:val="bottom"/>
            <w:tcBorders>
              <w:bottom w:val="single" w:sz="8" w:color="auto"/>
            </w:tcBorders>
          </w:tcPr>
          <w:p>
            <w:pPr>
              <w:spacing w:after="0"/>
              <w:rPr>
                <w:sz w:val="18"/>
                <w:szCs w:val="18"/>
                <w:color w:val="auto"/>
              </w:rPr>
            </w:pPr>
          </w:p>
        </w:tc>
      </w:tr>
      <w:tr>
        <w:trPr>
          <w:trHeight w:val="164"/>
        </w:trPr>
        <w:tc>
          <w:tcPr>
            <w:tcW w:w="20" w:type="dxa"/>
            <w:vAlign w:val="bottom"/>
          </w:tcPr>
          <w:p>
            <w:pPr>
              <w:spacing w:after="0"/>
              <w:rPr>
                <w:sz w:val="14"/>
                <w:szCs w:val="14"/>
                <w:color w:val="auto"/>
              </w:rPr>
            </w:pPr>
          </w:p>
        </w:tc>
        <w:tc>
          <w:tcPr>
            <w:tcW w:w="59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Region</w:t>
            </w:r>
          </w:p>
        </w:tc>
        <w:tc>
          <w:tcPr>
            <w:tcW w:w="420" w:type="dxa"/>
            <w:vAlign w:val="bottom"/>
          </w:tcPr>
          <w:p>
            <w:pPr>
              <w:spacing w:after="0"/>
              <w:rPr>
                <w:sz w:val="14"/>
                <w:szCs w:val="14"/>
                <w:color w:val="auto"/>
              </w:rPr>
            </w:pPr>
          </w:p>
        </w:tc>
        <w:tc>
          <w:tcPr>
            <w:tcW w:w="1360" w:type="dxa"/>
            <w:vAlign w:val="bottom"/>
          </w:tcPr>
          <w:p>
            <w:pPr>
              <w:jc w:val="right"/>
              <w:ind w:right="613"/>
              <w:spacing w:after="0" w:line="152" w:lineRule="exact"/>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613"/>
              <w:spacing w:after="0" w:line="152"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293"/>
              <w:spacing w:after="0" w:line="152" w:lineRule="exact"/>
              <w:rPr>
                <w:sz w:val="20"/>
                <w:szCs w:val="20"/>
                <w:color w:val="auto"/>
              </w:rPr>
            </w:pPr>
            <w:r>
              <w:rPr>
                <w:rFonts w:ascii="Times New Roman" w:cs="Times New Roman" w:eastAsia="Times New Roman" w:hAnsi="Times New Roman"/>
                <w:sz w:val="16"/>
                <w:szCs w:val="16"/>
                <w:b w:val="1"/>
                <w:bCs w:val="1"/>
                <w:color w:val="auto"/>
              </w:rPr>
              <w:t>Change %</w:t>
            </w:r>
          </w:p>
        </w:tc>
      </w:tr>
      <w:tr>
        <w:trPr>
          <w:trHeight w:val="33"/>
        </w:trPr>
        <w:tc>
          <w:tcPr>
            <w:tcW w:w="2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4"/>
        </w:trPr>
        <w:tc>
          <w:tcPr>
            <w:tcW w:w="20" w:type="dxa"/>
            <w:vAlign w:val="bottom"/>
            <w:shd w:val="clear" w:color="auto" w:fill="CCEEFF"/>
          </w:tcPr>
          <w:p>
            <w:pPr>
              <w:spacing w:after="0"/>
              <w:rPr>
                <w:sz w:val="17"/>
                <w:szCs w:val="17"/>
                <w:color w:val="auto"/>
              </w:rPr>
            </w:pPr>
          </w:p>
        </w:tc>
        <w:tc>
          <w:tcPr>
            <w:tcW w:w="592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Texas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5920" w:type="dxa"/>
            <w:vAlign w:val="bottom"/>
            <w:gridSpan w:val="2"/>
          </w:tcPr>
          <w:p>
            <w:pPr>
              <w:ind w:left="200"/>
              <w:spacing w:after="0" w:line="224" w:lineRule="exact"/>
              <w:rPr>
                <w:sz w:val="20"/>
                <w:szCs w:val="20"/>
                <w:color w:val="auto"/>
              </w:rPr>
            </w:pPr>
            <w:r>
              <w:rPr>
                <w:rFonts w:ascii="Times New Roman" w:cs="Times New Roman" w:eastAsia="Times New Roman" w:hAnsi="Times New Roman"/>
                <w:sz w:val="18"/>
                <w:szCs w:val="18"/>
                <w:color w:val="auto"/>
              </w:rPr>
              <w:t>ERCOT - Houston</w:t>
            </w:r>
            <w:r>
              <w:rPr>
                <w:rFonts w:ascii="Times New Roman" w:cs="Times New Roman" w:eastAsia="Times New Roman" w:hAnsi="Times New Roman"/>
                <w:sz w:val="22"/>
                <w:szCs w:val="22"/>
                <w:color w:val="auto"/>
                <w:vertAlign w:val="superscript"/>
              </w:rPr>
              <w:t>(a)</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00"/>
              <w:spacing w:after="0" w:line="224" w:lineRule="exact"/>
              <w:rPr>
                <w:sz w:val="20"/>
                <w:szCs w:val="20"/>
                <w:color w:val="auto"/>
              </w:rPr>
            </w:pPr>
            <w:r>
              <w:rPr>
                <w:rFonts w:ascii="Times New Roman" w:cs="Times New Roman" w:eastAsia="Times New Roman" w:hAnsi="Times New Roman"/>
                <w:sz w:val="18"/>
                <w:szCs w:val="18"/>
                <w:color w:val="auto"/>
              </w:rPr>
              <w:t>ERCOT - North</w:t>
            </w:r>
            <w:r>
              <w:rPr>
                <w:rFonts w:ascii="Times New Roman" w:cs="Times New Roman" w:eastAsia="Times New Roman" w:hAnsi="Times New Roman"/>
                <w:sz w:val="22"/>
                <w:szCs w:val="22"/>
                <w:color w:val="auto"/>
                <w:vertAlign w:val="superscript"/>
              </w:rPr>
              <w:t>(a)</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3"/>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4"/>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920" w:type="dxa"/>
            <w:vAlign w:val="bottom"/>
            <w:gridSpan w:val="2"/>
          </w:tcPr>
          <w:p>
            <w:pPr>
              <w:ind w:left="180"/>
              <w:spacing w:after="0" w:line="224" w:lineRule="exact"/>
              <w:rPr>
                <w:sz w:val="20"/>
                <w:szCs w:val="20"/>
                <w:color w:val="auto"/>
              </w:rPr>
            </w:pPr>
            <w:r>
              <w:rPr>
                <w:rFonts w:ascii="Times New Roman" w:cs="Times New Roman" w:eastAsia="Times New Roman" w:hAnsi="Times New Roman"/>
                <w:sz w:val="18"/>
                <w:szCs w:val="18"/>
                <w:color w:val="auto"/>
              </w:rPr>
              <w:t>NY J/NYC</w:t>
            </w:r>
            <w:r>
              <w:rPr>
                <w:rFonts w:ascii="Times New Roman" w:cs="Times New Roman" w:eastAsia="Times New Roman" w:hAnsi="Times New Roman"/>
                <w:sz w:val="22"/>
                <w:szCs w:val="22"/>
                <w:color w:val="auto"/>
                <w:vertAlign w:val="superscript"/>
              </w:rPr>
              <w:t>(b)</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4"/>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80"/>
              <w:spacing w:after="0" w:line="224" w:lineRule="exact"/>
              <w:rPr>
                <w:sz w:val="20"/>
                <w:szCs w:val="20"/>
                <w:color w:val="auto"/>
              </w:rPr>
            </w:pPr>
            <w:r>
              <w:rPr>
                <w:rFonts w:ascii="Times New Roman" w:cs="Times New Roman" w:eastAsia="Times New Roman" w:hAnsi="Times New Roman"/>
                <w:sz w:val="18"/>
                <w:szCs w:val="18"/>
                <w:color w:val="auto"/>
              </w:rPr>
              <w:t>NEPOOL</w:t>
            </w:r>
            <w:r>
              <w:rPr>
                <w:rFonts w:ascii="Times New Roman" w:cs="Times New Roman" w:eastAsia="Times New Roman" w:hAnsi="Times New Roman"/>
                <w:sz w:val="22"/>
                <w:szCs w:val="22"/>
                <w:color w:val="auto"/>
                <w:vertAlign w:val="superscript"/>
              </w:rPr>
              <w:t>(b)</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4"/>
        </w:trPr>
        <w:tc>
          <w:tcPr>
            <w:tcW w:w="20" w:type="dxa"/>
            <w:vAlign w:val="bottom"/>
          </w:tcPr>
          <w:p>
            <w:pPr>
              <w:spacing w:after="0"/>
              <w:rPr>
                <w:sz w:val="19"/>
                <w:szCs w:val="19"/>
                <w:color w:val="auto"/>
              </w:rPr>
            </w:pPr>
          </w:p>
        </w:tc>
        <w:tc>
          <w:tcPr>
            <w:tcW w:w="5920" w:type="dxa"/>
            <w:vAlign w:val="bottom"/>
            <w:gridSpan w:val="2"/>
          </w:tcPr>
          <w:p>
            <w:pPr>
              <w:ind w:left="180"/>
              <w:spacing w:after="0" w:line="224" w:lineRule="exact"/>
              <w:rPr>
                <w:sz w:val="20"/>
                <w:szCs w:val="20"/>
                <w:color w:val="auto"/>
              </w:rPr>
            </w:pPr>
            <w:r>
              <w:rPr>
                <w:rFonts w:ascii="Times New Roman" w:cs="Times New Roman" w:eastAsia="Times New Roman" w:hAnsi="Times New Roman"/>
                <w:sz w:val="18"/>
                <w:szCs w:val="18"/>
                <w:color w:val="auto"/>
              </w:rPr>
              <w:t>COMED (PJM)</w:t>
            </w:r>
            <w:r>
              <w:rPr>
                <w:rFonts w:ascii="Times New Roman" w:cs="Times New Roman" w:eastAsia="Times New Roman" w:hAnsi="Times New Roman"/>
                <w:sz w:val="22"/>
                <w:szCs w:val="22"/>
                <w:color w:val="auto"/>
                <w:vertAlign w:val="superscript"/>
              </w:rPr>
              <w:t>(b)</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4"/>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80"/>
              <w:spacing w:after="0" w:line="224" w:lineRule="exact"/>
              <w:rPr>
                <w:sz w:val="20"/>
                <w:szCs w:val="20"/>
                <w:color w:val="auto"/>
              </w:rPr>
            </w:pPr>
            <w:r>
              <w:rPr>
                <w:rFonts w:ascii="Times New Roman" w:cs="Times New Roman" w:eastAsia="Times New Roman" w:hAnsi="Times New Roman"/>
                <w:sz w:val="18"/>
                <w:szCs w:val="18"/>
                <w:color w:val="auto"/>
              </w:rPr>
              <w:t>PJM - West Hub</w:t>
            </w:r>
            <w:r>
              <w:rPr>
                <w:rFonts w:ascii="Times New Roman" w:cs="Times New Roman" w:eastAsia="Times New Roman" w:hAnsi="Times New Roman"/>
                <w:sz w:val="22"/>
                <w:szCs w:val="22"/>
                <w:color w:val="auto"/>
                <w:vertAlign w:val="superscript"/>
              </w:rPr>
              <w:t>(b)</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24"/>
        </w:trPr>
        <w:tc>
          <w:tcPr>
            <w:tcW w:w="20" w:type="dxa"/>
            <w:vAlign w:val="bottom"/>
          </w:tcPr>
          <w:p>
            <w:pPr>
              <w:spacing w:after="0"/>
              <w:rPr>
                <w:sz w:val="19"/>
                <w:szCs w:val="19"/>
                <w:color w:val="auto"/>
              </w:rPr>
            </w:pPr>
          </w:p>
        </w:tc>
        <w:tc>
          <w:tcPr>
            <w:tcW w:w="5920" w:type="dxa"/>
            <w:vAlign w:val="bottom"/>
            <w:gridSpan w:val="2"/>
          </w:tcPr>
          <w:p>
            <w:pPr>
              <w:ind w:left="180"/>
              <w:spacing w:after="0" w:line="224" w:lineRule="exact"/>
              <w:rPr>
                <w:sz w:val="20"/>
                <w:szCs w:val="20"/>
                <w:color w:val="auto"/>
              </w:rPr>
            </w:pPr>
            <w:r>
              <w:rPr>
                <w:rFonts w:ascii="Times New Roman" w:cs="Times New Roman" w:eastAsia="Times New Roman" w:hAnsi="Times New Roman"/>
                <w:sz w:val="18"/>
                <w:szCs w:val="18"/>
                <w:color w:val="auto"/>
              </w:rPr>
              <w:t>PJM - APS</w:t>
            </w:r>
            <w:r>
              <w:rPr>
                <w:rFonts w:ascii="Times New Roman" w:cs="Times New Roman" w:eastAsia="Times New Roman" w:hAnsi="Times New Roman"/>
                <w:sz w:val="22"/>
                <w:szCs w:val="22"/>
                <w:color w:val="auto"/>
                <w:vertAlign w:val="superscript"/>
              </w:rPr>
              <w:t>(b)</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24"/>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80"/>
              <w:spacing w:after="0" w:line="224" w:lineRule="exact"/>
              <w:rPr>
                <w:sz w:val="20"/>
                <w:szCs w:val="20"/>
                <w:color w:val="auto"/>
              </w:rPr>
            </w:pPr>
            <w:r>
              <w:rPr>
                <w:rFonts w:ascii="Times New Roman" w:cs="Times New Roman" w:eastAsia="Times New Roman" w:hAnsi="Times New Roman"/>
                <w:sz w:val="18"/>
                <w:szCs w:val="18"/>
                <w:color w:val="auto"/>
              </w:rPr>
              <w:t>PJM - DOMINION</w:t>
            </w:r>
            <w:r>
              <w:rPr>
                <w:rFonts w:ascii="Times New Roman" w:cs="Times New Roman" w:eastAsia="Times New Roman" w:hAnsi="Times New Roman"/>
                <w:sz w:val="22"/>
                <w:szCs w:val="22"/>
                <w:color w:val="auto"/>
                <w:vertAlign w:val="superscript"/>
              </w:rPr>
              <w:t>(b)</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11"/>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4"/>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920" w:type="dxa"/>
            <w:vAlign w:val="bottom"/>
            <w:gridSpan w:val="2"/>
          </w:tcPr>
          <w:p>
            <w:pPr>
              <w:ind w:left="200"/>
              <w:spacing w:after="0" w:line="224" w:lineRule="exact"/>
              <w:rPr>
                <w:sz w:val="20"/>
                <w:szCs w:val="20"/>
                <w:color w:val="auto"/>
              </w:rPr>
            </w:pPr>
            <w:r>
              <w:rPr>
                <w:rFonts w:ascii="Times New Roman" w:cs="Times New Roman" w:eastAsia="Times New Roman" w:hAnsi="Times New Roman"/>
                <w:sz w:val="18"/>
                <w:szCs w:val="18"/>
                <w:color w:val="auto"/>
              </w:rPr>
              <w:t>MISO - Louisiana Hub</w:t>
            </w:r>
            <w:r>
              <w:rPr>
                <w:rFonts w:ascii="Times New Roman" w:cs="Times New Roman" w:eastAsia="Times New Roman" w:hAnsi="Times New Roman"/>
                <w:sz w:val="22"/>
                <w:szCs w:val="22"/>
                <w:color w:val="auto"/>
                <w:vertAlign w:val="superscript"/>
              </w:rPr>
              <w:t>(b)</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4"/>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00"/>
              <w:spacing w:after="0" w:line="224" w:lineRule="exact"/>
              <w:rPr>
                <w:sz w:val="20"/>
                <w:szCs w:val="20"/>
                <w:color w:val="auto"/>
              </w:rPr>
            </w:pPr>
            <w:r>
              <w:rPr>
                <w:rFonts w:ascii="Times New Roman" w:cs="Times New Roman" w:eastAsia="Times New Roman" w:hAnsi="Times New Roman"/>
                <w:sz w:val="18"/>
                <w:szCs w:val="18"/>
                <w:color w:val="auto"/>
              </w:rPr>
              <w:t>CAISO - SP15</w:t>
            </w:r>
            <w:r>
              <w:rPr>
                <w:rFonts w:ascii="Times New Roman" w:cs="Times New Roman" w:eastAsia="Times New Roman" w:hAnsi="Times New Roman"/>
                <w:sz w:val="22"/>
                <w:szCs w:val="22"/>
                <w:color w:val="auto"/>
                <w:vertAlign w:val="superscript"/>
              </w:rPr>
              <w:t>(b)</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70" w:lineRule="exact"/>
        <w:rPr>
          <w:sz w:val="20"/>
          <w:szCs w:val="20"/>
          <w:color w:val="auto"/>
        </w:rPr>
      </w:pPr>
    </w:p>
    <w:p>
      <w:pPr>
        <w:ind w:left="320" w:hanging="236"/>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on peak power prices based on real time settlement prices as published by the respective ISOs</w:t>
      </w:r>
    </w:p>
    <w:p>
      <w:pPr>
        <w:spacing w:after="0" w:line="12" w:lineRule="exact"/>
        <w:rPr>
          <w:rFonts w:ascii="Times New Roman" w:cs="Times New Roman" w:eastAsia="Times New Roman" w:hAnsi="Times New Roman"/>
          <w:sz w:val="14"/>
          <w:szCs w:val="14"/>
          <w:color w:val="auto"/>
        </w:rPr>
      </w:pPr>
    </w:p>
    <w:p>
      <w:pPr>
        <w:ind w:left="320" w:hanging="236"/>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on peak power prices based on day ahead settlement prices as published by the respective ISOs</w:t>
      </w:r>
    </w:p>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Natural Gas Prices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average Henry Hub natural gas price for the three months ended March 31, 2026 and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40" w:type="dxa"/>
            <w:vAlign w:val="bottom"/>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2560" w:type="dxa"/>
            <w:vAlign w:val="bottom"/>
            <w:tcBorders>
              <w:top w:val="single" w:sz="8" w:color="auto"/>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1320" w:type="dxa"/>
            <w:vAlign w:val="bottom"/>
            <w:tcBorders>
              <w:top w:val="single" w:sz="8" w:color="auto"/>
              <w:bottom w:val="single" w:sz="8" w:color="auto"/>
            </w:tcBorders>
          </w:tcPr>
          <w:p>
            <w:pPr>
              <w:spacing w:after="0"/>
              <w:rPr>
                <w:sz w:val="20"/>
                <w:szCs w:val="20"/>
                <w:color w:val="auto"/>
              </w:rPr>
            </w:pPr>
          </w:p>
        </w:tc>
      </w:tr>
      <w:tr>
        <w:trPr>
          <w:trHeight w:val="217"/>
        </w:trPr>
        <w:tc>
          <w:tcPr>
            <w:tcW w:w="61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17"/>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($/MMBtu)</w:t>
            </w:r>
          </w:p>
        </w:tc>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calculates gross margin in order to evaluate operating performance as revenues less cost of fuel, purchased energy and other costs of sales, mark-to-market for economic hedging activities, contract and emissions credit amortization and depreciation and amortization.</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Economic Gross Margin</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management. Economic gross margin is defined as the sum of retail revenue, energy revenue, capacity revenue and other revenue, less cost of fuel, purchased energy and other cost of sales. Economic gross margin does not include mark-to-market gains or losses on economic hedging activities, contract amortization, emissions credit amortization, depreciation and amortization, operations and maintenance, or other cost of operations.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5" w:name="page56"/>
    <w:bookmarkEnd w:id="55"/>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present the composition and reconciliation of gross margin and economic gross margin for the three months ended March 31, 2026 and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220"/>
              <w:spacing w:after="0" w:line="112" w:lineRule="exact"/>
              <w:rPr>
                <w:sz w:val="20"/>
                <w:szCs w:val="20"/>
                <w:color w:val="auto"/>
              </w:rPr>
            </w:pPr>
            <w:r>
              <w:rPr>
                <w:rFonts w:ascii="Times New Roman" w:cs="Times New Roman" w:eastAsia="Times New Roman" w:hAnsi="Times New Roman"/>
                <w:sz w:val="12"/>
                <w:szCs w:val="12"/>
                <w:b w:val="1"/>
                <w:bCs w:val="1"/>
                <w:color w:val="auto"/>
              </w:rPr>
              <w:t>Vivint Smart</w:t>
            </w: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44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Texas</w:t>
            </w:r>
            <w:r>
              <w:rPr>
                <w:rFonts w:ascii="Times New Roman" w:cs="Times New Roman" w:eastAsia="Times New Roman" w:hAnsi="Times New Roman"/>
                <w:sz w:val="15"/>
                <w:szCs w:val="15"/>
                <w:b w:val="1"/>
                <w:bCs w:val="1"/>
                <w:color w:val="auto"/>
                <w:vertAlign w:val="superscript"/>
              </w:rPr>
              <w:t>(a)</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East</w:t>
            </w:r>
            <w:r>
              <w:rPr>
                <w:rFonts w:ascii="Times New Roman" w:cs="Times New Roman" w:eastAsia="Times New Roman" w:hAnsi="Times New Roman"/>
                <w:sz w:val="15"/>
                <w:szCs w:val="15"/>
                <w:b w:val="1"/>
                <w:bCs w:val="1"/>
                <w:color w:val="auto"/>
                <w:vertAlign w:val="superscript"/>
              </w:rPr>
              <w:t>(a)</w:t>
            </w: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West/Other</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Home</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Corporate/Eliminations</w:t>
            </w:r>
          </w:p>
        </w:tc>
        <w:tc>
          <w:tcPr>
            <w:tcW w:w="220" w:type="dxa"/>
            <w:vAlign w:val="bottom"/>
          </w:tcPr>
          <w:p>
            <w:pPr>
              <w:spacing w:after="0"/>
              <w:rPr>
                <w:sz w:val="16"/>
                <w:szCs w:val="16"/>
                <w:color w:val="auto"/>
              </w:rPr>
            </w:pPr>
          </w:p>
        </w:tc>
        <w:tc>
          <w:tcPr>
            <w:tcW w:w="740" w:type="dxa"/>
            <w:vAlign w:val="bottom"/>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04"/>
        </w:trPr>
        <w:tc>
          <w:tcPr>
            <w:tcW w:w="44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Retail revenue</w:t>
            </w: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0" w:type="dxa"/>
            <w:vAlign w:val="bottom"/>
          </w:tcPr>
          <w:p>
            <w:pPr>
              <w:spacing w:after="0"/>
              <w:rPr>
                <w:sz w:val="1"/>
                <w:szCs w:val="1"/>
                <w:color w:val="auto"/>
              </w:rPr>
            </w:pPr>
          </w:p>
        </w:tc>
      </w:tr>
      <w:tr>
        <w:trPr>
          <w:trHeight w:val="209"/>
        </w:trPr>
        <w:tc>
          <w:tcPr>
            <w:tcW w:w="4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Energy revenue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Capacity revenue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09"/>
        </w:trPr>
        <w:tc>
          <w:tcPr>
            <w:tcW w:w="4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Mark-to-market for economic hedging activities</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amortization</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1"/>
        </w:trPr>
        <w:tc>
          <w:tcPr>
            <w:tcW w:w="442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Other revenue</w:t>
            </w:r>
            <w:r>
              <w:rPr>
                <w:rFonts w:ascii="Times New Roman" w:cs="Times New Roman" w:eastAsia="Times New Roman" w:hAnsi="Times New Roman"/>
                <w:sz w:val="20"/>
                <w:szCs w:val="20"/>
                <w:color w:val="auto"/>
                <w:vertAlign w:val="superscript"/>
              </w:rPr>
              <w:t>(b)</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4"/>
        </w:trPr>
        <w:tc>
          <w:tcPr>
            <w:tcW w:w="44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10,256</w:t>
            </w:r>
          </w:p>
        </w:tc>
        <w:tc>
          <w:tcPr>
            <w:tcW w:w="0" w:type="dxa"/>
            <w:vAlign w:val="bottom"/>
          </w:tcPr>
          <w:p>
            <w:pPr>
              <w:spacing w:after="0"/>
              <w:rPr>
                <w:sz w:val="1"/>
                <w:szCs w:val="1"/>
                <w:color w:val="auto"/>
              </w:rPr>
            </w:pPr>
          </w:p>
        </w:tc>
      </w:tr>
      <w:tr>
        <w:trPr>
          <w:trHeight w:val="202"/>
        </w:trPr>
        <w:tc>
          <w:tcPr>
            <w:tcW w:w="4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fuel</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220"/>
              <w:spacing w:after="0" w:line="212" w:lineRule="exact"/>
              <w:rPr>
                <w:sz w:val="20"/>
                <w:szCs w:val="20"/>
                <w:color w:val="auto"/>
              </w:rPr>
            </w:pPr>
            <w:r>
              <w:rPr>
                <w:rFonts w:ascii="Times New Roman" w:cs="Times New Roman" w:eastAsia="Times New Roman" w:hAnsi="Times New Roman"/>
                <w:sz w:val="16"/>
                <w:szCs w:val="16"/>
                <w:color w:val="auto"/>
              </w:rPr>
              <w:t>Purchased energy and other cost of sales</w:t>
            </w:r>
            <w:r>
              <w:rPr>
                <w:rFonts w:ascii="Times New Roman" w:cs="Times New Roman" w:eastAsia="Times New Roman" w:hAnsi="Times New Roman"/>
                <w:sz w:val="20"/>
                <w:szCs w:val="20"/>
                <w:color w:val="auto"/>
                <w:vertAlign w:val="superscript"/>
              </w:rPr>
              <w:t>(c)(d)(e)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w:t>
            </w:r>
          </w:p>
        </w:tc>
        <w:tc>
          <w:tcPr>
            <w:tcW w:w="0" w:type="dxa"/>
            <w:vAlign w:val="bottom"/>
          </w:tcPr>
          <w:p>
            <w:pPr>
              <w:spacing w:after="0"/>
              <w:rPr>
                <w:sz w:val="1"/>
                <w:szCs w:val="1"/>
                <w:color w:val="auto"/>
              </w:rPr>
            </w:pPr>
          </w:p>
        </w:tc>
      </w:tr>
      <w:tr>
        <w:trPr>
          <w:trHeight w:val="209"/>
        </w:trPr>
        <w:tc>
          <w:tcPr>
            <w:tcW w:w="4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Mark-to-market for economic hedging activities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and emissions credit amortization</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1,503</w:t>
            </w:r>
          </w:p>
        </w:tc>
        <w:tc>
          <w:tcPr>
            <w:tcW w:w="0" w:type="dxa"/>
            <w:vAlign w:val="bottom"/>
          </w:tcPr>
          <w:p>
            <w:pPr>
              <w:spacing w:after="0"/>
              <w:rPr>
                <w:sz w:val="1"/>
                <w:szCs w:val="1"/>
                <w:color w:val="auto"/>
              </w:rPr>
            </w:pPr>
          </w:p>
        </w:tc>
      </w:tr>
      <w:tr>
        <w:trPr>
          <w:trHeight w:val="209"/>
        </w:trPr>
        <w:tc>
          <w:tcPr>
            <w:tcW w:w="4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Mark-to-market for economic hedging activities, net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Contract and emissions credit amortization, net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Depreciation and amortization</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Economic gross margin</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2,151</w:t>
            </w:r>
          </w:p>
        </w:tc>
        <w:tc>
          <w:tcPr>
            <w:tcW w:w="0" w:type="dxa"/>
            <w:vAlign w:val="bottom"/>
          </w:tcPr>
          <w:p>
            <w:pPr>
              <w:spacing w:after="0"/>
              <w:rPr>
                <w:sz w:val="1"/>
                <w:szCs w:val="1"/>
                <w:color w:val="auto"/>
              </w:rPr>
            </w:pPr>
          </w:p>
        </w:tc>
      </w:tr>
    </w:tbl>
    <w:p>
      <w:pPr>
        <w:ind w:left="300" w:hanging="172"/>
        <w:spacing w:after="0"/>
        <w:tabs>
          <w:tab w:leader="none" w:pos="3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results of operations following the acquisition date of the LSP Portfolio of January 30, 2026</w:t>
      </w:r>
    </w:p>
    <w:p>
      <w:pPr>
        <w:spacing w:after="0" w:line="34" w:lineRule="exact"/>
        <w:rPr>
          <w:rFonts w:ascii="Times New Roman" w:cs="Times New Roman" w:eastAsia="Times New Roman" w:hAnsi="Times New Roman"/>
          <w:sz w:val="13"/>
          <w:szCs w:val="13"/>
          <w:color w:val="auto"/>
        </w:rPr>
      </w:pPr>
    </w:p>
    <w:p>
      <w:pPr>
        <w:ind w:left="320" w:hanging="192"/>
        <w:spacing w:after="0"/>
        <w:tabs>
          <w:tab w:leader="none" w:pos="3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trading gains and losses and ancillary revenues</w:t>
      </w:r>
    </w:p>
    <w:p>
      <w:pPr>
        <w:spacing w:after="0" w:line="34" w:lineRule="exact"/>
        <w:rPr>
          <w:rFonts w:ascii="Times New Roman" w:cs="Times New Roman" w:eastAsia="Times New Roman" w:hAnsi="Times New Roman"/>
          <w:sz w:val="13"/>
          <w:szCs w:val="13"/>
          <w:color w:val="auto"/>
        </w:rPr>
      </w:pPr>
    </w:p>
    <w:p>
      <w:pPr>
        <w:ind w:left="300" w:hanging="172"/>
        <w:spacing w:after="0"/>
        <w:tabs>
          <w:tab w:leader="none" w:pos="3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capacity and emissions credits</w:t>
      </w:r>
    </w:p>
    <w:p>
      <w:pPr>
        <w:spacing w:after="0" w:line="34" w:lineRule="exact"/>
        <w:rPr>
          <w:rFonts w:ascii="Times New Roman" w:cs="Times New Roman" w:eastAsia="Times New Roman" w:hAnsi="Times New Roman"/>
          <w:sz w:val="13"/>
          <w:szCs w:val="13"/>
          <w:color w:val="auto"/>
        </w:rPr>
      </w:pPr>
    </w:p>
    <w:p>
      <w:pPr>
        <w:ind w:left="320" w:hanging="192"/>
        <w:spacing w:after="0"/>
        <w:tabs>
          <w:tab w:leader="none" w:pos="3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$778 million, $58 million and $273 million of TDSP expense in Texas, East and West/Other, respectively</w:t>
      </w:r>
    </w:p>
    <w:p>
      <w:pPr>
        <w:spacing w:after="0" w:line="34" w:lineRule="exact"/>
        <w:rPr>
          <w:rFonts w:ascii="Times New Roman" w:cs="Times New Roman" w:eastAsia="Times New Roman" w:hAnsi="Times New Roman"/>
          <w:sz w:val="13"/>
          <w:szCs w:val="13"/>
          <w:color w:val="auto"/>
        </w:rPr>
      </w:pPr>
    </w:p>
    <w:p>
      <w:pPr>
        <w:ind w:left="300" w:hanging="172"/>
        <w:spacing w:after="0"/>
        <w:tabs>
          <w:tab w:leader="none" w:pos="3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depreciation and amortization shown separately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Business Metrics</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Vivint Smart</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420" w:type="dxa"/>
            <w:vAlign w:val="bottom"/>
            <w:gridSpan w:val="4"/>
            <w:vMerge w:val="continue"/>
          </w:tcPr>
          <w:p>
            <w:pPr>
              <w:spacing w:after="0"/>
              <w:rPr>
                <w:sz w:val="15"/>
                <w:szCs w:val="15"/>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Texas</w:t>
            </w: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East</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West/Other</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Home</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Corporate/Eliminations</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0"/>
        </w:trPr>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auto"/>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b w:val="1"/>
                <w:bCs w:val="1"/>
                <w:color w:val="auto"/>
                <w:w w:val="98"/>
              </w:rPr>
              <w:t>Retail sales</w:t>
            </w:r>
          </w:p>
        </w:tc>
        <w:tc>
          <w:tcPr>
            <w:tcW w:w="36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0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30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Home electricity sales volume (GWh)</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7,383</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12,228</w:t>
            </w:r>
          </w:p>
        </w:tc>
        <w:tc>
          <w:tcPr>
            <w:tcW w:w="0" w:type="dxa"/>
            <w:vAlign w:val="bottom"/>
          </w:tcPr>
          <w:p>
            <w:pPr>
              <w:spacing w:after="0"/>
              <w:rPr>
                <w:sz w:val="1"/>
                <w:szCs w:val="1"/>
                <w:color w:val="auto"/>
              </w:rPr>
            </w:pPr>
          </w:p>
        </w:tc>
      </w:tr>
      <w:tr>
        <w:trPr>
          <w:trHeight w:val="205"/>
        </w:trPr>
        <w:tc>
          <w:tcPr>
            <w:tcW w:w="140" w:type="dxa"/>
            <w:vAlign w:val="bottom"/>
            <w:shd w:val="clear" w:color="auto" w:fill="CCEEFF"/>
          </w:tcPr>
          <w:p>
            <w:pPr>
              <w:spacing w:after="0"/>
              <w:rPr>
                <w:sz w:val="17"/>
                <w:szCs w:val="17"/>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electricity sales volume (GWh)</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10,993</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22,988</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Home natural gas sales volume (MDth)</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32,485</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54,870</w:t>
            </w:r>
          </w:p>
        </w:tc>
        <w:tc>
          <w:tcPr>
            <w:tcW w:w="0" w:type="dxa"/>
            <w:vAlign w:val="bottom"/>
          </w:tcPr>
          <w:p>
            <w:pPr>
              <w:spacing w:after="0"/>
              <w:rPr>
                <w:sz w:val="1"/>
                <w:szCs w:val="1"/>
                <w:color w:val="auto"/>
              </w:rPr>
            </w:pPr>
          </w:p>
        </w:tc>
      </w:tr>
      <w:tr>
        <w:trPr>
          <w:trHeight w:val="205"/>
        </w:trPr>
        <w:tc>
          <w:tcPr>
            <w:tcW w:w="140" w:type="dxa"/>
            <w:vAlign w:val="bottom"/>
            <w:shd w:val="clear" w:color="auto" w:fill="CCEEFF"/>
          </w:tcPr>
          <w:p>
            <w:pPr>
              <w:spacing w:after="0"/>
              <w:rPr>
                <w:sz w:val="17"/>
                <w:szCs w:val="17"/>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natural gas sales volume (MDth)</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533,485</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58,296</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591,781</w:t>
            </w:r>
          </w:p>
        </w:tc>
        <w:tc>
          <w:tcPr>
            <w:tcW w:w="0" w:type="dxa"/>
            <w:vAlign w:val="bottom"/>
          </w:tcPr>
          <w:p>
            <w:pPr>
              <w:spacing w:after="0"/>
              <w:rPr>
                <w:sz w:val="1"/>
                <w:szCs w:val="1"/>
                <w:color w:val="auto"/>
              </w:rPr>
            </w:pPr>
          </w:p>
        </w:tc>
      </w:tr>
      <w:tr>
        <w:trPr>
          <w:trHeight w:val="197"/>
        </w:trPr>
        <w:tc>
          <w:tcPr>
            <w:tcW w:w="140" w:type="dxa"/>
            <w:vAlign w:val="bottom"/>
          </w:tcPr>
          <w:p>
            <w:pPr>
              <w:spacing w:after="0"/>
              <w:rPr>
                <w:sz w:val="17"/>
                <w:szCs w:val="17"/>
                <w:color w:val="auto"/>
              </w:rPr>
            </w:pPr>
          </w:p>
        </w:tc>
        <w:tc>
          <w:tcPr>
            <w:tcW w:w="4280" w:type="dxa"/>
            <w:vAlign w:val="bottom"/>
            <w:gridSpan w:val="3"/>
          </w:tcPr>
          <w:p>
            <w:pPr>
              <w:spacing w:after="0" w:line="197" w:lineRule="exact"/>
              <w:rPr>
                <w:sz w:val="20"/>
                <w:szCs w:val="20"/>
                <w:color w:val="auto"/>
              </w:rPr>
            </w:pPr>
            <w:r>
              <w:rPr>
                <w:rFonts w:ascii="Times New Roman" w:cs="Times New Roman" w:eastAsia="Times New Roman" w:hAnsi="Times New Roman"/>
                <w:sz w:val="14"/>
                <w:szCs w:val="14"/>
                <w:color w:val="auto"/>
              </w:rPr>
              <w:t>Average retail Home customer count (in thousands)</w:t>
            </w:r>
            <w:r>
              <w:rPr>
                <w:rFonts w:ascii="Times New Roman" w:cs="Times New Roman" w:eastAsia="Times New Roman" w:hAnsi="Times New Roman"/>
                <w:sz w:val="18"/>
                <w:szCs w:val="18"/>
                <w:color w:val="auto"/>
                <w:vertAlign w:val="superscript"/>
              </w:rPr>
              <w:t>(a)</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5,630</w:t>
            </w:r>
          </w:p>
        </w:tc>
        <w:tc>
          <w:tcPr>
            <w:tcW w:w="0" w:type="dxa"/>
            <w:vAlign w:val="bottom"/>
          </w:tcPr>
          <w:p>
            <w:pPr>
              <w:spacing w:after="0"/>
              <w:rPr>
                <w:sz w:val="1"/>
                <w:szCs w:val="1"/>
                <w:color w:val="auto"/>
              </w:rPr>
            </w:pPr>
          </w:p>
        </w:tc>
      </w:tr>
      <w:tr>
        <w:trPr>
          <w:trHeight w:val="197"/>
        </w:trPr>
        <w:tc>
          <w:tcPr>
            <w:tcW w:w="140" w:type="dxa"/>
            <w:vAlign w:val="bottom"/>
            <w:shd w:val="clear" w:color="auto" w:fill="CCEEFF"/>
          </w:tcPr>
          <w:p>
            <w:pPr>
              <w:spacing w:after="0"/>
              <w:rPr>
                <w:sz w:val="17"/>
                <w:szCs w:val="17"/>
                <w:color w:val="auto"/>
              </w:rPr>
            </w:pPr>
          </w:p>
        </w:tc>
        <w:tc>
          <w:tcPr>
            <w:tcW w:w="428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Ending retail Home customer count (in thousands)</w:t>
            </w:r>
            <w:r>
              <w:rPr>
                <w:rFonts w:ascii="Times New Roman" w:cs="Times New Roman" w:eastAsia="Times New Roman" w:hAnsi="Times New Roman"/>
                <w:sz w:val="18"/>
                <w:szCs w:val="18"/>
                <w:color w:val="auto"/>
                <w:vertAlign w:val="superscript"/>
              </w:rPr>
              <w:t>(a)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w:t>
            </w:r>
          </w:p>
        </w:tc>
        <w:tc>
          <w:tcPr>
            <w:tcW w:w="0" w:type="dxa"/>
            <w:vAlign w:val="bottom"/>
          </w:tcPr>
          <w:p>
            <w:pPr>
              <w:spacing w:after="0"/>
              <w:rPr>
                <w:sz w:val="1"/>
                <w:szCs w:val="1"/>
                <w:color w:val="auto"/>
              </w:rPr>
            </w:pPr>
          </w:p>
        </w:tc>
      </w:tr>
      <w:tr>
        <w:trPr>
          <w:trHeight w:val="197"/>
        </w:trPr>
        <w:tc>
          <w:tcPr>
            <w:tcW w:w="140" w:type="dxa"/>
            <w:vAlign w:val="bottom"/>
          </w:tcPr>
          <w:p>
            <w:pPr>
              <w:spacing w:after="0"/>
              <w:rPr>
                <w:sz w:val="17"/>
                <w:szCs w:val="17"/>
                <w:color w:val="auto"/>
              </w:rPr>
            </w:pPr>
          </w:p>
        </w:tc>
        <w:tc>
          <w:tcPr>
            <w:tcW w:w="4280" w:type="dxa"/>
            <w:vAlign w:val="bottom"/>
            <w:gridSpan w:val="3"/>
          </w:tcPr>
          <w:p>
            <w:pPr>
              <w:spacing w:after="0" w:line="197" w:lineRule="exact"/>
              <w:rPr>
                <w:sz w:val="20"/>
                <w:szCs w:val="20"/>
                <w:color w:val="auto"/>
              </w:rPr>
            </w:pPr>
            <w:r>
              <w:rPr>
                <w:rFonts w:ascii="Times New Roman" w:cs="Times New Roman" w:eastAsia="Times New Roman" w:hAnsi="Times New Roman"/>
                <w:sz w:val="14"/>
                <w:szCs w:val="14"/>
                <w:color w:val="auto"/>
              </w:rPr>
              <w:t>Average Vivint Smart Home customer count (in thousands)</w:t>
            </w:r>
            <w:r>
              <w:rPr>
                <w:rFonts w:ascii="Times New Roman" w:cs="Times New Roman" w:eastAsia="Times New Roman" w:hAnsi="Times New Roman"/>
                <w:sz w:val="18"/>
                <w:szCs w:val="18"/>
                <w:color w:val="auto"/>
                <w:vertAlign w:val="superscript"/>
              </w:rPr>
              <w:t>(b)</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100" w:type="dxa"/>
            <w:vAlign w:val="bottom"/>
          </w:tcPr>
          <w:p>
            <w:pPr>
              <w:spacing w:after="0"/>
              <w:rPr>
                <w:sz w:val="17"/>
                <w:szCs w:val="17"/>
                <w:color w:val="auto"/>
              </w:rPr>
            </w:pP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0" w:type="dxa"/>
            <w:vAlign w:val="bottom"/>
          </w:tcPr>
          <w:p>
            <w:pPr>
              <w:spacing w:after="0"/>
              <w:rPr>
                <w:sz w:val="1"/>
                <w:szCs w:val="1"/>
                <w:color w:val="auto"/>
              </w:rPr>
            </w:pPr>
          </w:p>
        </w:tc>
      </w:tr>
      <w:tr>
        <w:trPr>
          <w:trHeight w:val="197"/>
        </w:trPr>
        <w:tc>
          <w:tcPr>
            <w:tcW w:w="140" w:type="dxa"/>
            <w:vAlign w:val="bottom"/>
            <w:shd w:val="clear" w:color="auto" w:fill="CCEEFF"/>
          </w:tcPr>
          <w:p>
            <w:pPr>
              <w:spacing w:after="0"/>
              <w:rPr>
                <w:sz w:val="17"/>
                <w:szCs w:val="17"/>
                <w:color w:val="auto"/>
              </w:rPr>
            </w:pPr>
          </w:p>
        </w:tc>
        <w:tc>
          <w:tcPr>
            <w:tcW w:w="428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 xml:space="preserve">Ending Vivint Smart Home customer count (in thousands) </w:t>
            </w:r>
            <w:r>
              <w:rPr>
                <w:rFonts w:ascii="Times New Roman" w:cs="Times New Roman" w:eastAsia="Times New Roman" w:hAnsi="Times New Roman"/>
                <w:sz w:val="18"/>
                <w:szCs w:val="18"/>
                <w:color w:val="auto"/>
                <w:vertAlign w:val="superscript"/>
              </w:rPr>
              <w:t>(b)(c)</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0" w:type="dxa"/>
            <w:vAlign w:val="bottom"/>
          </w:tcPr>
          <w:p>
            <w:pPr>
              <w:spacing w:after="0"/>
              <w:rPr>
                <w:sz w:val="1"/>
                <w:szCs w:val="1"/>
                <w:color w:val="auto"/>
              </w:rPr>
            </w:pPr>
          </w:p>
        </w:tc>
      </w:tr>
      <w:tr>
        <w:trPr>
          <w:trHeight w:val="145"/>
        </w:trPr>
        <w:tc>
          <w:tcPr>
            <w:tcW w:w="140" w:type="dxa"/>
            <w:vAlign w:val="bottom"/>
          </w:tcPr>
          <w:p>
            <w:pPr>
              <w:spacing w:after="0"/>
              <w:rPr>
                <w:sz w:val="12"/>
                <w:szCs w:val="12"/>
                <w:color w:val="auto"/>
              </w:rPr>
            </w:pPr>
          </w:p>
        </w:tc>
        <w:tc>
          <w:tcPr>
            <w:tcW w:w="428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Power generation</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40" w:type="dxa"/>
            <w:vAlign w:val="bottom"/>
            <w:shd w:val="clear" w:color="auto" w:fill="CCEEFF"/>
          </w:tcPr>
          <w:p>
            <w:pPr>
              <w:spacing w:after="0"/>
              <w:rPr>
                <w:sz w:val="17"/>
                <w:szCs w:val="17"/>
                <w:color w:val="auto"/>
              </w:rPr>
            </w:pPr>
          </w:p>
        </w:tc>
        <w:tc>
          <w:tcPr>
            <w:tcW w:w="428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GWh sold</w:t>
            </w:r>
            <w:r>
              <w:rPr>
                <w:rFonts w:ascii="Times New Roman" w:cs="Times New Roman" w:eastAsia="Times New Roman" w:hAnsi="Times New Roman"/>
                <w:sz w:val="18"/>
                <w:szCs w:val="18"/>
                <w:color w:val="auto"/>
                <w:vertAlign w:val="superscript"/>
              </w:rPr>
              <w:t>(d)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4,431</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9,869</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GWh generated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40" w:type="dxa"/>
            <w:vAlign w:val="bottom"/>
            <w:shd w:val="clear" w:color="auto" w:fill="CCEEFF"/>
          </w:tcPr>
          <w:p>
            <w:pPr>
              <w:spacing w:after="0"/>
              <w:rPr>
                <w:sz w:val="17"/>
                <w:szCs w:val="17"/>
                <w:color w:val="auto"/>
              </w:rPr>
            </w:pPr>
          </w:p>
        </w:tc>
        <w:tc>
          <w:tcPr>
            <w:tcW w:w="4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Coal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42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Gas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4,823</w:t>
            </w:r>
          </w:p>
        </w:tc>
        <w:tc>
          <w:tcPr>
            <w:tcW w:w="0" w:type="dxa"/>
            <w:vAlign w:val="bottom"/>
          </w:tcPr>
          <w:p>
            <w:pPr>
              <w:spacing w:after="0"/>
              <w:rPr>
                <w:sz w:val="1"/>
                <w:szCs w:val="1"/>
                <w:color w:val="auto"/>
              </w:rPr>
            </w:pPr>
          </w:p>
        </w:tc>
      </w:tr>
      <w:tr>
        <w:trPr>
          <w:trHeight w:val="205"/>
        </w:trPr>
        <w:tc>
          <w:tcPr>
            <w:tcW w:w="140" w:type="dxa"/>
            <w:vAlign w:val="bottom"/>
            <w:shd w:val="clear" w:color="auto" w:fill="CCEEFF"/>
          </w:tcPr>
          <w:p>
            <w:pPr>
              <w:spacing w:after="0"/>
              <w:rPr>
                <w:sz w:val="17"/>
                <w:szCs w:val="17"/>
                <w:color w:val="auto"/>
              </w:rPr>
            </w:pPr>
          </w:p>
        </w:tc>
        <w:tc>
          <w:tcPr>
            <w:tcW w:w="4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Oil</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42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Renewables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7"/>
        </w:trPr>
        <w:tc>
          <w:tcPr>
            <w:tcW w:w="140" w:type="dxa"/>
            <w:vAlign w:val="bottom"/>
            <w:tcBorders>
              <w:top w:val="single" w:sz="8" w:color="CCEEFF"/>
            </w:tcBorders>
            <w:shd w:val="clear" w:color="auto" w:fill="CCEEFF"/>
          </w:tcPr>
          <w:p>
            <w:pPr>
              <w:spacing w:after="0"/>
              <w:rPr>
                <w:sz w:val="17"/>
                <w:szCs w:val="17"/>
                <w:color w:val="auto"/>
              </w:rPr>
            </w:pPr>
          </w:p>
        </w:tc>
        <w:tc>
          <w:tcPr>
            <w:tcW w:w="428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5,437</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9,409</w:t>
            </w:r>
          </w:p>
        </w:tc>
        <w:tc>
          <w:tcPr>
            <w:tcW w:w="0" w:type="dxa"/>
            <w:vAlign w:val="bottom"/>
          </w:tcPr>
          <w:p>
            <w:pPr>
              <w:spacing w:after="0"/>
              <w:rPr>
                <w:sz w:val="1"/>
                <w:szCs w:val="1"/>
                <w:color w:val="auto"/>
              </w:rPr>
            </w:pPr>
          </w:p>
        </w:tc>
      </w:tr>
    </w:tbl>
    <w:p>
      <w:pPr>
        <w:ind w:left="320" w:hanging="179"/>
        <w:spacing w:after="0"/>
        <w:tabs>
          <w:tab w:leader="none" w:pos="3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Home customer count includes recurring residential customers and community choice</w:t>
      </w:r>
    </w:p>
    <w:p>
      <w:pPr>
        <w:spacing w:after="0" w:line="34" w:lineRule="exact"/>
        <w:rPr>
          <w:rFonts w:ascii="Times New Roman" w:cs="Times New Roman" w:eastAsia="Times New Roman" w:hAnsi="Times New Roman"/>
          <w:sz w:val="13"/>
          <w:szCs w:val="13"/>
          <w:color w:val="auto"/>
        </w:rPr>
      </w:pPr>
    </w:p>
    <w:p>
      <w:pPr>
        <w:ind w:left="320" w:hanging="179"/>
        <w:spacing w:after="0"/>
        <w:tabs>
          <w:tab w:leader="none" w:pos="3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Vivint Smart Home includes customers that also purchase other NRG products such as electricity</w:t>
      </w:r>
    </w:p>
    <w:p>
      <w:pPr>
        <w:spacing w:after="0" w:line="34" w:lineRule="exact"/>
        <w:rPr>
          <w:rFonts w:ascii="Times New Roman" w:cs="Times New Roman" w:eastAsia="Times New Roman" w:hAnsi="Times New Roman"/>
          <w:sz w:val="13"/>
          <w:szCs w:val="13"/>
          <w:color w:val="auto"/>
        </w:rPr>
      </w:pPr>
    </w:p>
    <w:p>
      <w:pPr>
        <w:ind w:left="320" w:hanging="179"/>
        <w:spacing w:after="0"/>
        <w:tabs>
          <w:tab w:leader="none" w:pos="3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Vivint Smart Home includes 62 thousand Home Protection (non-Vivint) customers</w:t>
      </w:r>
    </w:p>
    <w:p>
      <w:pPr>
        <w:spacing w:after="0" w:line="34" w:lineRule="exact"/>
        <w:rPr>
          <w:rFonts w:ascii="Times New Roman" w:cs="Times New Roman" w:eastAsia="Times New Roman" w:hAnsi="Times New Roman"/>
          <w:sz w:val="13"/>
          <w:szCs w:val="13"/>
          <w:color w:val="auto"/>
        </w:rPr>
      </w:pPr>
    </w:p>
    <w:p>
      <w:pPr>
        <w:ind w:left="320" w:hanging="179"/>
        <w:spacing w:after="0"/>
        <w:tabs>
          <w:tab w:leader="none" w:pos="3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GWh sold from owned and tolled generation, excludes equity investments. Cottonwood lease ended in May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 2025</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3"/>
          </w:tcPr>
          <w:p>
            <w:pPr>
              <w:jc w:val="center"/>
              <w:ind w:right="240"/>
              <w:spacing w:after="0" w:line="112" w:lineRule="exact"/>
              <w:rPr>
                <w:sz w:val="20"/>
                <w:szCs w:val="20"/>
                <w:color w:val="auto"/>
              </w:rPr>
            </w:pPr>
            <w:r>
              <w:rPr>
                <w:rFonts w:ascii="Times New Roman" w:cs="Times New Roman" w:eastAsia="Times New Roman" w:hAnsi="Times New Roman"/>
                <w:sz w:val="12"/>
                <w:szCs w:val="12"/>
                <w:b w:val="1"/>
                <w:bCs w:val="1"/>
                <w:color w:val="auto"/>
              </w:rPr>
              <w:t>Vivint Smart</w:t>
            </w: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4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Texas</w:t>
            </w: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East</w:t>
            </w:r>
          </w:p>
        </w:tc>
        <w:tc>
          <w:tcPr>
            <w:tcW w:w="16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West/Other</w:t>
            </w:r>
          </w:p>
        </w:tc>
        <w:tc>
          <w:tcPr>
            <w:tcW w:w="120" w:type="dxa"/>
            <w:vAlign w:val="bottom"/>
          </w:tcPr>
          <w:p>
            <w:pPr>
              <w:spacing w:after="0"/>
              <w:rPr>
                <w:sz w:val="15"/>
                <w:szCs w:val="15"/>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Home</w:t>
            </w:r>
          </w:p>
        </w:tc>
        <w:tc>
          <w:tcPr>
            <w:tcW w:w="13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Corporate/Eliminations</w:t>
            </w:r>
          </w:p>
        </w:tc>
        <w:tc>
          <w:tcPr>
            <w:tcW w:w="220" w:type="dxa"/>
            <w:vAlign w:val="bottom"/>
          </w:tcPr>
          <w:p>
            <w:pPr>
              <w:spacing w:after="0"/>
              <w:rPr>
                <w:sz w:val="15"/>
                <w:szCs w:val="15"/>
                <w:color w:val="auto"/>
              </w:rPr>
            </w:pPr>
          </w:p>
        </w:tc>
        <w:tc>
          <w:tcPr>
            <w:tcW w:w="740" w:type="dxa"/>
            <w:vAlign w:val="bottom"/>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Retail revenue</w:t>
            </w: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2,387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8,216</w:t>
            </w:r>
          </w:p>
        </w:tc>
        <w:tc>
          <w:tcPr>
            <w:tcW w:w="0" w:type="dxa"/>
            <w:vAlign w:val="bottom"/>
          </w:tcPr>
          <w:p>
            <w:pPr>
              <w:spacing w:after="0"/>
              <w:rPr>
                <w:sz w:val="1"/>
                <w:szCs w:val="1"/>
                <w:color w:val="auto"/>
              </w:rPr>
            </w:pPr>
          </w:p>
        </w:tc>
      </w:tr>
      <w:tr>
        <w:trPr>
          <w:trHeight w:val="209"/>
        </w:trPr>
        <w:tc>
          <w:tcPr>
            <w:tcW w:w="4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Energy revenue</w:t>
            </w:r>
          </w:p>
        </w:tc>
        <w:tc>
          <w:tcPr>
            <w:tcW w:w="22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Capacity revenue</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9"/>
        </w:trPr>
        <w:tc>
          <w:tcPr>
            <w:tcW w:w="4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Mark-to-market for economic hedging activities</w:t>
            </w: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amortization</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1"/>
        </w:trPr>
        <w:tc>
          <w:tcPr>
            <w:tcW w:w="440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Other revenue</w:t>
            </w:r>
            <w:r>
              <w:rPr>
                <w:rFonts w:ascii="Times New Roman" w:cs="Times New Roman" w:eastAsia="Times New Roman" w:hAnsi="Times New Roman"/>
                <w:sz w:val="20"/>
                <w:szCs w:val="20"/>
                <w:color w:val="auto"/>
                <w:vertAlign w:val="superscript"/>
              </w:rPr>
              <w:t>(a)</w:t>
            </w:r>
          </w:p>
        </w:tc>
        <w:tc>
          <w:tcPr>
            <w:tcW w:w="22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4"/>
        </w:trPr>
        <w:tc>
          <w:tcPr>
            <w:tcW w:w="44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2,435</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8,585</w:t>
            </w:r>
          </w:p>
        </w:tc>
        <w:tc>
          <w:tcPr>
            <w:tcW w:w="0" w:type="dxa"/>
            <w:vAlign w:val="bottom"/>
          </w:tcPr>
          <w:p>
            <w:pPr>
              <w:spacing w:after="0"/>
              <w:rPr>
                <w:sz w:val="1"/>
                <w:szCs w:val="1"/>
                <w:color w:val="auto"/>
              </w:rPr>
            </w:pPr>
          </w:p>
        </w:tc>
      </w:tr>
      <w:tr>
        <w:trPr>
          <w:trHeight w:val="202"/>
        </w:trPr>
        <w:tc>
          <w:tcPr>
            <w:tcW w:w="4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fuel</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220"/>
              <w:spacing w:after="0" w:line="212" w:lineRule="exact"/>
              <w:rPr>
                <w:sz w:val="20"/>
                <w:szCs w:val="20"/>
                <w:color w:val="auto"/>
              </w:rPr>
            </w:pPr>
            <w:r>
              <w:rPr>
                <w:rFonts w:ascii="Times New Roman" w:cs="Times New Roman" w:eastAsia="Times New Roman" w:hAnsi="Times New Roman"/>
                <w:sz w:val="16"/>
                <w:szCs w:val="16"/>
                <w:color w:val="auto"/>
              </w:rPr>
              <w:t>Purchased energy and other cost of sales</w:t>
            </w:r>
            <w:r>
              <w:rPr>
                <w:rFonts w:ascii="Times New Roman" w:cs="Times New Roman" w:eastAsia="Times New Roman" w:hAnsi="Times New Roman"/>
                <w:sz w:val="20"/>
                <w:szCs w:val="20"/>
                <w:color w:val="auto"/>
                <w:vertAlign w:val="superscript"/>
              </w:rPr>
              <w:t>(b)(c)(d)</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(6,182)</w:t>
            </w:r>
          </w:p>
        </w:tc>
        <w:tc>
          <w:tcPr>
            <w:tcW w:w="0" w:type="dxa"/>
            <w:vAlign w:val="bottom"/>
          </w:tcPr>
          <w:p>
            <w:pPr>
              <w:spacing w:after="0"/>
              <w:rPr>
                <w:sz w:val="1"/>
                <w:szCs w:val="1"/>
                <w:color w:val="auto"/>
              </w:rPr>
            </w:pPr>
          </w:p>
        </w:tc>
      </w:tr>
      <w:tr>
        <w:trPr>
          <w:trHeight w:val="209"/>
        </w:trPr>
        <w:tc>
          <w:tcPr>
            <w:tcW w:w="4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Mark-to-market for economic hedging activities</w:t>
            </w:r>
          </w:p>
        </w:tc>
        <w:tc>
          <w:tcPr>
            <w:tcW w:w="22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and emissions credit amortization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691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289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2,064</w:t>
            </w:r>
          </w:p>
        </w:tc>
        <w:tc>
          <w:tcPr>
            <w:tcW w:w="0" w:type="dxa"/>
            <w:vAlign w:val="bottom"/>
          </w:tcPr>
          <w:p>
            <w:pPr>
              <w:spacing w:after="0"/>
              <w:rPr>
                <w:sz w:val="1"/>
                <w:szCs w:val="1"/>
                <w:color w:val="auto"/>
              </w:rPr>
            </w:pPr>
          </w:p>
        </w:tc>
      </w:tr>
      <w:tr>
        <w:trPr>
          <w:trHeight w:val="209"/>
        </w:trPr>
        <w:tc>
          <w:tcPr>
            <w:tcW w:w="4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Mark-to-market for economic hedging activities, net</w:t>
            </w:r>
          </w:p>
        </w:tc>
        <w:tc>
          <w:tcPr>
            <w:tcW w:w="22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Contract and emissions credit amortization,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Depreciation and amortization</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Economic gross margin</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737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475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2,089</w:t>
            </w:r>
          </w:p>
        </w:tc>
        <w:tc>
          <w:tcPr>
            <w:tcW w:w="0" w:type="dxa"/>
            <w:vAlign w:val="bottom"/>
          </w:tcPr>
          <w:p>
            <w:pPr>
              <w:spacing w:after="0"/>
              <w:rPr>
                <w:sz w:val="1"/>
                <w:szCs w:val="1"/>
                <w:color w:val="auto"/>
              </w:rPr>
            </w:pPr>
          </w:p>
        </w:tc>
      </w:tr>
    </w:tbl>
    <w:p>
      <w:pPr>
        <w:ind w:left="320" w:hanging="179"/>
        <w:spacing w:after="0"/>
        <w:tabs>
          <w:tab w:leader="none" w:pos="3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trading gains and losses and ancillary revenues</w:t>
      </w:r>
    </w:p>
    <w:p>
      <w:pPr>
        <w:spacing w:after="0" w:line="34" w:lineRule="exact"/>
        <w:rPr>
          <w:rFonts w:ascii="Times New Roman" w:cs="Times New Roman" w:eastAsia="Times New Roman" w:hAnsi="Times New Roman"/>
          <w:sz w:val="13"/>
          <w:szCs w:val="13"/>
          <w:color w:val="auto"/>
        </w:rPr>
      </w:pPr>
    </w:p>
    <w:p>
      <w:pPr>
        <w:ind w:left="320" w:hanging="179"/>
        <w:spacing w:after="0"/>
        <w:tabs>
          <w:tab w:leader="none" w:pos="3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capacity and emissions credits</w:t>
      </w:r>
    </w:p>
    <w:p>
      <w:pPr>
        <w:spacing w:after="0" w:line="34" w:lineRule="exact"/>
        <w:rPr>
          <w:rFonts w:ascii="Times New Roman" w:cs="Times New Roman" w:eastAsia="Times New Roman" w:hAnsi="Times New Roman"/>
          <w:sz w:val="13"/>
          <w:szCs w:val="13"/>
          <w:color w:val="auto"/>
        </w:rPr>
      </w:pPr>
    </w:p>
    <w:p>
      <w:pPr>
        <w:ind w:left="320" w:hanging="179"/>
        <w:spacing w:after="0"/>
        <w:tabs>
          <w:tab w:leader="none" w:pos="3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$800 million, $64 million and $423 million of TDSP expense in Texas, East, and West/Other, respectively</w:t>
      </w:r>
    </w:p>
    <w:p>
      <w:pPr>
        <w:spacing w:after="0" w:line="34" w:lineRule="exact"/>
        <w:rPr>
          <w:rFonts w:ascii="Times New Roman" w:cs="Times New Roman" w:eastAsia="Times New Roman" w:hAnsi="Times New Roman"/>
          <w:sz w:val="13"/>
          <w:szCs w:val="13"/>
          <w:color w:val="auto"/>
        </w:rPr>
      </w:pPr>
    </w:p>
    <w:p>
      <w:pPr>
        <w:ind w:left="320" w:hanging="179"/>
        <w:spacing w:after="0"/>
        <w:tabs>
          <w:tab w:leader="none" w:pos="3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depreciation and amortization shown separately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Business Metrics</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Vivint Smart</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00" w:type="dxa"/>
            <w:vAlign w:val="bottom"/>
            <w:gridSpan w:val="4"/>
            <w:vMerge w:val="continue"/>
          </w:tcPr>
          <w:p>
            <w:pPr>
              <w:spacing w:after="0"/>
              <w:rPr>
                <w:sz w:val="15"/>
                <w:szCs w:val="15"/>
                <w:color w:val="auto"/>
              </w:rPr>
            </w:pPr>
          </w:p>
        </w:tc>
        <w:tc>
          <w:tcPr>
            <w:tcW w:w="118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Texas</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East</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West/Other</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Home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Corporate/Eliminations</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0"/>
        </w:trPr>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auto"/>
            </w:tcBorders>
            <w:shd w:val="clear" w:color="auto" w:fill="CCEEFF"/>
          </w:tcPr>
          <w:p>
            <w:pPr>
              <w:spacing w:after="0" w:line="127" w:lineRule="exact"/>
              <w:rPr>
                <w:sz w:val="20"/>
                <w:szCs w:val="20"/>
                <w:color w:val="auto"/>
              </w:rPr>
            </w:pPr>
            <w:r>
              <w:rPr>
                <w:rFonts w:ascii="Times New Roman" w:cs="Times New Roman" w:eastAsia="Times New Roman" w:hAnsi="Times New Roman"/>
                <w:sz w:val="14"/>
                <w:szCs w:val="14"/>
                <w:b w:val="1"/>
                <w:bCs w:val="1"/>
                <w:color w:val="auto"/>
                <w:w w:val="98"/>
              </w:rPr>
              <w:t>Retail sales</w:t>
            </w:r>
          </w:p>
        </w:tc>
        <w:tc>
          <w:tcPr>
            <w:tcW w:w="35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20" w:type="dxa"/>
            <w:vAlign w:val="bottom"/>
            <w:tcBorders>
              <w:top w:val="single" w:sz="8" w:color="auto"/>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Home electricity sales volume (GWh)</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8,465</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13,303</w:t>
            </w:r>
          </w:p>
        </w:tc>
        <w:tc>
          <w:tcPr>
            <w:tcW w:w="0" w:type="dxa"/>
            <w:vAlign w:val="bottom"/>
          </w:tcPr>
          <w:p>
            <w:pPr>
              <w:spacing w:after="0"/>
              <w:rPr>
                <w:sz w:val="1"/>
                <w:szCs w:val="1"/>
                <w:color w:val="auto"/>
              </w:rPr>
            </w:pPr>
          </w:p>
        </w:tc>
      </w:tr>
      <w:tr>
        <w:trPr>
          <w:trHeight w:val="205"/>
        </w:trPr>
        <w:tc>
          <w:tcPr>
            <w:tcW w:w="140" w:type="dxa"/>
            <w:vAlign w:val="bottom"/>
            <w:shd w:val="clear" w:color="auto" w:fill="CCEEFF"/>
          </w:tcPr>
          <w:p>
            <w:pPr>
              <w:spacing w:after="0"/>
              <w:rPr>
                <w:sz w:val="17"/>
                <w:szCs w:val="17"/>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electricity sales volume (GWh)</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8,928</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11,095</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22,937</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Home natural gas sales volume (MDth)</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35,104</w:t>
            </w:r>
          </w:p>
        </w:tc>
        <w:tc>
          <w:tcPr>
            <w:tcW w:w="12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61,744</w:t>
            </w:r>
          </w:p>
        </w:tc>
        <w:tc>
          <w:tcPr>
            <w:tcW w:w="0" w:type="dxa"/>
            <w:vAlign w:val="bottom"/>
          </w:tcPr>
          <w:p>
            <w:pPr>
              <w:spacing w:after="0"/>
              <w:rPr>
                <w:sz w:val="1"/>
                <w:szCs w:val="1"/>
                <w:color w:val="auto"/>
              </w:rPr>
            </w:pPr>
          </w:p>
        </w:tc>
      </w:tr>
      <w:tr>
        <w:trPr>
          <w:trHeight w:val="205"/>
        </w:trPr>
        <w:tc>
          <w:tcPr>
            <w:tcW w:w="140" w:type="dxa"/>
            <w:vAlign w:val="bottom"/>
            <w:shd w:val="clear" w:color="auto" w:fill="CCEEFF"/>
          </w:tcPr>
          <w:p>
            <w:pPr>
              <w:spacing w:after="0"/>
              <w:rPr>
                <w:sz w:val="17"/>
                <w:szCs w:val="17"/>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natural gas sales volume (MDth)</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500,579</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54,070</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554,649</w:t>
            </w:r>
          </w:p>
        </w:tc>
        <w:tc>
          <w:tcPr>
            <w:tcW w:w="0" w:type="dxa"/>
            <w:vAlign w:val="bottom"/>
          </w:tcPr>
          <w:p>
            <w:pPr>
              <w:spacing w:after="0"/>
              <w:rPr>
                <w:sz w:val="1"/>
                <w:szCs w:val="1"/>
                <w:color w:val="auto"/>
              </w:rPr>
            </w:pPr>
          </w:p>
        </w:tc>
      </w:tr>
      <w:tr>
        <w:trPr>
          <w:trHeight w:val="197"/>
        </w:trPr>
        <w:tc>
          <w:tcPr>
            <w:tcW w:w="140" w:type="dxa"/>
            <w:vAlign w:val="bottom"/>
          </w:tcPr>
          <w:p>
            <w:pPr>
              <w:spacing w:after="0"/>
              <w:rPr>
                <w:sz w:val="17"/>
                <w:szCs w:val="17"/>
                <w:color w:val="auto"/>
              </w:rPr>
            </w:pPr>
          </w:p>
        </w:tc>
        <w:tc>
          <w:tcPr>
            <w:tcW w:w="4260" w:type="dxa"/>
            <w:vAlign w:val="bottom"/>
            <w:gridSpan w:val="3"/>
          </w:tcPr>
          <w:p>
            <w:pPr>
              <w:spacing w:after="0" w:line="197" w:lineRule="exact"/>
              <w:rPr>
                <w:sz w:val="20"/>
                <w:szCs w:val="20"/>
                <w:color w:val="auto"/>
              </w:rPr>
            </w:pPr>
            <w:r>
              <w:rPr>
                <w:rFonts w:ascii="Times New Roman" w:cs="Times New Roman" w:eastAsia="Times New Roman" w:hAnsi="Times New Roman"/>
                <w:sz w:val="14"/>
                <w:szCs w:val="14"/>
                <w:color w:val="auto"/>
              </w:rPr>
              <w:t>Average retail Home customer count (in thousands)</w:t>
            </w:r>
            <w:r>
              <w:rPr>
                <w:rFonts w:ascii="Times New Roman" w:cs="Times New Roman" w:eastAsia="Times New Roman" w:hAnsi="Times New Roman"/>
                <w:sz w:val="18"/>
                <w:szCs w:val="18"/>
                <w:color w:val="auto"/>
                <w:vertAlign w:val="superscript"/>
              </w:rPr>
              <w:t>(a)</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2,911</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5,763</w:t>
            </w:r>
          </w:p>
        </w:tc>
        <w:tc>
          <w:tcPr>
            <w:tcW w:w="0" w:type="dxa"/>
            <w:vAlign w:val="bottom"/>
          </w:tcPr>
          <w:p>
            <w:pPr>
              <w:spacing w:after="0"/>
              <w:rPr>
                <w:sz w:val="1"/>
                <w:szCs w:val="1"/>
                <w:color w:val="auto"/>
              </w:rPr>
            </w:pPr>
          </w:p>
        </w:tc>
      </w:tr>
      <w:tr>
        <w:trPr>
          <w:trHeight w:val="197"/>
        </w:trPr>
        <w:tc>
          <w:tcPr>
            <w:tcW w:w="140" w:type="dxa"/>
            <w:vAlign w:val="bottom"/>
            <w:shd w:val="clear" w:color="auto" w:fill="CCEEFF"/>
          </w:tcPr>
          <w:p>
            <w:pPr>
              <w:spacing w:after="0"/>
              <w:rPr>
                <w:sz w:val="17"/>
                <w:szCs w:val="17"/>
                <w:color w:val="auto"/>
              </w:rPr>
            </w:pPr>
          </w:p>
        </w:tc>
        <w:tc>
          <w:tcPr>
            <w:tcW w:w="426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Ending retail Home customer count (in thousands)</w:t>
            </w:r>
            <w:r>
              <w:rPr>
                <w:rFonts w:ascii="Times New Roman" w:cs="Times New Roman" w:eastAsia="Times New Roman" w:hAnsi="Times New Roman"/>
                <w:sz w:val="18"/>
                <w:szCs w:val="18"/>
                <w:color w:val="auto"/>
                <w:vertAlign w:val="superscript"/>
              </w:rPr>
              <w:t>(a)</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5,825</w:t>
            </w:r>
          </w:p>
        </w:tc>
        <w:tc>
          <w:tcPr>
            <w:tcW w:w="0" w:type="dxa"/>
            <w:vAlign w:val="bottom"/>
          </w:tcPr>
          <w:p>
            <w:pPr>
              <w:spacing w:after="0"/>
              <w:rPr>
                <w:sz w:val="1"/>
                <w:szCs w:val="1"/>
                <w:color w:val="auto"/>
              </w:rPr>
            </w:pPr>
          </w:p>
        </w:tc>
      </w:tr>
      <w:tr>
        <w:trPr>
          <w:trHeight w:val="197"/>
        </w:trPr>
        <w:tc>
          <w:tcPr>
            <w:tcW w:w="140" w:type="dxa"/>
            <w:vAlign w:val="bottom"/>
          </w:tcPr>
          <w:p>
            <w:pPr>
              <w:spacing w:after="0"/>
              <w:rPr>
                <w:sz w:val="17"/>
                <w:szCs w:val="17"/>
                <w:color w:val="auto"/>
              </w:rPr>
            </w:pPr>
          </w:p>
        </w:tc>
        <w:tc>
          <w:tcPr>
            <w:tcW w:w="4260" w:type="dxa"/>
            <w:vAlign w:val="bottom"/>
            <w:gridSpan w:val="3"/>
          </w:tcPr>
          <w:p>
            <w:pPr>
              <w:spacing w:after="0" w:line="197" w:lineRule="exact"/>
              <w:rPr>
                <w:sz w:val="20"/>
                <w:szCs w:val="20"/>
                <w:color w:val="auto"/>
              </w:rPr>
            </w:pPr>
            <w:r>
              <w:rPr>
                <w:rFonts w:ascii="Times New Roman" w:cs="Times New Roman" w:eastAsia="Times New Roman" w:hAnsi="Times New Roman"/>
                <w:sz w:val="14"/>
                <w:szCs w:val="14"/>
                <w:color w:val="auto"/>
              </w:rPr>
              <w:t>Average Vivint Smart Home customer count (in thousands)</w:t>
            </w:r>
            <w:r>
              <w:rPr>
                <w:rFonts w:ascii="Times New Roman" w:cs="Times New Roman" w:eastAsia="Times New Roman" w:hAnsi="Times New Roman"/>
                <w:sz w:val="18"/>
                <w:szCs w:val="18"/>
                <w:color w:val="auto"/>
                <w:vertAlign w:val="superscript"/>
              </w:rPr>
              <w:t>(b)</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1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0" w:type="dxa"/>
            <w:vAlign w:val="bottom"/>
          </w:tcPr>
          <w:p>
            <w:pPr>
              <w:spacing w:after="0"/>
              <w:rPr>
                <w:sz w:val="1"/>
                <w:szCs w:val="1"/>
                <w:color w:val="auto"/>
              </w:rPr>
            </w:pPr>
          </w:p>
        </w:tc>
      </w:tr>
      <w:tr>
        <w:trPr>
          <w:trHeight w:val="197"/>
        </w:trPr>
        <w:tc>
          <w:tcPr>
            <w:tcW w:w="140" w:type="dxa"/>
            <w:vAlign w:val="bottom"/>
            <w:shd w:val="clear" w:color="auto" w:fill="CCEEFF"/>
          </w:tcPr>
          <w:p>
            <w:pPr>
              <w:spacing w:after="0"/>
              <w:rPr>
                <w:sz w:val="17"/>
                <w:szCs w:val="17"/>
                <w:color w:val="auto"/>
              </w:rPr>
            </w:pPr>
          </w:p>
        </w:tc>
        <w:tc>
          <w:tcPr>
            <w:tcW w:w="426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Ending Vivint Smart Home customer count (in thousands)</w:t>
            </w:r>
            <w:r>
              <w:rPr>
                <w:rFonts w:ascii="Times New Roman" w:cs="Times New Roman" w:eastAsia="Times New Roman" w:hAnsi="Times New Roman"/>
                <w:sz w:val="18"/>
                <w:szCs w:val="18"/>
                <w:color w:val="auto"/>
                <w:vertAlign w:val="superscript"/>
              </w:rPr>
              <w:t>(b)(c)</w:t>
            </w: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0" w:type="dxa"/>
            <w:vAlign w:val="bottom"/>
          </w:tcPr>
          <w:p>
            <w:pPr>
              <w:spacing w:after="0"/>
              <w:rPr>
                <w:sz w:val="1"/>
                <w:szCs w:val="1"/>
                <w:color w:val="auto"/>
              </w:rPr>
            </w:pPr>
          </w:p>
        </w:tc>
      </w:tr>
      <w:tr>
        <w:trPr>
          <w:trHeight w:val="145"/>
        </w:trPr>
        <w:tc>
          <w:tcPr>
            <w:tcW w:w="140" w:type="dxa"/>
            <w:vAlign w:val="bottom"/>
          </w:tcPr>
          <w:p>
            <w:pPr>
              <w:spacing w:after="0"/>
              <w:rPr>
                <w:sz w:val="12"/>
                <w:szCs w:val="12"/>
                <w:color w:val="auto"/>
              </w:rPr>
            </w:pPr>
          </w:p>
        </w:tc>
        <w:tc>
          <w:tcPr>
            <w:tcW w:w="426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Power generation</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40" w:type="dxa"/>
            <w:vAlign w:val="bottom"/>
            <w:shd w:val="clear" w:color="auto" w:fill="CCEEFF"/>
          </w:tcPr>
          <w:p>
            <w:pPr>
              <w:spacing w:after="0"/>
              <w:rPr>
                <w:sz w:val="17"/>
                <w:szCs w:val="17"/>
                <w:color w:val="auto"/>
              </w:rPr>
            </w:pPr>
          </w:p>
        </w:tc>
        <w:tc>
          <w:tcPr>
            <w:tcW w:w="426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GWh sold</w:t>
            </w:r>
            <w:r>
              <w:rPr>
                <w:rFonts w:ascii="Times New Roman" w:cs="Times New Roman" w:eastAsia="Times New Roman" w:hAnsi="Times New Roman"/>
                <w:sz w:val="18"/>
                <w:szCs w:val="18"/>
                <w:color w:val="auto"/>
                <w:vertAlign w:val="superscript"/>
              </w:rPr>
              <w:t>(d)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9,108</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GWh generated</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40" w:type="dxa"/>
            <w:vAlign w:val="bottom"/>
            <w:shd w:val="clear" w:color="auto" w:fill="CCEEFF"/>
          </w:tcPr>
          <w:p>
            <w:pPr>
              <w:spacing w:after="0"/>
              <w:rPr>
                <w:sz w:val="17"/>
                <w:szCs w:val="17"/>
                <w:color w:val="auto"/>
              </w:rPr>
            </w:pPr>
          </w:p>
        </w:tc>
        <w:tc>
          <w:tcPr>
            <w:tcW w:w="4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Coal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6,019</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42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Gas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2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0" w:type="dxa"/>
            <w:vAlign w:val="bottom"/>
          </w:tcPr>
          <w:p>
            <w:pPr>
              <w:spacing w:after="0"/>
              <w:rPr>
                <w:sz w:val="1"/>
                <w:szCs w:val="1"/>
                <w:color w:val="auto"/>
              </w:rPr>
            </w:pPr>
          </w:p>
        </w:tc>
      </w:tr>
      <w:tr>
        <w:trPr>
          <w:trHeight w:val="205"/>
        </w:trPr>
        <w:tc>
          <w:tcPr>
            <w:tcW w:w="140" w:type="dxa"/>
            <w:vAlign w:val="bottom"/>
            <w:shd w:val="clear" w:color="auto" w:fill="CCEEFF"/>
          </w:tcPr>
          <w:p>
            <w:pPr>
              <w:spacing w:after="0"/>
              <w:rPr>
                <w:sz w:val="17"/>
                <w:szCs w:val="17"/>
                <w:color w:val="auto"/>
              </w:rPr>
            </w:pPr>
          </w:p>
        </w:tc>
        <w:tc>
          <w:tcPr>
            <w:tcW w:w="4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Oil</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42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Renewables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7"/>
        </w:trPr>
        <w:tc>
          <w:tcPr>
            <w:tcW w:w="14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5,641</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8,398</w:t>
            </w:r>
          </w:p>
        </w:tc>
        <w:tc>
          <w:tcPr>
            <w:tcW w:w="0" w:type="dxa"/>
            <w:vAlign w:val="bottom"/>
          </w:tcPr>
          <w:p>
            <w:pPr>
              <w:spacing w:after="0"/>
              <w:rPr>
                <w:sz w:val="1"/>
                <w:szCs w:val="1"/>
                <w:color w:val="auto"/>
              </w:rPr>
            </w:pPr>
          </w:p>
        </w:tc>
      </w:tr>
    </w:tbl>
    <w:p>
      <w:pPr>
        <w:ind w:left="320" w:hanging="179"/>
        <w:spacing w:after="0"/>
        <w:tabs>
          <w:tab w:leader="none" w:pos="3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Home customer count includes recurring residential customers and community choice</w:t>
      </w:r>
    </w:p>
    <w:p>
      <w:pPr>
        <w:spacing w:after="0" w:line="34" w:lineRule="exact"/>
        <w:rPr>
          <w:rFonts w:ascii="Times New Roman" w:cs="Times New Roman" w:eastAsia="Times New Roman" w:hAnsi="Times New Roman"/>
          <w:sz w:val="13"/>
          <w:szCs w:val="13"/>
          <w:color w:val="auto"/>
        </w:rPr>
      </w:pPr>
    </w:p>
    <w:p>
      <w:pPr>
        <w:ind w:left="320" w:hanging="179"/>
        <w:spacing w:after="0"/>
        <w:tabs>
          <w:tab w:leader="none" w:pos="3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Vivint Smart Home includes customers that also purchase other NRG products such as electricity</w:t>
      </w:r>
    </w:p>
    <w:p>
      <w:pPr>
        <w:spacing w:after="0" w:line="34" w:lineRule="exact"/>
        <w:rPr>
          <w:rFonts w:ascii="Times New Roman" w:cs="Times New Roman" w:eastAsia="Times New Roman" w:hAnsi="Times New Roman"/>
          <w:sz w:val="13"/>
          <w:szCs w:val="13"/>
          <w:color w:val="auto"/>
        </w:rPr>
      </w:pPr>
    </w:p>
    <w:p>
      <w:pPr>
        <w:ind w:left="320" w:hanging="179"/>
        <w:spacing w:after="0"/>
        <w:tabs>
          <w:tab w:leader="none" w:pos="3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Vivint Smart Home includes 72 thousand Home Protection (non-Vivint) customers</w:t>
      </w:r>
    </w:p>
    <w:p>
      <w:pPr>
        <w:spacing w:after="0" w:line="34" w:lineRule="exact"/>
        <w:rPr>
          <w:rFonts w:ascii="Times New Roman" w:cs="Times New Roman" w:eastAsia="Times New Roman" w:hAnsi="Times New Roman"/>
          <w:sz w:val="13"/>
          <w:szCs w:val="13"/>
          <w:color w:val="auto"/>
        </w:rPr>
      </w:pPr>
    </w:p>
    <w:p>
      <w:pPr>
        <w:ind w:left="320" w:hanging="179"/>
        <w:spacing w:after="0"/>
        <w:tabs>
          <w:tab w:leader="none" w:pos="3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GWh sold from owned, tolled and leased generation, excludes equity investments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400"/>
        <w:spacing w:after="0"/>
        <w:rPr>
          <w:sz w:val="20"/>
          <w:szCs w:val="20"/>
          <w:color w:val="auto"/>
        </w:rPr>
      </w:pPr>
      <w:r>
        <w:rPr>
          <w:rFonts w:ascii="Times New Roman" w:cs="Times New Roman" w:eastAsia="Times New Roman" w:hAnsi="Times New Roman"/>
          <w:sz w:val="18"/>
          <w:szCs w:val="18"/>
          <w:color w:val="auto"/>
        </w:rPr>
        <w:t>The following table represents the weather metrics for the three months ended March 31, 2026 and 2025:</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3340" w:type="dxa"/>
            <w:vAlign w:val="bottom"/>
            <w:gridSpan w:val="5"/>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Weather Metrics</w:t>
            </w:r>
          </w:p>
        </w:tc>
        <w:tc>
          <w:tcPr>
            <w:tcW w:w="15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680" w:type="dxa"/>
            <w:vAlign w:val="bottom"/>
            <w:vMerge w:val="continue"/>
          </w:tcPr>
          <w:p>
            <w:pPr>
              <w:spacing w:after="0"/>
              <w:rPr>
                <w:sz w:val="16"/>
                <w:szCs w:val="16"/>
                <w:color w:val="auto"/>
              </w:rPr>
            </w:pP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2"/>
                <w:szCs w:val="12"/>
                <w:b w:val="1"/>
                <w:bCs w:val="1"/>
                <w:color w:val="auto"/>
              </w:rPr>
              <w:t>Texas</w:t>
            </w:r>
          </w:p>
        </w:tc>
        <w:tc>
          <w:tcPr>
            <w:tcW w:w="180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East</w:t>
            </w:r>
            <w:r>
              <w:rPr>
                <w:rFonts w:ascii="Times New Roman" w:cs="Times New Roman" w:eastAsia="Times New Roman" w:hAnsi="Times New Roman"/>
                <w:sz w:val="15"/>
                <w:szCs w:val="15"/>
                <w:b w:val="1"/>
                <w:bCs w:val="1"/>
                <w:color w:val="auto"/>
                <w:w w:val="97"/>
                <w:vertAlign w:val="superscript"/>
              </w:rPr>
              <w:t>(b)</w:t>
            </w:r>
          </w:p>
        </w:tc>
        <w:tc>
          <w:tcPr>
            <w:tcW w:w="1180" w:type="dxa"/>
            <w:vAlign w:val="bottom"/>
          </w:tcPr>
          <w:p>
            <w:pPr>
              <w:jc w:val="right"/>
              <w:ind w:right="284"/>
              <w:spacing w:after="0"/>
              <w:rPr>
                <w:sz w:val="20"/>
                <w:szCs w:val="20"/>
                <w:color w:val="auto"/>
              </w:rPr>
            </w:pPr>
            <w:r>
              <w:rPr>
                <w:rFonts w:ascii="Times New Roman" w:cs="Times New Roman" w:eastAsia="Times New Roman" w:hAnsi="Times New Roman"/>
                <w:sz w:val="12"/>
                <w:szCs w:val="12"/>
                <w:b w:val="1"/>
                <w:bCs w:val="1"/>
                <w:color w:val="auto"/>
              </w:rPr>
              <w:t>West/Other</w:t>
            </w:r>
            <w:r>
              <w:rPr>
                <w:rFonts w:ascii="Times New Roman" w:cs="Times New Roman" w:eastAsia="Times New Roman" w:hAnsi="Times New Roman"/>
                <w:sz w:val="15"/>
                <w:szCs w:val="15"/>
                <w:b w:val="1"/>
                <w:bCs w:val="1"/>
                <w:color w:val="auto"/>
                <w:vertAlign w:val="superscript"/>
              </w:rPr>
              <w:t>(c)</w:t>
            </w:r>
          </w:p>
        </w:tc>
        <w:tc>
          <w:tcPr>
            <w:tcW w:w="0" w:type="dxa"/>
            <w:vAlign w:val="bottom"/>
          </w:tcPr>
          <w:p>
            <w:pPr>
              <w:spacing w:after="0"/>
              <w:rPr>
                <w:sz w:val="1"/>
                <w:szCs w:val="1"/>
                <w:color w:val="auto"/>
              </w:rPr>
            </w:pPr>
          </w:p>
        </w:tc>
      </w:tr>
      <w:tr>
        <w:trPr>
          <w:trHeight w:val="191"/>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680" w:type="dxa"/>
            <w:vAlign w:val="bottom"/>
          </w:tcPr>
          <w:p>
            <w:pPr>
              <w:ind w:left="220"/>
              <w:spacing w:after="0" w:line="210" w:lineRule="exact"/>
              <w:rPr>
                <w:sz w:val="20"/>
                <w:szCs w:val="20"/>
                <w:color w:val="auto"/>
              </w:rPr>
            </w:pPr>
            <w:r>
              <w:rPr>
                <w:rFonts w:ascii="Times New Roman" w:cs="Times New Roman" w:eastAsia="Times New Roman" w:hAnsi="Times New Roman"/>
                <w:sz w:val="16"/>
                <w:szCs w:val="16"/>
                <w:color w:val="auto"/>
              </w:rPr>
              <w:t>CDDs</w:t>
            </w:r>
            <w:r>
              <w:rPr>
                <w:rFonts w:ascii="Times New Roman" w:cs="Times New Roman" w:eastAsia="Times New Roman" w:hAnsi="Times New Roman"/>
                <w:sz w:val="20"/>
                <w:szCs w:val="20"/>
                <w:color w:val="auto"/>
                <w:vertAlign w:val="superscript"/>
              </w:rPr>
              <w:t>(a)</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1"/>
        </w:trPr>
        <w:tc>
          <w:tcPr>
            <w:tcW w:w="6680" w:type="dxa"/>
            <w:vAlign w:val="bottom"/>
            <w:shd w:val="clear" w:color="auto" w:fill="CCEEFF"/>
          </w:tcPr>
          <w:p>
            <w:pPr>
              <w:ind w:left="220"/>
              <w:spacing w:after="0" w:line="210" w:lineRule="exact"/>
              <w:rPr>
                <w:sz w:val="20"/>
                <w:szCs w:val="20"/>
                <w:color w:val="auto"/>
              </w:rPr>
            </w:pPr>
            <w:r>
              <w:rPr>
                <w:rFonts w:ascii="Times New Roman" w:cs="Times New Roman" w:eastAsia="Times New Roman" w:hAnsi="Times New Roman"/>
                <w:sz w:val="16"/>
                <w:szCs w:val="16"/>
                <w:color w:val="auto"/>
              </w:rPr>
              <w:t>HDDs</w:t>
            </w:r>
            <w:r>
              <w:rPr>
                <w:rFonts w:ascii="Times New Roman" w:cs="Times New Roman" w:eastAsia="Times New Roman" w:hAnsi="Times New Roman"/>
                <w:sz w:val="20"/>
                <w:szCs w:val="20"/>
                <w:color w:val="auto"/>
                <w:vertAlign w:val="superscript"/>
              </w:rPr>
              <w:t>(a)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0" w:type="dxa"/>
            <w:vAlign w:val="bottom"/>
          </w:tcPr>
          <w:p>
            <w:pPr>
              <w:spacing w:after="0"/>
              <w:rPr>
                <w:sz w:val="1"/>
                <w:szCs w:val="1"/>
                <w:color w:val="auto"/>
              </w:rPr>
            </w:pPr>
          </w:p>
        </w:tc>
      </w:tr>
      <w:tr>
        <w:trPr>
          <w:trHeight w:val="210"/>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CDDs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9"/>
        </w:trPr>
        <w:tc>
          <w:tcPr>
            <w:tcW w:w="6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HDDs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0" w:type="dxa"/>
            <w:vAlign w:val="bottom"/>
          </w:tcPr>
          <w:p>
            <w:pPr>
              <w:spacing w:after="0"/>
              <w:rPr>
                <w:sz w:val="1"/>
                <w:szCs w:val="1"/>
                <w:color w:val="auto"/>
              </w:rPr>
            </w:pP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10-year average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CDDs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2"/>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HDDs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20" w:hanging="315"/>
        <w:spacing w:after="0" w:line="254" w:lineRule="auto"/>
        <w:tabs>
          <w:tab w:leader="none" w:pos="20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National Oceanic and Atmospheric Administration-Climate Prediction Center - A CDD represents the number of degrees that the mean temperature for a particular day is above 65 degrees Fahrenheit in each region. A HDD represents the number of degrees that the mean temperature for a particular day is below 65 degrees Fahrenheit in each region. The CDDs/HDDs for a period of time are calculated by adding the CDDs/HDDs for each day during the period</w:t>
      </w:r>
    </w:p>
    <w:p>
      <w:pPr>
        <w:ind w:left="200" w:hanging="195"/>
        <w:spacing w:after="0"/>
        <w:tabs>
          <w:tab w:leader="none" w:pos="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East weather metrics are comprised of the average of the CDD and HDD regional results for the Northeast and East - Midwest regions</w:t>
      </w:r>
    </w:p>
    <w:p>
      <w:pPr>
        <w:spacing w:after="0" w:line="10"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West/Other weather metrics are comprised of the average of the CDD and HDD regional results for the West - California and West - South Central regions</w:t>
      </w:r>
    </w:p>
    <w:p>
      <w:pPr>
        <w:spacing w:after="0" w:line="2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Gross Margin and Economic Gross Margin</w:t>
      </w:r>
    </w:p>
    <w:p>
      <w:pPr>
        <w:spacing w:after="0" w:line="11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Gross margin decreased $561 million and economic gross margin increased $62 million during the three months ended March 31, 2026, compared to the same period in 2025.</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describe the changes in gross margin and economic gross margin by segment:</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Texas</w:t>
      </w:r>
    </w:p>
    <w:p>
      <w:pPr>
        <w:spacing w:after="0" w:line="41"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Higher gross margin due to the net effect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135495" cy="4762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5495" cy="476250"/>
                    </a:xfrm>
                    <a:prstGeom prst="rect">
                      <a:avLst/>
                    </a:prstGeom>
                    <a:noFill/>
                  </pic:spPr>
                </pic:pic>
              </a:graphicData>
            </a:graphic>
          </wp:anchor>
        </w:drawing>
      </w:r>
    </w:p>
    <w:p>
      <w:pPr>
        <w:ind w:left="640" w:hanging="301"/>
        <w:spacing w:after="0" w:line="198"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revenue rates of $86 million, primarily driven by changes in customer term, product and mix</w:t>
      </w:r>
    </w:p>
    <w:p>
      <w:pPr>
        <w:ind w:left="640" w:hanging="301"/>
        <w:spacing w:after="0" w:line="213"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or $76 million increase in cost to serve the retail load, driven by higher realized power prices associated with the</w:t>
      </w:r>
    </w:p>
    <w:tbl>
      <w:tblPr>
        <w:tblLayout w:type="fixed"/>
        <w:tblInd w:w="0" w:type="dxa"/>
        <w:tblCellMar>
          <w:top w:w="0" w:type="dxa"/>
          <w:left w:w="0" w:type="dxa"/>
          <w:bottom w:w="0" w:type="dxa"/>
          <w:right w:w="0" w:type="dxa"/>
        </w:tblCellMar>
      </w:tblPr>
      <w:tr>
        <w:trPr>
          <w:trHeight w:val="204"/>
        </w:trPr>
        <w:tc>
          <w:tcPr>
            <w:tcW w:w="9860" w:type="dxa"/>
            <w:vAlign w:val="bottom"/>
          </w:tcPr>
          <w:p>
            <w:pPr>
              <w:ind w:left="660"/>
              <w:spacing w:after="0" w:line="204" w:lineRule="exact"/>
              <w:rPr>
                <w:sz w:val="20"/>
                <w:szCs w:val="20"/>
                <w:color w:val="auto"/>
              </w:rPr>
            </w:pPr>
            <w:r>
              <w:rPr>
                <w:rFonts w:ascii="Times New Roman" w:cs="Times New Roman" w:eastAsia="Times New Roman" w:hAnsi="Times New Roman"/>
                <w:sz w:val="18"/>
                <w:szCs w:val="18"/>
                <w:color w:val="auto"/>
              </w:rPr>
              <w:t>Company’s diversified supply strategy, including the assets acquired from the LSP Portfolio</w:t>
            </w:r>
          </w:p>
        </w:tc>
        <w:tc>
          <w:tcPr>
            <w:tcW w:w="540" w:type="dxa"/>
            <w:vAlign w:val="bottom"/>
          </w:tcPr>
          <w:p>
            <w:pPr>
              <w:jc w:val="right"/>
              <w:ind w:right="352"/>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10</w:t>
            </w:r>
          </w:p>
        </w:tc>
      </w:tr>
      <w:tr>
        <w:trPr>
          <w:trHeight w:val="176"/>
        </w:trPr>
        <w:tc>
          <w:tcPr>
            <w:tcW w:w="9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7"/>
              </w:rPr>
              <w:t>Lower gross margin due to a decrease in load of 0.7 TWhs, or $32 million, attributed to weather, as well as a decrease in load of 0.4 TWhs,</w:t>
            </w: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7"/>
        </w:trPr>
        <w:tc>
          <w:tcPr>
            <w:tcW w:w="9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$27 million, driven by changes in customer mix and attrition</w:t>
            </w: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4"/>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9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Decrease in economic gross margin</w:t>
            </w: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171"/>
        </w:trPr>
        <w:tc>
          <w:tcPr>
            <w:tcW w:w="98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Decrease in mark-to-market for economic hedging primarily due to net unrealized gains/losses on open positions related to economic</w:t>
            </w: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7"/>
        </w:trPr>
        <w:tc>
          <w:tcPr>
            <w:tcW w:w="9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hedges</w:t>
            </w: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4"/>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contract and emissions credit amortization</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depreciation and amortization</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7"/>
        </w:trPr>
        <w:tc>
          <w:tcPr>
            <w:tcW w:w="9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Decrease in gross margin</w:t>
            </w: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r>
      <w:tr>
        <w:trPr>
          <w:trHeight w:val="20"/>
        </w:trPr>
        <w:tc>
          <w:tcPr>
            <w:tcW w:w="9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8" w:name="page59"/>
    <w:bookmarkEnd w:id="58"/>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East</w:t>
      </w:r>
    </w:p>
    <w:p>
      <w:pPr>
        <w:spacing w:after="0" w:line="41"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Lower electric gross margin due to the net effect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110730" cy="4762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0730" cy="476250"/>
                    </a:xfrm>
                    <a:prstGeom prst="rect">
                      <a:avLst/>
                    </a:prstGeom>
                    <a:noFill/>
                  </pic:spPr>
                </pic:pic>
              </a:graphicData>
            </a:graphic>
          </wp:anchor>
        </w:drawing>
      </w:r>
    </w:p>
    <w:p>
      <w:pPr>
        <w:ind w:left="640" w:hanging="301"/>
        <w:spacing w:after="0" w:line="213"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31%, or $374 million increase in cost to serve the retail load, driven by higher realized power prices associated with the</w:t>
      </w:r>
    </w:p>
    <w:tbl>
      <w:tblPr>
        <w:tblLayout w:type="fixed"/>
        <w:tblInd w:w="0" w:type="dxa"/>
        <w:tblCellMar>
          <w:top w:w="0" w:type="dxa"/>
          <w:left w:w="0" w:type="dxa"/>
          <w:bottom w:w="0" w:type="dxa"/>
          <w:right w:w="0" w:type="dxa"/>
        </w:tblCellMar>
      </w:tblPr>
      <w:tr>
        <w:trPr>
          <w:trHeight w:val="157"/>
        </w:trPr>
        <w:tc>
          <w:tcPr>
            <w:tcW w:w="9820" w:type="dxa"/>
            <w:vAlign w:val="bottom"/>
          </w:tcPr>
          <w:p>
            <w:pPr>
              <w:ind w:left="660"/>
              <w:spacing w:after="0" w:line="157" w:lineRule="exact"/>
              <w:rPr>
                <w:sz w:val="20"/>
                <w:szCs w:val="20"/>
                <w:color w:val="auto"/>
              </w:rPr>
            </w:pPr>
            <w:r>
              <w:rPr>
                <w:rFonts w:ascii="Times New Roman" w:cs="Times New Roman" w:eastAsia="Times New Roman" w:hAnsi="Times New Roman"/>
                <w:sz w:val="18"/>
                <w:szCs w:val="18"/>
                <w:color w:val="auto"/>
              </w:rPr>
              <w:t>Company’s diversified supply strategy, including the assets acquired from the LSP Portfolio</w:t>
            </w:r>
          </w:p>
        </w:tc>
        <w:tc>
          <w:tcPr>
            <w:tcW w:w="22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9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an increase in net revenue rates of $262 million, primarily driven by changes in customer term, product and mix</w:t>
            </w:r>
          </w:p>
        </w:tc>
        <w:tc>
          <w:tcPr>
            <w:tcW w:w="22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electric gross margin primarily due to changes in customer mix and attrition, as well as an increase in load attributed to weather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98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Lower natural gas gross margin due to higher supply costs of $1,021 million including the impact of transportation and storage contract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optimization, partially offset by higher net revenue rates of $1,005 million, from changes in customer term, product, and mix</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natural gas gross margin from an increase in load due to a change in customer mix</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gross margin due to an increase in capacity from the acquisition of the LSP Portfolio and Midwest Generation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98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8"/>
              </w:rPr>
              <w:t>Higher gross margin due to an increase in demand response activities, including the acquisition of CPower and higher PJM auction prices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2026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 gross margin due to the deactivation of Indian River Unit 4 in February 2025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in economic gross margin</w:t>
            </w:r>
          </w:p>
        </w:tc>
        <w:tc>
          <w:tcPr>
            <w:tcW w:w="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98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Decrease in mark-to-market for economic hedging primarily due to net unrealized gains/losses on open positions related to economic</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hedges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contract amortization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in depreciation and amortization</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9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Decrease in gross margin</w:t>
            </w:r>
          </w:p>
        </w:tc>
        <w:tc>
          <w:tcPr>
            <w:tcW w:w="220" w:type="dxa"/>
            <w:vAlign w:val="bottom"/>
            <w:tcBorders>
              <w:bottom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West/Other</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9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9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w w:val="97"/>
              </w:rPr>
              <w:t>Higher electric gross margin due to lower supply costs of $23 million and customer mix of $4 million, partially offset by lower net revenue</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9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rates of $6 million</w:t>
            </w:r>
          </w:p>
        </w:tc>
        <w:tc>
          <w:tcPr>
            <w:tcW w:w="2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98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Lower natural gas gross margin due to higher supply costs of $29 million, partially offset by higher net revenue rates of $25 million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higher customer mix of $1 million</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8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in economic gross margin</w:t>
            </w:r>
          </w:p>
        </w:tc>
        <w:tc>
          <w:tcPr>
            <w:tcW w:w="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98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Decrease in mark-to-market for economic hedging primarily due to net unrealized gains/losses on open positions related to economic</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hedges</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contract amortization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depreciation and amortization</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8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Decrease in gross margin</w:t>
            </w: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Vivint Smart Home</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9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98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gross margin primarily driven by growth in customers of $31 million and higher monthly revenue of $3 million</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gross margin in home protection due to increased sales volume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8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in economic gross margin</w:t>
            </w:r>
          </w:p>
        </w:tc>
        <w:tc>
          <w:tcPr>
            <w:tcW w:w="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depreciation and amortization</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8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in gross margin</w:t>
            </w: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04" w:right="359" w:bottom="1440" w:gutter="0" w:footer="0" w:header="0"/>
        </w:sectPr>
      </w:pPr>
    </w:p>
    <w:bookmarkStart w:id="59" w:name="page60"/>
    <w:bookmarkEnd w:id="59"/>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Mark-to-Market for Economic Hedging Activities</w:t>
      </w:r>
    </w:p>
    <w:p>
      <w:pPr>
        <w:spacing w:after="0" w:line="11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Mark-to-market for economic hedging activities includes asset-backed hedges that have not been designated as cash flow hedges. Total net mark-to-market results decreased by $536 million during the three months ended March 31, 2026, compared to the same period in 2025.</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breakdown  of  gains  and  losses  included  in  revenues</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and</w:t>
            </w:r>
          </w:p>
        </w:tc>
        <w:tc>
          <w:tcPr>
            <w:tcW w:w="84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operating</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costs  and</w:t>
            </w:r>
          </w:p>
        </w:tc>
        <w:tc>
          <w:tcPr>
            <w:tcW w:w="140" w:type="dxa"/>
            <w:vAlign w:val="bottom"/>
          </w:tcPr>
          <w:p>
            <w:pPr>
              <w:spacing w:after="0"/>
              <w:rPr>
                <w:sz w:val="19"/>
                <w:szCs w:val="19"/>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expenses,  by</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segment,</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was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follows:</w:t>
            </w:r>
          </w:p>
        </w:tc>
        <w:tc>
          <w:tcPr>
            <w:tcW w:w="0" w:type="dxa"/>
            <w:vAlign w:val="bottom"/>
          </w:tcPr>
          <w:p>
            <w:pPr>
              <w:spacing w:after="0"/>
              <w:rPr>
                <w:sz w:val="1"/>
                <w:szCs w:val="1"/>
                <w:color w:val="auto"/>
              </w:rPr>
            </w:pPr>
          </w:p>
        </w:tc>
      </w:tr>
      <w:tr>
        <w:trPr>
          <w:trHeight w:val="201"/>
        </w:trPr>
        <w:tc>
          <w:tcPr>
            <w:tcW w:w="5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gridSpan w:val="6"/>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60" w:type="dxa"/>
            <w:vAlign w:val="bottom"/>
            <w:vMerge w:val="continue"/>
          </w:tcPr>
          <w:p>
            <w:pPr>
              <w:spacing w:after="0"/>
              <w:rPr>
                <w:sz w:val="16"/>
                <w:szCs w:val="16"/>
                <w:color w:val="auto"/>
              </w:rPr>
            </w:pPr>
          </w:p>
        </w:tc>
        <w:tc>
          <w:tcPr>
            <w:tcW w:w="10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180" w:type="dxa"/>
            <w:vAlign w:val="bottom"/>
          </w:tcPr>
          <w:p>
            <w:pPr>
              <w:spacing w:after="0"/>
              <w:rPr>
                <w:sz w:val="16"/>
                <w:szCs w:val="16"/>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4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West/Other</w:t>
            </w: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tcPr>
          <w:p>
            <w:pPr>
              <w:spacing w:after="0"/>
              <w:rPr>
                <w:sz w:val="16"/>
                <w:szCs w:val="16"/>
                <w:color w:val="auto"/>
              </w:rPr>
            </w:pPr>
          </w:p>
        </w:tc>
        <w:tc>
          <w:tcPr>
            <w:tcW w:w="7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Mark-to-market results in revenue</w:t>
            </w:r>
          </w:p>
        </w:tc>
        <w:tc>
          <w:tcPr>
            <w:tcW w:w="4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5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Reversal of previously recognized unrealized gains on settled positions related to</w:t>
            </w:r>
          </w:p>
        </w:tc>
        <w:tc>
          <w:tcPr>
            <w:tcW w:w="40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3"/>
                <w:szCs w:val="13"/>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9"/>
        </w:trPr>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economic hedges</w:t>
            </w:r>
          </w:p>
        </w:tc>
        <w:tc>
          <w:tcPr>
            <w:tcW w:w="40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Reversal of acquired gain positions related to economic hedges</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9"/>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losses on open positions related to economic hedges</w:t>
            </w:r>
          </w:p>
        </w:tc>
        <w:tc>
          <w:tcPr>
            <w:tcW w:w="40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1"/>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mark-to-market losses in revenue</w:t>
            </w:r>
          </w:p>
        </w:tc>
        <w:tc>
          <w:tcPr>
            <w:tcW w:w="40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Mark-to-market results in operating costs and expenses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5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5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w w:val="99"/>
              </w:rPr>
              <w:t>Reversal of previously recognized unrealized (gains)/losses on settled positions related</w:t>
            </w:r>
          </w:p>
        </w:tc>
        <w:tc>
          <w:tcPr>
            <w:tcW w:w="400" w:type="dxa"/>
            <w:vAlign w:val="bottom"/>
            <w:vMerge w:val="restart"/>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88</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1"/>
        </w:trPr>
        <w:tc>
          <w:tcPr>
            <w:tcW w:w="5560" w:type="dxa"/>
            <w:vAlign w:val="bottom"/>
            <w:shd w:val="clear" w:color="auto" w:fill="CCEEFF"/>
          </w:tcPr>
          <w:p>
            <w:pPr>
              <w:ind w:left="180"/>
              <w:spacing w:after="0" w:line="210" w:lineRule="exact"/>
              <w:rPr>
                <w:sz w:val="20"/>
                <w:szCs w:val="20"/>
                <w:color w:val="auto"/>
              </w:rPr>
            </w:pPr>
            <w:r>
              <w:rPr>
                <w:rFonts w:ascii="Times New Roman" w:cs="Times New Roman" w:eastAsia="Times New Roman" w:hAnsi="Times New Roman"/>
                <w:sz w:val="16"/>
                <w:szCs w:val="16"/>
                <w:color w:val="auto"/>
              </w:rPr>
              <w:t>to economic hedges</w:t>
            </w:r>
            <w:r>
              <w:rPr>
                <w:rFonts w:ascii="Times New Roman" w:cs="Times New Roman" w:eastAsia="Times New Roman" w:hAnsi="Times New Roman"/>
                <w:sz w:val="20"/>
                <w:szCs w:val="20"/>
                <w:color w:val="auto"/>
                <w:vertAlign w:val="superscript"/>
              </w:rPr>
              <w:t>(a)</w:t>
            </w:r>
          </w:p>
        </w:tc>
        <w:tc>
          <w:tcPr>
            <w:tcW w:w="40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Reversal of acquired (gain)/loss positions related to economic hedges</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losses on open positions related to economic hedges</w:t>
            </w:r>
          </w:p>
        </w:tc>
        <w:tc>
          <w:tcPr>
            <w:tcW w:w="4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06"/>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mark-to-market losses in operating costs and expenses</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40" w:type="dxa"/>
            <w:vAlign w:val="bottom"/>
          </w:tcPr>
          <w:p>
            <w:pPr>
              <w:spacing w:after="0"/>
              <w:rPr>
                <w:sz w:val="17"/>
                <w:szCs w:val="17"/>
                <w:color w:val="auto"/>
              </w:rPr>
            </w:pPr>
          </w:p>
        </w:tc>
        <w:tc>
          <w:tcPr>
            <w:tcW w:w="8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$(51) million, within the Texas segment, related to derivative contracts that were elected as NPNS on October 1, 2024 and are no longer valued at fair value on a recurring basis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West/Other</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Mark-to-market results in revenue</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Reversal of previously recognized unrealized gains on settled positions related to</w:t>
            </w:r>
          </w:p>
        </w:tc>
        <w:tc>
          <w:tcPr>
            <w:tcW w:w="2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3"/>
                <w:szCs w:val="13"/>
                <w:color w:val="auto"/>
              </w:rPr>
            </w:pPr>
          </w:p>
        </w:tc>
        <w:tc>
          <w:tcPr>
            <w:tcW w:w="1000" w:type="dxa"/>
            <w:vAlign w:val="bottom"/>
            <w:vMerge w:val="restart"/>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9"/>
        </w:trPr>
        <w:tc>
          <w:tcPr>
            <w:tcW w:w="5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economic hedges</w:t>
            </w:r>
          </w:p>
        </w:tc>
        <w:tc>
          <w:tcPr>
            <w:tcW w:w="2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(losses)/gains on open positions related to economic hedges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4"/>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mark-to-market (losses)/gains in revenue</w:t>
            </w: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Mark-to-market results in operating costs and expenses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Reversal of previously recognized unrealized (gains)/losses on settled positions related</w:t>
            </w:r>
          </w:p>
        </w:tc>
        <w:tc>
          <w:tcPr>
            <w:tcW w:w="2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3"/>
                <w:szCs w:val="13"/>
                <w:color w:val="auto"/>
              </w:rPr>
            </w:pPr>
          </w:p>
        </w:tc>
        <w:tc>
          <w:tcPr>
            <w:tcW w:w="2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60" w:type="dxa"/>
            <w:vAlign w:val="bottom"/>
          </w:tcPr>
          <w:p>
            <w:pPr>
              <w:spacing w:after="0"/>
              <w:rPr>
                <w:sz w:val="13"/>
                <w:szCs w:val="13"/>
                <w:color w:val="auto"/>
              </w:rPr>
            </w:pPr>
          </w:p>
        </w:tc>
        <w:tc>
          <w:tcPr>
            <w:tcW w:w="1000" w:type="dxa"/>
            <w:vAlign w:val="bottom"/>
            <w:vMerge w:val="restart"/>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1"/>
        </w:trPr>
        <w:tc>
          <w:tcPr>
            <w:tcW w:w="5540" w:type="dxa"/>
            <w:vAlign w:val="bottom"/>
          </w:tcPr>
          <w:p>
            <w:pPr>
              <w:ind w:left="180"/>
              <w:spacing w:after="0" w:line="210" w:lineRule="exact"/>
              <w:rPr>
                <w:sz w:val="20"/>
                <w:szCs w:val="20"/>
                <w:color w:val="auto"/>
              </w:rPr>
            </w:pPr>
            <w:r>
              <w:rPr>
                <w:rFonts w:ascii="Times New Roman" w:cs="Times New Roman" w:eastAsia="Times New Roman" w:hAnsi="Times New Roman"/>
                <w:sz w:val="16"/>
                <w:szCs w:val="16"/>
                <w:color w:val="auto"/>
              </w:rPr>
              <w:t>to economic hedges</w:t>
            </w:r>
            <w:r>
              <w:rPr>
                <w:rFonts w:ascii="Times New Roman" w:cs="Times New Roman" w:eastAsia="Times New Roman" w:hAnsi="Times New Roman"/>
                <w:sz w:val="20"/>
                <w:szCs w:val="20"/>
                <w:color w:val="auto"/>
                <w:vertAlign w:val="superscript"/>
              </w:rPr>
              <w:t>(a)</w:t>
            </w: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Reversal of acquired loss/(gain) positions related to economic hedges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unrealized gains/(losses) on open positions related to economic hedges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31"/>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mark-to-market gains/(losses) in operating costs and expenses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$(83) million, within the Texas segment, related to derivative contracts that were elected as NPNS on October 1, 2024 and are no longer valued at fair value on a recurring basis</w:t>
      </w:r>
    </w:p>
    <w:p>
      <w:pPr>
        <w:spacing w:after="0" w:line="12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Mark-to-market results consist of unrealized gains and losses on contracts that are not yet settled. The settlement of these transactions is reflected in the same revenue or cost caption as the items being hedged.</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reversals of acquired gain or loss positions were valued based upon the forward prices on the acquisition date.</w:t>
      </w:r>
    </w:p>
    <w:p>
      <w:pPr>
        <w:spacing w:after="0" w:line="109"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For the three months ended March 31, 2026, the $42 million loss in revenues from economic hedge positions was driven primarily by the reversal of previously recognized unrealized gains on contracts that settled during the period. The $163 million loss in operating costs and expenses from economic hedge positions was driven primarily by a decrease in the value of open positions as a result of decreases in natural gas prices and CAISO and Alberta power prices.</w:t>
      </w:r>
    </w:p>
    <w:p>
      <w:pPr>
        <w:spacing w:after="0" w:line="4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For the three months ended March 31, 2025, the $15 million loss in revenues from economic hedge positions was driven primarily by a decrease in the value of East open positions as a result of increases in Northeast power prices. The $346 million gain in operating costs and expenses from economic hedge positions was driven primarily by an increase in the value of open positions in Texas and East as a result of increases in natural gas prices and ERCOT and Northeast power prices, partially offset by the reversal of previously recognized unrealized gains on contracts that settled during the period.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60" w:name="page61"/>
    <w:bookmarkEnd w:id="60"/>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accordance with ASC 815, the following table represents the results of the Company’s financial and physical trading of energy commodities for the three months ended March 31, 2026 and 2025. The realized and unrealized financial and physical trading results are included in revenue. The Company’s trading activities are subject to limits based on the Company’s Risk Management Policy.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6"/>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Trading gains/(losses)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center"/>
              <w:ind w:left="78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trading losses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7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3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24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w w:val="98"/>
              </w:rPr>
              <w:t>Operations and maintenance expense is comprised of the following:</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3"/>
                <w:szCs w:val="13"/>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Texas</w:t>
            </w:r>
            <w:r>
              <w:rPr>
                <w:rFonts w:ascii="Times New Roman" w:cs="Times New Roman" w:eastAsia="Times New Roman" w:hAnsi="Times New Roman"/>
                <w:sz w:val="18"/>
                <w:szCs w:val="18"/>
                <w:b w:val="1"/>
                <w:bCs w:val="1"/>
                <w:color w:val="auto"/>
                <w:vertAlign w:val="superscript"/>
              </w:rPr>
              <w:t>(a)</w:t>
            </w:r>
          </w:p>
        </w:tc>
        <w:tc>
          <w:tcPr>
            <w:tcW w:w="28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East</w:t>
            </w:r>
            <w:r>
              <w:rPr>
                <w:rFonts w:ascii="Times New Roman" w:cs="Times New Roman" w:eastAsia="Times New Roman" w:hAnsi="Times New Roman"/>
                <w:sz w:val="18"/>
                <w:szCs w:val="18"/>
                <w:b w:val="1"/>
                <w:bCs w:val="1"/>
                <w:color w:val="auto"/>
                <w:vertAlign w:val="superscript"/>
              </w:rPr>
              <w:t>(a)</w:t>
            </w:r>
          </w:p>
        </w:tc>
        <w:tc>
          <w:tcPr>
            <w:tcW w:w="180" w:type="dxa"/>
            <w:vAlign w:val="bottom"/>
          </w:tcPr>
          <w:p>
            <w:pPr>
              <w:spacing w:after="0"/>
              <w:rPr>
                <w:sz w:val="13"/>
                <w:szCs w:val="13"/>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20" w:type="dxa"/>
            <w:vAlign w:val="bottom"/>
          </w:tcPr>
          <w:p>
            <w:pPr>
              <w:spacing w:after="0"/>
              <w:rPr>
                <w:sz w:val="13"/>
                <w:szCs w:val="13"/>
                <w:color w:val="auto"/>
              </w:rPr>
            </w:pPr>
          </w:p>
        </w:tc>
        <w:tc>
          <w:tcPr>
            <w:tcW w:w="1060" w:type="dxa"/>
            <w:vAlign w:val="bottom"/>
            <w:gridSpan w:val="3"/>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Vivint Smart</w:t>
            </w:r>
          </w:p>
        </w:tc>
        <w:tc>
          <w:tcPr>
            <w:tcW w:w="17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88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700" w:type="dxa"/>
            <w:vAlign w:val="bottom"/>
            <w:gridSpan w:val="5"/>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Includes results of operations following the acquisition date of the LSP Portfolio of January 30, 2026</w:t>
      </w:r>
    </w:p>
    <w:p>
      <w:pPr>
        <w:spacing w:after="0" w:line="120"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Operations and maintenance expense increased by $145 million for the three months ended March 31, 2026, compared to the same period in 2025, due to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
        </w:trPr>
        <w:tc>
          <w:tcPr>
            <w:tcW w:w="594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primarily due to the acquisition of the LSP Portfolio in January 2026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driven by the expiration of the Cottonwood facility lease in May 2025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Increase due to the final property insurance claim for the extended outage at W.A. Parish received in 2025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driven by higher retail operations costs</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driven by higher Vivint Smart Home operations costs to support customer growth</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due to timing of planned major maintenance expenditures at Powerton</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operations and maintenance expense</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Cost of Operations</w:t>
            </w: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1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cost of operations is comprised of the following:</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Texas</w:t>
            </w:r>
            <w:r>
              <w:rPr>
                <w:rFonts w:ascii="Times New Roman" w:cs="Times New Roman" w:eastAsia="Times New Roman" w:hAnsi="Times New Roman"/>
                <w:sz w:val="18"/>
                <w:szCs w:val="18"/>
                <w:b w:val="1"/>
                <w:bCs w:val="1"/>
                <w:color w:val="auto"/>
                <w:vertAlign w:val="superscript"/>
              </w:rPr>
              <w:t>(a)</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East</w:t>
            </w:r>
            <w:r>
              <w:rPr>
                <w:rFonts w:ascii="Times New Roman" w:cs="Times New Roman" w:eastAsia="Times New Roman" w:hAnsi="Times New Roman"/>
                <w:sz w:val="18"/>
                <w:szCs w:val="18"/>
                <w:b w:val="1"/>
                <w:bCs w:val="1"/>
                <w:color w:val="auto"/>
                <w:vertAlign w:val="superscript"/>
              </w:rPr>
              <w:t>(a)</w:t>
            </w:r>
          </w:p>
        </w:tc>
        <w:tc>
          <w:tcPr>
            <w:tcW w:w="200" w:type="dxa"/>
            <w:vAlign w:val="bottom"/>
          </w:tcPr>
          <w:p>
            <w:pPr>
              <w:spacing w:after="0"/>
              <w:rPr>
                <w:sz w:val="13"/>
                <w:szCs w:val="13"/>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40" w:type="dxa"/>
            <w:vAlign w:val="bottom"/>
          </w:tcPr>
          <w:p>
            <w:pPr>
              <w:spacing w:after="0"/>
              <w:rPr>
                <w:sz w:val="13"/>
                <w:szCs w:val="13"/>
                <w:color w:val="auto"/>
              </w:rPr>
            </w:pPr>
          </w:p>
        </w:tc>
        <w:tc>
          <w:tcPr>
            <w:tcW w:w="1080" w:type="dxa"/>
            <w:vAlign w:val="bottom"/>
            <w:gridSpan w:val="3"/>
          </w:tcPr>
          <w:p>
            <w:pPr>
              <w:jc w:val="right"/>
              <w:ind w:right="280"/>
              <w:spacing w:after="0" w:line="159" w:lineRule="exact"/>
              <w:rPr>
                <w:sz w:val="20"/>
                <w:szCs w:val="20"/>
                <w:color w:val="auto"/>
              </w:rPr>
            </w:pPr>
            <w:r>
              <w:rPr>
                <w:rFonts w:ascii="Times New Roman" w:cs="Times New Roman" w:eastAsia="Times New Roman" w:hAnsi="Times New Roman"/>
                <w:sz w:val="14"/>
                <w:szCs w:val="14"/>
                <w:b w:val="1"/>
                <w:bCs w:val="1"/>
                <w:color w:val="auto"/>
                <w:w w:val="99"/>
              </w:rPr>
              <w:t>Vivint Smart</w:t>
            </w:r>
          </w:p>
        </w:tc>
        <w:tc>
          <w:tcPr>
            <w:tcW w:w="260" w:type="dxa"/>
            <w:vAlign w:val="bottom"/>
          </w:tcPr>
          <w:p>
            <w:pPr>
              <w:spacing w:after="0"/>
              <w:rPr>
                <w:sz w:val="13"/>
                <w:szCs w:val="13"/>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Home</w:t>
            </w:r>
          </w:p>
        </w:tc>
        <w:tc>
          <w:tcPr>
            <w:tcW w:w="2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820" w:type="dxa"/>
            <w:vAlign w:val="bottom"/>
            <w:tcBorders>
              <w:top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Includes results of operations following the acquisition date of the LSP Portfolio of January 30, 2026</w:t>
      </w:r>
    </w:p>
    <w:p>
      <w:pPr>
        <w:spacing w:after="0" w:line="120"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Other cost of operations for the three months ended March 31, 2026 increased by $26 million, when compared to the same period in 2025, due to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9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the acquisition of the LSP Portfolio in January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4"/>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primarily due to changes in prior year ARO cost estimates at Midwest Generation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4"/>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9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other cost of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9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1" w:name="page62"/>
    <w:bookmarkEnd w:id="61"/>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Depreciation and amortization are comprised of the following:</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Texas</w:t>
            </w:r>
            <w:r>
              <w:rPr>
                <w:rFonts w:ascii="Times New Roman" w:cs="Times New Roman" w:eastAsia="Times New Roman" w:hAnsi="Times New Roman"/>
                <w:sz w:val="18"/>
                <w:szCs w:val="18"/>
                <w:b w:val="1"/>
                <w:bCs w:val="1"/>
                <w:color w:val="auto"/>
                <w:vertAlign w:val="superscript"/>
              </w:rPr>
              <w:t>(a)</w:t>
            </w:r>
          </w:p>
        </w:tc>
        <w:tc>
          <w:tcPr>
            <w:tcW w:w="24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East</w:t>
            </w:r>
            <w:r>
              <w:rPr>
                <w:rFonts w:ascii="Times New Roman" w:cs="Times New Roman" w:eastAsia="Times New Roman" w:hAnsi="Times New Roman"/>
                <w:sz w:val="18"/>
                <w:szCs w:val="18"/>
                <w:b w:val="1"/>
                <w:bCs w:val="1"/>
                <w:color w:val="auto"/>
                <w:vertAlign w:val="superscript"/>
              </w:rPr>
              <w:t>(a)</w:t>
            </w:r>
          </w:p>
        </w:tc>
        <w:tc>
          <w:tcPr>
            <w:tcW w:w="18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Vivint Smart</w:t>
            </w:r>
          </w:p>
        </w:tc>
        <w:tc>
          <w:tcPr>
            <w:tcW w:w="18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84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2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Includes results of operations following the acquisition date of the LSP Portfolio of January 30, 2026</w:t>
      </w:r>
    </w:p>
    <w:p>
      <w:pPr>
        <w:spacing w:after="0" w:line="1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Depreciation and amortization increased by $106 million for the three months ended March 31, 2026, compared to the same period in 2025, due to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
        </w:trPr>
        <w:tc>
          <w:tcPr>
            <w:tcW w:w="4940" w:type="dxa"/>
            <w:vAlign w:val="bottom"/>
            <w:tcBorders>
              <w:bottom w:val="single" w:sz="8" w:color="CCEEFF"/>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the acquisition of the LSP Portfolio in January 2026</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8"/>
        </w:trPr>
        <w:tc>
          <w:tcPr>
            <w:tcW w:w="75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Increase in amortization of capitalized contract costs primarily in the Vivint Smart Home segment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00"/>
        </w:trPr>
        <w:tc>
          <w:tcPr>
            <w:tcW w:w="3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52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amortization driven by the expected roll off of the acquired Vivint Smart Home intangibles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01"/>
        </w:trPr>
        <w:tc>
          <w:tcPr>
            <w:tcW w:w="38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Costs</w:t>
            </w: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220" w:type="dxa"/>
            <w:vAlign w:val="bottom"/>
            <w:gridSpan w:val="7"/>
          </w:tcPr>
          <w:p>
            <w:pPr>
              <w:ind w:left="400"/>
              <w:spacing w:after="0"/>
              <w:rPr>
                <w:sz w:val="20"/>
                <w:szCs w:val="20"/>
                <w:color w:val="auto"/>
              </w:rPr>
            </w:pPr>
            <w:r>
              <w:rPr>
                <w:rFonts w:ascii="Times New Roman" w:cs="Times New Roman" w:eastAsia="Times New Roman" w:hAnsi="Times New Roman"/>
                <w:sz w:val="18"/>
                <w:szCs w:val="18"/>
                <w:color w:val="auto"/>
              </w:rPr>
              <w:t>Selling, general and administrative costs are comprised of the following:</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8"/>
                <w:szCs w:val="18"/>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Texas</w:t>
            </w:r>
            <w:r>
              <w:rPr>
                <w:rFonts w:ascii="Times New Roman" w:cs="Times New Roman" w:eastAsia="Times New Roman" w:hAnsi="Times New Roman"/>
                <w:sz w:val="18"/>
                <w:szCs w:val="18"/>
                <w:b w:val="1"/>
                <w:bCs w:val="1"/>
                <w:color w:val="auto"/>
                <w:vertAlign w:val="superscript"/>
              </w:rPr>
              <w:t>(a)</w:t>
            </w:r>
          </w:p>
        </w:tc>
        <w:tc>
          <w:tcPr>
            <w:tcW w:w="240" w:type="dxa"/>
            <w:vAlign w:val="bottom"/>
          </w:tcPr>
          <w:p>
            <w:pPr>
              <w:spacing w:after="0"/>
              <w:rPr>
                <w:sz w:val="18"/>
                <w:szCs w:val="18"/>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East</w:t>
            </w:r>
            <w:r>
              <w:rPr>
                <w:rFonts w:ascii="Times New Roman" w:cs="Times New Roman" w:eastAsia="Times New Roman" w:hAnsi="Times New Roman"/>
                <w:sz w:val="18"/>
                <w:szCs w:val="18"/>
                <w:b w:val="1"/>
                <w:bCs w:val="1"/>
                <w:color w:val="auto"/>
                <w:vertAlign w:val="superscript"/>
              </w:rPr>
              <w:t>(a)</w:t>
            </w:r>
          </w:p>
        </w:tc>
        <w:tc>
          <w:tcPr>
            <w:tcW w:w="180" w:type="dxa"/>
            <w:vAlign w:val="bottom"/>
          </w:tcPr>
          <w:p>
            <w:pPr>
              <w:spacing w:after="0"/>
              <w:rPr>
                <w:sz w:val="18"/>
                <w:szCs w:val="18"/>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West/Other</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Vivint Smart</w:t>
            </w:r>
          </w:p>
        </w:tc>
        <w:tc>
          <w:tcPr>
            <w:tcW w:w="15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w:t>
            </w:r>
          </w:p>
        </w:tc>
        <w:tc>
          <w:tcPr>
            <w:tcW w:w="240" w:type="dxa"/>
            <w:vAlign w:val="bottom"/>
          </w:tcPr>
          <w:p>
            <w:pPr>
              <w:spacing w:after="0"/>
              <w:rPr>
                <w:sz w:val="18"/>
                <w:szCs w:val="18"/>
                <w:color w:val="auto"/>
              </w:rPr>
            </w:pPr>
          </w:p>
        </w:tc>
        <w:tc>
          <w:tcPr>
            <w:tcW w:w="8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500" w:type="dxa"/>
            <w:vAlign w:val="bottom"/>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Includes results of operations following the acquisition date of the LSP Portfolio of January 30, 2026</w:t>
      </w:r>
    </w:p>
    <w:p>
      <w:pPr>
        <w:spacing w:after="0" w:line="120"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Selling, general and administrative costs increased by $44 million for the three months ended March 31, 2026, compared to the same period in 2025, due to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the acquisition of the LSP Portfolio in January 2026</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4"/>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personnel costs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4"/>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broker fee and commissions expenses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4"/>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marketing and media expenses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4"/>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reserves for legal matters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4"/>
        </w:trPr>
        <w:tc>
          <w:tcPr>
            <w:tcW w:w="9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2"/>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selling, general and administrative costs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62" w:name="page63"/>
    <w:bookmarkEnd w:id="62"/>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Transaction and Integration Costs</w:t>
      </w:r>
    </w:p>
    <w:p>
      <w:pPr>
        <w:spacing w:after="0" w:line="11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Acquisition-related transaction and integration costs of $45 million and $8 million for the three months ended March 31, 2026 and 2025, respectively, include:</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8060" w:type="dxa"/>
            <w:vAlign w:val="bottom"/>
          </w:tcPr>
          <w:p>
            <w:pPr>
              <w:spacing w:after="0"/>
              <w:rPr>
                <w:sz w:val="16"/>
                <w:szCs w:val="16"/>
                <w:color w:val="auto"/>
              </w:rPr>
            </w:pPr>
          </w:p>
        </w:tc>
        <w:tc>
          <w:tcPr>
            <w:tcW w:w="316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8060" w:type="dxa"/>
            <w:vAlign w:val="bottom"/>
            <w:vMerge w:val="continue"/>
          </w:tcPr>
          <w:p>
            <w:pPr>
              <w:spacing w:after="0"/>
              <w:rPr>
                <w:sz w:val="15"/>
                <w:szCs w:val="15"/>
                <w:color w:val="auto"/>
              </w:rPr>
            </w:pPr>
          </w:p>
        </w:tc>
        <w:tc>
          <w:tcPr>
            <w:tcW w:w="15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58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5495" cy="150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LSP Portfolio acquisition costs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LSP Portfolio integration costs</w:t>
      </w:r>
    </w:p>
    <w:p>
      <w:pPr>
        <w:spacing w:after="0" w:line="17" w:lineRule="exact"/>
        <w:rPr>
          <w:sz w:val="20"/>
          <w:szCs w:val="20"/>
          <w:color w:val="auto"/>
        </w:rPr>
      </w:pPr>
    </w:p>
    <w:p>
      <w:pPr>
        <w:ind w:left="180" w:right="2880" w:hanging="157"/>
        <w:spacing w:after="0" w:line="278" w:lineRule="auto"/>
        <w:rPr>
          <w:sz w:val="20"/>
          <w:szCs w:val="20"/>
          <w:color w:val="auto"/>
        </w:rPr>
      </w:pPr>
      <w:r>
        <w:rPr>
          <w:rFonts w:ascii="Times New Roman" w:cs="Times New Roman" w:eastAsia="Times New Roman" w:hAnsi="Times New Roman"/>
          <w:sz w:val="18"/>
          <w:szCs w:val="18"/>
          <w:color w:val="auto"/>
        </w:rPr>
        <w:t>Other integration costs, primarily related to Vivint Smart Home Acquisition-related transaction and integration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7135495" cy="142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70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83"/>
        </w:trPr>
        <w:tc>
          <w:tcPr>
            <w:tcW w:w="7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494" w:lineRule="exact"/>
        <w:rPr>
          <w:sz w:val="20"/>
          <w:szCs w:val="20"/>
          <w:color w:val="auto"/>
        </w:rPr>
      </w:pPr>
    </w:p>
    <w:p>
      <w:pPr>
        <w:sectPr>
          <w:pgSz w:w="11900" w:h="16838" w:orient="portrait"/>
          <w:cols w:equalWidth="0" w:num="2">
            <w:col w:w="7360" w:space="720"/>
            <w:col w:w="3160"/>
          </w:cols>
          <w:pgMar w:left="320" w:top="867" w:right="339" w:bottom="1440" w:gutter="0" w:footer="0" w:header="0"/>
          <w:type w:val="continuous"/>
        </w:sect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Other income, net increased by $26 million for the three months ended March 31, 2026, compared to the same period in 2025, primarily driven by higher interest income.</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Interest expense increased by $122 million for the three months ended March 31, 2026, compared to the same period in 2025, primarily due to the LSP acquisition including the impact related to the issuance of unsecured notes, secured notes, and borrowings on the Revolving Credit Facility used to fund the cash portion of the consideration, as well as the acquired Lightning debt. For further discussion, see Note 4, </w:t>
      </w:r>
      <w:r>
        <w:rPr>
          <w:rFonts w:ascii="Times New Roman" w:cs="Times New Roman" w:eastAsia="Times New Roman" w:hAnsi="Times New Roman"/>
          <w:sz w:val="18"/>
          <w:szCs w:val="18"/>
          <w:i w:val="1"/>
          <w:iCs w:val="1"/>
          <w:color w:val="auto"/>
        </w:rPr>
        <w:t>Acquisitions</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(Benefit)/Expense</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income tax benefit of $42 million was recorded on pre-tax income of $83 million. For the same period in 2025, an income tax expense of $235 million was recorded on pre-tax income of $985 million. The effective tax rates were (50.6)% and 23.9% for the three months ended March 31, 2026 and 2025, respectively.</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the effective tax rate was lower than the statutory rate of 21%, primarily due to favorable permanent differences related to stock-based compensation and the remeasurement of state net operating losses as a result of the acquisition of the LSP portfolio. For the same period in 2025, NRG's effective tax rate was higher than the statutory rate of 21%, primarily due to the state tax expense.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Liquidity Position</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March 31, 2026 and December 31, 2025, NRG’s total liquidity, excluding funds deposited by counterparties, of approximately $3.3 billion and $9.6 billion, respectively, was comprised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r>
      <w:tr>
        <w:trPr>
          <w:trHeight w:val="22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operating</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4"/>
        </w:trPr>
        <w:tc>
          <w:tcPr>
            <w:tcW w:w="78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Restricted cash - reserves</w:t>
            </w:r>
            <w:r>
              <w:rPr>
                <w:rFonts w:ascii="Times New Roman" w:cs="Times New Roman" w:eastAsia="Times New Roman" w:hAnsi="Times New Roman"/>
                <w:sz w:val="22"/>
                <w:szCs w:val="22"/>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7"/>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w:t>
            </w:r>
          </w:p>
        </w:tc>
      </w:tr>
      <w:tr>
        <w:trPr>
          <w:trHeight w:val="217"/>
        </w:trPr>
        <w:tc>
          <w:tcPr>
            <w:tcW w:w="7840" w:type="dxa"/>
            <w:vAlign w:val="bottom"/>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Total availability under Revolving Credit Facility and collective collateral facilities</w:t>
            </w:r>
            <w:r>
              <w:rPr>
                <w:rFonts w:ascii="Times New Roman" w:cs="Times New Roman" w:eastAsia="Times New Roman" w:hAnsi="Times New Roman"/>
                <w:sz w:val="22"/>
                <w:szCs w:val="22"/>
                <w:color w:val="auto"/>
                <w:vertAlign w:val="superscript"/>
              </w:rPr>
              <w:t>(b)</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r>
      <w:tr>
        <w:trPr>
          <w:trHeight w:val="217"/>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liquidity, excluding funds deposited by counterparties</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9,628</w:t>
            </w:r>
          </w:p>
        </w:tc>
      </w:tr>
      <w:tr>
        <w:trPr>
          <w:trHeight w:val="20"/>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200" w:hanging="195"/>
        <w:spacing w:after="0"/>
        <w:tabs>
          <w:tab w:leader="none" w:pos="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reserves primarily for capital expenditures</w:t>
      </w:r>
    </w:p>
    <w:p>
      <w:pPr>
        <w:spacing w:after="0" w:line="21"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capacity of Revolving Credit Facility and collective collateral facilities was $9.3 billion and $7.7 billion as of March 31, 2026 and December 31, 2025, respectively</w:t>
      </w:r>
    </w:p>
    <w:p>
      <w:pPr>
        <w:spacing w:after="0" w:line="23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For the three months ended March 31, 2026, total liquidity, excluding funds deposited by counterparties, was approximately $3.3 billion, which is $6.4 billion lower than December 31, 2025, primarily driven by the use of cash and borrowings under the Revolving Credit Facility to fund the acquisition of LSP Portfolio. Changes in cash and cash equivalent balances are further discussed under the heading </w:t>
      </w:r>
      <w:r>
        <w:rPr>
          <w:rFonts w:ascii="Times New Roman" w:cs="Times New Roman" w:eastAsia="Times New Roman" w:hAnsi="Times New Roman"/>
          <w:sz w:val="18"/>
          <w:szCs w:val="18"/>
          <w:i w:val="1"/>
          <w:iCs w:val="1"/>
          <w:color w:val="auto"/>
        </w:rPr>
        <w:t>Cash Flow Discussion</w:t>
      </w:r>
      <w:r>
        <w:rPr>
          <w:rFonts w:ascii="Times New Roman" w:cs="Times New Roman" w:eastAsia="Times New Roman" w:hAnsi="Times New Roman"/>
          <w:sz w:val="18"/>
          <w:szCs w:val="18"/>
          <w:color w:val="auto"/>
        </w:rPr>
        <w:t>. Cash and cash equivalents at March 31, 2026 were predominantly held in bank deposits.</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Management believes that the Company’s liquidity position and cash flows from operations will be adequate to finance operating and maintenance capital expenditures, to fund dividends, and to fund other liquidity commitments in the short and long-term. Management continues to regularly monitor the Company’s ability to finance the needs of its operating, financing and investing activity within the dictates of prudent balance sheet management.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type w:val="continuous"/>
        </w:sectPr>
      </w:pPr>
    </w:p>
    <w:bookmarkStart w:id="63" w:name="page64"/>
    <w:bookmarkEnd w:id="63"/>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13"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 xml:space="preserve">The principal sources of liquidity for NRG’s operating and capital expenditures are expected to be derived from cash on hand, cash flows from operations and financing arrangements. As described in Note 7, </w:t>
      </w:r>
      <w:r>
        <w:rPr>
          <w:rFonts w:ascii="Times New Roman" w:cs="Times New Roman" w:eastAsia="Times New Roman" w:hAnsi="Times New Roman"/>
          <w:sz w:val="16"/>
          <w:szCs w:val="16"/>
          <w:i w:val="1"/>
          <w:iCs w:val="1"/>
          <w:color w:val="auto"/>
        </w:rPr>
        <w:t>Long-term Debt and Finance Leases</w:t>
      </w:r>
      <w:r>
        <w:rPr>
          <w:rFonts w:ascii="Times New Roman" w:cs="Times New Roman" w:eastAsia="Times New Roman" w:hAnsi="Times New Roman"/>
          <w:sz w:val="16"/>
          <w:szCs w:val="16"/>
          <w:color w:val="auto"/>
        </w:rPr>
        <w:t>, to this Form 10-Q, the Company’s financing arrangements consist mainly of the Senior Notes, Senior Secured First Lien Notes, Senior Credit Facility, Receivables Facility, tax-exempt bonds, and TEF loans. The Company also issues letters of credit through bilateral letter of credit facilities and the pre-capitalized trust securities facility. As part of the acquisition of the LSP Portfolio on January 30, 2026, NRG acquired existing debt, which includes the Lightning Senior Secured Notes, Lightning Term Loan, and Lightning Revolving Facility.</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requirements for liquidity and capital resources, other than for operating its facilities, can generally be categorized by the following:</w:t>
      </w:r>
    </w:p>
    <w:p>
      <w:pPr>
        <w:spacing w:after="0" w:line="21" w:lineRule="exact"/>
        <w:rPr>
          <w:sz w:val="20"/>
          <w:szCs w:val="20"/>
          <w:color w:val="auto"/>
        </w:rPr>
      </w:pPr>
    </w:p>
    <w:p>
      <w:pPr>
        <w:jc w:val="both"/>
        <w:ind w:firstLine="5"/>
        <w:spacing w:after="0" w:line="246" w:lineRule="auto"/>
        <w:tabs>
          <w:tab w:leader="none" w:pos="2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market operations activities; (ii) debt service obligations, as described in Note 7, </w:t>
      </w:r>
      <w:r>
        <w:rPr>
          <w:rFonts w:ascii="Times New Roman" w:cs="Times New Roman" w:eastAsia="Times New Roman" w:hAnsi="Times New Roman"/>
          <w:sz w:val="18"/>
          <w:szCs w:val="18"/>
          <w:i w:val="1"/>
          <w:iCs w:val="1"/>
          <w:color w:val="auto"/>
        </w:rPr>
        <w:t>Long-term Debt and Finance Leases;</w:t>
      </w:r>
      <w:r>
        <w:rPr>
          <w:rFonts w:ascii="Times New Roman" w:cs="Times New Roman" w:eastAsia="Times New Roman" w:hAnsi="Times New Roman"/>
          <w:sz w:val="18"/>
          <w:szCs w:val="18"/>
          <w:color w:val="auto"/>
        </w:rPr>
        <w:t xml:space="preserve"> (iii) capital expenditures, including maintenance, environmental, and investments and integration; and (iv) allocations in connection with acquisition opportunities, debt repayments, share repurchases and dividend payments to stockholders, as described in Note 9, </w:t>
      </w:r>
      <w:r>
        <w:rPr>
          <w:rFonts w:ascii="Times New Roman" w:cs="Times New Roman" w:eastAsia="Times New Roman" w:hAnsi="Times New Roman"/>
          <w:sz w:val="18"/>
          <w:szCs w:val="18"/>
          <w:i w:val="1"/>
          <w:iCs w:val="1"/>
          <w:color w:val="auto"/>
        </w:rPr>
        <w:t>Changes in Capital Structure</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 of LSP Portfolio</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On January 30, 2026, NRG completed the acquisition of the LSP Portfolio from LS Power. The consideration consisted of 24.25 million shares of NRG common stock and $6.4 billion in cash, plus preliminary working capital and certain other adjustments of $483 million. The Company funded the cash consideration using a portion of the net proceeds from the 5.750% 2034 Senior Notes, the 2036 Senior Notes, Senior Secured First Lien Notes, due 2030 and the Senior Secured First Lien Notes, due 2035 of $4.4 billion and proceeds of $2.5 billion from the Company’s Revolving Credit Facility. For further discussion, see Note 4, </w:t>
      </w:r>
      <w:r>
        <w:rPr>
          <w:rFonts w:ascii="Times New Roman" w:cs="Times New Roman" w:eastAsia="Times New Roman" w:hAnsi="Times New Roman"/>
          <w:sz w:val="18"/>
          <w:szCs w:val="18"/>
          <w:i w:val="1"/>
          <w:iCs w:val="1"/>
          <w:color w:val="auto"/>
        </w:rPr>
        <w:t>Acquisitions.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Term Loan B Incurrence</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On April 28, 2026, the Company and APX Group LLC, as borrowers, and certain of the Company’s subsidiaries, as guarantors, entered into the Sixteenth Amendment to the Credit Agreement. For further discussion, see Note 7, </w:t>
      </w:r>
      <w:r>
        <w:rPr>
          <w:rFonts w:ascii="Times New Roman" w:cs="Times New Roman" w:eastAsia="Times New Roman" w:hAnsi="Times New Roman"/>
          <w:sz w:val="18"/>
          <w:szCs w:val="18"/>
          <w:i w:val="1"/>
          <w:iCs w:val="1"/>
          <w:color w:val="auto"/>
        </w:rPr>
        <w:t>Long-term Debt and Finance Leases.</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Issuance of Unsecured Notes and Secured Notes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On April 28, 2026, the Company issued $2.1 billion in aggregate principal amount of the New Unsecured Notes. The New Unsecured Notes are senior unsecured obligations of the Company and are guaranteed by its wholly-owned U.S. subsidiaries that guarantee the loans under the Senior Credit Facility. For further discussion, see Note 7, </w:t>
      </w:r>
      <w:r>
        <w:rPr>
          <w:rFonts w:ascii="Times New Roman" w:cs="Times New Roman" w:eastAsia="Times New Roman" w:hAnsi="Times New Roman"/>
          <w:sz w:val="18"/>
          <w:szCs w:val="18"/>
          <w:i w:val="1"/>
          <w:iCs w:val="1"/>
          <w:color w:val="auto"/>
        </w:rPr>
        <w:t>Long-term Debt and Finance Leases.</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On April 28, 2026, the Company also issued $500 million aggregate principal amount of the New 2031 Notes. The New 2031 Notes are senior secured obligations of the Company and are guaranteed by its wholly-owned U.S. subsidiaries that guarantee the loans under the Senior Credit Facility. For further discussion, see Note 7, </w:t>
      </w:r>
      <w:r>
        <w:rPr>
          <w:rFonts w:ascii="Times New Roman" w:cs="Times New Roman" w:eastAsia="Times New Roman" w:hAnsi="Times New Roman"/>
          <w:sz w:val="18"/>
          <w:szCs w:val="18"/>
          <w:i w:val="1"/>
          <w:iCs w:val="1"/>
          <w:color w:val="auto"/>
        </w:rPr>
        <w:t>Long-term Debt and Finance Leases.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Bilateral Letter of Credit Facilities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January and February 2026, the Company and certain of its subsidiaries, as guarantors, entered into amendments to its existing bilateral letter of credit facilities to increase the size of its bilateral credit facilities by $410 million and $90 million, respectively, to provide additional liquidity. As of March 31, 2026, $739 million was issued under these facilities.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2026, $3.0 billion of borrowings were outstanding. As of April 30, 2026, $1.5 billion of borrowings were outstanding.</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Receivables Facility</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2026, $350 million of borrowings were outstanding. As of April 30, 2026, $200 million of borrowings were outstanding.</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Lightning </w:t>
      </w:r>
      <w:r>
        <w:rPr>
          <w:rFonts w:ascii="Times New Roman" w:cs="Times New Roman" w:eastAsia="Times New Roman" w:hAnsi="Times New Roman"/>
          <w:sz w:val="18"/>
          <w:szCs w:val="18"/>
          <w:color w:val="auto"/>
        </w:rPr>
        <w:t>Notes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On the Acquisition Closing Date, Lightning remained the issuer of the Lightning Senior Secured Notes issued pursuant to the Lightning Indenture, by and among Lightning, Lightning’s subsidiaries that are guarantors from time to time party thereto, and the Lightning Notes Trustee. For further discussion, see Note 7, </w:t>
      </w:r>
      <w:r>
        <w:rPr>
          <w:rFonts w:ascii="Times New Roman" w:cs="Times New Roman" w:eastAsia="Times New Roman" w:hAnsi="Times New Roman"/>
          <w:sz w:val="18"/>
          <w:szCs w:val="18"/>
          <w:i w:val="1"/>
          <w:iCs w:val="1"/>
          <w:color w:val="auto"/>
        </w:rPr>
        <w:t>Long-term Debt and Finance Leases.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64" w:name="page65"/>
    <w:bookmarkEnd w:id="64"/>
    <w:p>
      <w:pPr>
        <w:ind w:left="400"/>
        <w:spacing w:after="0"/>
        <w:rPr>
          <w:sz w:val="20"/>
          <w:szCs w:val="20"/>
          <w:color w:val="auto"/>
        </w:rPr>
      </w:pPr>
      <w:r>
        <w:rPr>
          <w:rFonts w:ascii="Times New Roman" w:cs="Times New Roman" w:eastAsia="Times New Roman" w:hAnsi="Times New Roman"/>
          <w:sz w:val="18"/>
          <w:szCs w:val="18"/>
          <w:i w:val="1"/>
          <w:iCs w:val="1"/>
          <w:color w:val="auto"/>
        </w:rPr>
        <w:t>Lightning Tender Offer and Redemption</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On April 14, 2026, Lightning commenced the Tender Offer. For further discussion, see Note 7, </w:t>
      </w:r>
      <w:r>
        <w:rPr>
          <w:rFonts w:ascii="Times New Roman" w:cs="Times New Roman" w:eastAsia="Times New Roman" w:hAnsi="Times New Roman"/>
          <w:sz w:val="18"/>
          <w:szCs w:val="18"/>
          <w:i w:val="1"/>
          <w:iCs w:val="1"/>
          <w:color w:val="auto"/>
        </w:rPr>
        <w:t>Long-term Debt and Finance Leases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Further, pursuant to the terms of the Lightning Indenture, on April 28, 2026, Lightning issued the Redemption to redeem the remaining $5 million aggregate principal amount of the Lightning 2032 Notes at a redemption price of 101.375% (plus accrued and unpaid interest to, but excluding, the redemption date). For further discussion, see Note 7, </w:t>
      </w:r>
      <w:r>
        <w:rPr>
          <w:rFonts w:ascii="Times New Roman" w:cs="Times New Roman" w:eastAsia="Times New Roman" w:hAnsi="Times New Roman"/>
          <w:sz w:val="18"/>
          <w:szCs w:val="18"/>
          <w:i w:val="1"/>
          <w:iCs w:val="1"/>
          <w:color w:val="auto"/>
        </w:rPr>
        <w:t>Long-term Debt and Finance Leases</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Lightning Credit Facility</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On the Acquisition Closing Date, Lightning remained party to the Lightning Credit Agreement with Morgan Stanley Senior Funding, Inc. as administrative agent and collateral agent and various lenders and issuing banks from time to time party thereto. The Lightning Credit Agreement consists of the Lightning Term Loan and the Lightning Revolving Facility. As of March 31, 2026, there were no outstanding borrowings and there were $105 million in letters of credit issued under the Lightning Revolving Facility. For further discussion, see Note 7, </w:t>
      </w:r>
      <w:r>
        <w:rPr>
          <w:rFonts w:ascii="Times New Roman" w:cs="Times New Roman" w:eastAsia="Times New Roman" w:hAnsi="Times New Roman"/>
          <w:sz w:val="18"/>
          <w:szCs w:val="18"/>
          <w:i w:val="1"/>
          <w:iCs w:val="1"/>
          <w:color w:val="auto"/>
        </w:rPr>
        <w:t>Long-term Debt and Finance Leases.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Market Operations</w:t>
      </w:r>
    </w:p>
    <w:p>
      <w:pPr>
        <w:spacing w:after="0" w:line="111"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The Company’s market operations activities require a significant amount of liquidity and capital resources. These liquidity requirements are primarily driven by: (i) margin and collateral posted with counterparties; (ii) margin and collateral required to participate in physical markets and commodity exchanges;</w:t>
      </w:r>
    </w:p>
    <w:p>
      <w:pPr>
        <w:jc w:val="both"/>
        <w:ind w:firstLine="5"/>
        <w:spacing w:after="0" w:line="291" w:lineRule="auto"/>
        <w:tabs>
          <w:tab w:leader="none" w:pos="309"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disbursements and receipts (e.g., buying energy before receiving retail revenues); and (iv) initial collateral for large structured transactions. As of March 31, 2026, market operations had total cash collateral outstanding of $606 million and $3.0 billion outstanding in letters of credit to third parties primarily to support its market activities. As of March 31, 2026, total funds deposited by counterparties were $176 million in cash and $371 million of letters of credit.</w:t>
      </w:r>
    </w:p>
    <w:p>
      <w:pPr>
        <w:spacing w:after="0" w:line="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Future liquidity requirements may change based on the Company’s hedging activities and structures, fuel purchases, and future market conditions, including forward prices for energy and fuel and market volatility. In addition, liquidity requirements are dependent on the Company’s credit ratings and general perception of its creditworthiness.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First Lien Structure</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NRG has the capacity to grant first liens to certain counterparties on a substantial portion of the Company’s assets, subject to various exclusions including NRG’s assets that have project-level financing and the assets of certain non-guarantor subsidiaries, to reduce the amount of cash collateral and letters of credit that it would otherwise be required to post from time to time to support its obligations under out-of-the-money hedge agreements. The first lien program does not limit the volume that can be hedged, or the value of underlying out-of-the-money positions. The first lien program also does not require NRG to post collateral above any threshold amount of exposure. The first lien structure is not subject to unwind or termination upon a ratings downgrade of a counterparty and has no stated maturity date.</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March 31, 2026, counterparties’ net exposure to NRG of approximately $203 million on out-of-the-money hedges was secured by the first lien structure.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5" w:name="page66"/>
    <w:bookmarkEnd w:id="65"/>
    <w:p>
      <w:pPr>
        <w:ind w:left="40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Company’s capital expenditures for maintenance, environmental and investments and integration for the three months ended March 31, 2026, and the estimated forecast for the remainder of the year.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4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Investments and</w:t>
            </w:r>
          </w:p>
        </w:tc>
        <w:tc>
          <w:tcPr>
            <w:tcW w:w="320" w:type="dxa"/>
            <w:vAlign w:val="bottom"/>
          </w:tcPr>
          <w:p>
            <w:pPr>
              <w:spacing w:after="0"/>
              <w:rPr>
                <w:sz w:val="13"/>
                <w:szCs w:val="13"/>
                <w:color w:val="auto"/>
              </w:rPr>
            </w:pPr>
          </w:p>
        </w:tc>
        <w:tc>
          <w:tcPr>
            <w:tcW w:w="100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Integration</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West/Other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Vivint Smart Home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7"/>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cash capital expenditures for the three months ended March 31, 2026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Integration operating expenses and cost to achieve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4"/>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51"/>
        </w:trPr>
        <w:tc>
          <w:tcPr>
            <w:tcW w:w="570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Total cash capital expenditures and investments for the three months ended</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31"/>
        </w:trPr>
        <w:tc>
          <w:tcPr>
            <w:tcW w:w="5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March 31, 2026</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Estimated cash capital expenditures and investments for the remainder of 2026</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1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full year 2026 cash capital expenditures and investments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Investments and Integration for the three months ended March 31, 2026 include growth expenditures, integration, small book acquisitions and other investments.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Environmental Capital Expenditures Estimate</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NRG estimates that environmental capital expenditures from 2026 through 2030 required to comply with environmental laws will be approximately $33 million, primarily driven by the cost of complying with ELG at the Company’s coal units in Texas.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the Company completed $481 million of share repurchases at an average price of $161.16 per share. Through April 30, 2026, an additional $338 million of share repurchases were executed at an average price of $156.52 per share. See Note 9, </w:t>
      </w:r>
      <w:r>
        <w:rPr>
          <w:rFonts w:ascii="Times New Roman" w:cs="Times New Roman" w:eastAsia="Times New Roman" w:hAnsi="Times New Roman"/>
          <w:sz w:val="18"/>
          <w:szCs w:val="18"/>
          <w:i w:val="1"/>
          <w:iCs w:val="1"/>
          <w:color w:val="auto"/>
        </w:rPr>
        <w:t>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Structure </w:t>
      </w:r>
      <w:r>
        <w:rPr>
          <w:rFonts w:ascii="Times New Roman" w:cs="Times New Roman" w:eastAsia="Times New Roman" w:hAnsi="Times New Roman"/>
          <w:sz w:val="18"/>
          <w:szCs w:val="18"/>
          <w:color w:val="auto"/>
        </w:rPr>
        <w:t>for additional discussion.</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Common Stock Dividends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first quarter of 2026, NRG increased the annual dividend to $1.90 from $1.76 per share. A quarterly dividend of $0.475 per share was paid on the Company’s common stock during the three months ended March 31, 2026. On April 21, 2026, NRG declared a quarterly dividend on the Company’s common stock of $0.475 per share, payable on May 15, 2026 to stockholders of record as of May 1, 2026. The Company targets an annual dividend growth rate of 7%-9% per share in subsequent years.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Series A Preferred Stock Dividends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quarter ended March 31, 2026, the Company declared and paid a semi-annual 10.25% dividend of $51.25 per share on its outstanding Series A Preferred Stock, totaling $33 million.</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Obligations under Certain Guarantees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NRG and its subsidiaries enter into various contracts that include indemnifications and guarantee provisions as a routine part of the Company’s business activities. For further discussion, see Note 26,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to the Company’s 2025 Form 10-K.</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Obligations Arising Out of a Variable Interest in an Unconsolidated Entity</w:t>
      </w:r>
    </w:p>
    <w:p>
      <w:pPr>
        <w:spacing w:after="0" w:line="109"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Variable interest in equity investments </w:t>
      </w:r>
      <w:r>
        <w:rPr>
          <w:rFonts w:ascii="Times New Roman" w:cs="Times New Roman" w:eastAsia="Times New Roman" w:hAnsi="Times New Roman"/>
          <w:sz w:val="18"/>
          <w:szCs w:val="18"/>
          <w:color w:val="auto"/>
        </w:rPr>
        <w:t>— NRG’s investment in Ivanpah is a variable interest entity for which NRG is not the primary beneficiary. NRG’s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pro-rata share of non-recourse debt was approximately $461 million as of March 31, 2026. This indebtedness may restrict the ability of Ivanpah to issue dividends or distributions to NRG.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6" w:name="page67"/>
    <w:bookmarkEnd w:id="66"/>
    <w:p>
      <w:pPr>
        <w:ind w:left="400"/>
        <w:spacing w:after="0"/>
        <w:rPr>
          <w:sz w:val="20"/>
          <w:szCs w:val="20"/>
          <w:color w:val="auto"/>
        </w:rPr>
      </w:pPr>
      <w:r>
        <w:rPr>
          <w:rFonts w:ascii="Times New Roman" w:cs="Times New Roman" w:eastAsia="Times New Roman" w:hAnsi="Times New Roman"/>
          <w:sz w:val="18"/>
          <w:szCs w:val="18"/>
          <w:i w:val="1"/>
          <w:iCs w:val="1"/>
          <w:color w:val="auto"/>
        </w:rPr>
        <w:t>Contractual Obligations and Market Commitments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NRG has a variety of contractual obligations and other market commitments that represent prospective cash requirements in addition to the Company’s capital expenditure programs, as disclosed in the Company’s 2025 Form 10-K. See also Note 7, </w:t>
      </w:r>
      <w:r>
        <w:rPr>
          <w:rFonts w:ascii="Times New Roman" w:cs="Times New Roman" w:eastAsia="Times New Roman" w:hAnsi="Times New Roman"/>
          <w:sz w:val="18"/>
          <w:szCs w:val="18"/>
          <w:i w:val="1"/>
          <w:iCs w:val="1"/>
          <w:color w:val="auto"/>
        </w:rPr>
        <w:t>Long-term Debt and Finance Leases</w:t>
      </w:r>
      <w:r>
        <w:rPr>
          <w:rFonts w:ascii="Times New Roman" w:cs="Times New Roman" w:eastAsia="Times New Roman" w:hAnsi="Times New Roman"/>
          <w:sz w:val="18"/>
          <w:szCs w:val="18"/>
          <w:color w:val="auto"/>
        </w:rPr>
        <w:t xml:space="preserve">, and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this Form 10-Q for a discussion of new commitments and contingencies that also include contractual obligations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commitments that occurred during the three months ended March 31,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tc>
        <w:tc>
          <w:tcPr>
            <w:tcW w:w="3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following  table  reflects  the  changes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  cash  flows  for  the  three  months  ended</w:t>
            </w:r>
          </w:p>
        </w:tc>
        <w:tc>
          <w:tcPr>
            <w:tcW w:w="110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March  31,</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2026  and  2025,</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respectively:</w:t>
            </w:r>
          </w:p>
        </w:tc>
        <w:tc>
          <w:tcPr>
            <w:tcW w:w="0" w:type="dxa"/>
            <w:vAlign w:val="bottom"/>
          </w:tcPr>
          <w:p>
            <w:pPr>
              <w:spacing w:after="0"/>
              <w:rPr>
                <w:sz w:val="1"/>
                <w:szCs w:val="1"/>
                <w:color w:val="auto"/>
              </w:rPr>
            </w:pPr>
          </w:p>
        </w:tc>
      </w:tr>
      <w:tr>
        <w:trPr>
          <w:trHeight w:val="201"/>
        </w:trPr>
        <w:tc>
          <w:tcPr>
            <w:tcW w:w="3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82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4"/>
        </w:trPr>
        <w:tc>
          <w:tcPr>
            <w:tcW w:w="3900" w:type="dxa"/>
            <w:vAlign w:val="bottom"/>
            <w:tcBorders>
              <w:bottom w:val="single" w:sz="8" w:color="CCEEFF"/>
            </w:tcBorders>
            <w:vMerge w:val="continue"/>
          </w:tcPr>
          <w:p>
            <w:pPr>
              <w:spacing w:after="0"/>
              <w:rPr>
                <w:sz w:val="16"/>
                <w:szCs w:val="16"/>
                <w:color w:val="auto"/>
              </w:rPr>
            </w:pPr>
          </w:p>
        </w:tc>
        <w:tc>
          <w:tcPr>
            <w:tcW w:w="33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(used)/provided by operating activities</w:t>
            </w:r>
          </w:p>
        </w:tc>
        <w:tc>
          <w:tcPr>
            <w:tcW w:w="33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656"/>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8"/>
                <w:szCs w:val="18"/>
                <w:color w:val="auto"/>
                <w:w w:val="98"/>
              </w:rPr>
              <w:t>(1,024)</w:t>
            </w:r>
          </w:p>
        </w:tc>
        <w:tc>
          <w:tcPr>
            <w:tcW w:w="0" w:type="dxa"/>
            <w:vAlign w:val="bottom"/>
          </w:tcPr>
          <w:p>
            <w:pPr>
              <w:spacing w:after="0"/>
              <w:rPr>
                <w:sz w:val="1"/>
                <w:szCs w:val="1"/>
                <w:color w:val="auto"/>
              </w:rPr>
            </w:pPr>
          </w:p>
        </w:tc>
      </w:tr>
      <w:tr>
        <w:trPr>
          <w:trHeight w:val="22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by investing activities</w:t>
            </w:r>
          </w:p>
        </w:tc>
        <w:tc>
          <w:tcPr>
            <w:tcW w:w="3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636"/>
              <w:spacing w:after="0"/>
              <w:rPr>
                <w:sz w:val="20"/>
                <w:szCs w:val="20"/>
                <w:color w:val="auto"/>
              </w:rPr>
            </w:pPr>
            <w:r>
              <w:rPr>
                <w:rFonts w:ascii="Times New Roman" w:cs="Times New Roman" w:eastAsia="Times New Roman" w:hAnsi="Times New Roman"/>
                <w:sz w:val="18"/>
                <w:szCs w:val="18"/>
                <w:color w:val="auto"/>
                <w:w w:val="97"/>
              </w:rPr>
              <w:t>(134)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center"/>
              <w:ind w:left="336"/>
              <w:spacing w:after="0"/>
              <w:rPr>
                <w:sz w:val="20"/>
                <w:szCs w:val="20"/>
                <w:color w:val="auto"/>
              </w:rPr>
            </w:pPr>
            <w:r>
              <w:rPr>
                <w:rFonts w:ascii="Times New Roman" w:cs="Times New Roman" w:eastAsia="Times New Roman" w:hAnsi="Times New Roman"/>
                <w:sz w:val="18"/>
                <w:szCs w:val="18"/>
                <w:color w:val="auto"/>
                <w:w w:val="98"/>
              </w:rPr>
              <w:t>(6,938)</w:t>
            </w: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provided/(used) by financing activities</w:t>
            </w:r>
          </w:p>
        </w:tc>
        <w:tc>
          <w:tcPr>
            <w:tcW w:w="3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36"/>
              <w:spacing w:after="0"/>
              <w:rPr>
                <w:sz w:val="20"/>
                <w:szCs w:val="20"/>
                <w:color w:val="auto"/>
              </w:rPr>
            </w:pPr>
            <w:r>
              <w:rPr>
                <w:rFonts w:ascii="Times New Roman" w:cs="Times New Roman" w:eastAsia="Times New Roman" w:hAnsi="Times New Roman"/>
                <w:sz w:val="18"/>
                <w:szCs w:val="18"/>
                <w:color w:val="auto"/>
                <w:w w:val="97"/>
              </w:rPr>
              <w:t>(458)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8"/>
              </w:rPr>
              <w:t>3,110</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(used)/provided by operating activities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to cash (used)/provided by operating activities were driven by:</w:t>
      </w:r>
    </w:p>
    <w:p>
      <w:pPr>
        <w:spacing w:after="0" w:line="37"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50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p>
      <w:pPr>
        <w:spacing w:after="0" w:line="56" w:lineRule="exact"/>
        <w:rPr>
          <w:sz w:val="20"/>
          <w:szCs w:val="20"/>
          <w:color w:val="auto"/>
        </w:rPr>
      </w:pPr>
    </w:p>
    <w:p>
      <w:pPr>
        <w:ind w:left="20" w:right="2123"/>
        <w:spacing w:after="0" w:line="262" w:lineRule="auto"/>
        <w:rPr>
          <w:sz w:val="20"/>
          <w:szCs w:val="20"/>
          <w:color w:val="auto"/>
        </w:rPr>
      </w:pPr>
      <w:r>
        <w:rPr>
          <w:rFonts w:ascii="Times New Roman" w:cs="Times New Roman" w:eastAsia="Times New Roman" w:hAnsi="Times New Roman"/>
          <w:sz w:val="18"/>
          <w:szCs w:val="18"/>
          <w:color w:val="auto"/>
        </w:rPr>
        <w:t>Changes in cash collateral in support of risk management activities due to change in commodity prices Decrease in operating income adjusted for derivatives and other non-cash items</w:t>
      </w:r>
    </w:p>
    <w:p>
      <w:pPr>
        <w:ind w:left="20"/>
        <w:spacing w:after="0"/>
        <w:rPr>
          <w:sz w:val="20"/>
          <w:szCs w:val="20"/>
          <w:color w:val="auto"/>
        </w:rPr>
      </w:pPr>
      <w:r>
        <w:rPr>
          <w:rFonts w:ascii="Times New Roman" w:cs="Times New Roman" w:eastAsia="Times New Roman" w:hAnsi="Times New Roman"/>
          <w:sz w:val="16"/>
          <w:szCs w:val="16"/>
          <w:color w:val="auto"/>
        </w:rPr>
        <w:t>Increase in working capital primarily due to timing of retail receipts partially offset by lower gas volumes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42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Decrease in working capital related to inventory primarily driven by increased coal volumes and increased cost of materials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other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used by investing activities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to cash used by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7135495" cy="150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777" w:hanging="777"/>
        <w:spacing w:after="0"/>
        <w:tabs>
          <w:tab w:leader="none" w:pos="777"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(765)</w:t>
      </w:r>
    </w:p>
    <w:p>
      <w:pPr>
        <w:spacing w:after="0" w:line="44" w:lineRule="exact"/>
        <w:rPr>
          <w:rFonts w:ascii="Times New Roman" w:cs="Times New Roman" w:eastAsia="Times New Roman" w:hAnsi="Times New Roman"/>
          <w:sz w:val="16"/>
          <w:szCs w:val="16"/>
          <w:color w:val="auto"/>
        </w:rPr>
      </w:pPr>
    </w:p>
    <w:p>
      <w:pPr>
        <w:ind w:left="77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(294)</w:t>
      </w:r>
    </w:p>
    <w:p>
      <w:pPr>
        <w:spacing w:after="0" w:line="39" w:lineRule="exact"/>
        <w:rPr>
          <w:rFonts w:ascii="Times New Roman" w:cs="Times New Roman" w:eastAsia="Times New Roman" w:hAnsi="Times New Roman"/>
          <w:sz w:val="16"/>
          <w:szCs w:val="16"/>
          <w:color w:val="auto"/>
        </w:rPr>
      </w:pPr>
    </w:p>
    <w:p>
      <w:pPr>
        <w:ind w:left="83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173</w:t>
      </w:r>
    </w:p>
    <w:p>
      <w:pPr>
        <w:spacing w:after="0" w:line="16" w:lineRule="exact"/>
        <w:rPr>
          <w:rFonts w:ascii="Times New Roman" w:cs="Times New Roman" w:eastAsia="Times New Roman" w:hAnsi="Times New Roman"/>
          <w:sz w:val="16"/>
          <w:szCs w:val="16"/>
          <w:color w:val="auto"/>
        </w:rPr>
      </w:pPr>
    </w:p>
    <w:p>
      <w:pPr>
        <w:ind w:left="77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(121)</w:t>
      </w:r>
    </w:p>
    <w:p>
      <w:pPr>
        <w:spacing w:after="0" w:line="39" w:lineRule="exact"/>
        <w:rPr>
          <w:rFonts w:ascii="Times New Roman" w:cs="Times New Roman" w:eastAsia="Times New Roman" w:hAnsi="Times New Roman"/>
          <w:sz w:val="16"/>
          <w:szCs w:val="16"/>
          <w:color w:val="auto"/>
        </w:rPr>
      </w:pPr>
    </w:p>
    <w:p>
      <w:pPr>
        <w:ind w:left="85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7600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0095" cy="8255"/>
                    </a:xfrm>
                    <a:prstGeom prst="rect">
                      <a:avLst/>
                    </a:prstGeom>
                    <a:noFill/>
                  </pic:spPr>
                </pic:pic>
              </a:graphicData>
            </a:graphic>
          </wp:anchor>
        </w:drawing>
      </w:r>
    </w:p>
    <w:p>
      <w:pPr>
        <w:spacing w:after="0" w:line="5" w:lineRule="exact"/>
        <w:rPr>
          <w:sz w:val="20"/>
          <w:szCs w:val="20"/>
          <w:color w:val="auto"/>
        </w:rPr>
      </w:pPr>
    </w:p>
    <w:p>
      <w:pPr>
        <w:ind w:left="637" w:hanging="637"/>
        <w:spacing w:after="0"/>
        <w:tabs>
          <w:tab w:leader="none" w:pos="63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7600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009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53340</wp:posOffset>
            </wp:positionV>
            <wp:extent cx="7600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0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17"/>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6" w:lineRule="exact"/>
        <w:rPr>
          <w:sz w:val="20"/>
          <w:szCs w:val="20"/>
          <w:color w:val="auto"/>
        </w:rPr>
      </w:pPr>
    </w:p>
    <w:p>
      <w:pPr>
        <w:sectPr>
          <w:pgSz w:w="11900" w:h="16838" w:orient="portrait"/>
          <w:cols w:equalWidth="0" w:num="2">
            <w:col w:w="9343" w:space="720"/>
            <w:col w:w="1177"/>
          </w:cols>
          <w:pgMar w:left="320" w:top="869" w:right="339" w:bottom="1440" w:gutter="0" w:footer="0" w:header="0"/>
          <w:type w:val="continuous"/>
        </w:sectPr>
      </w:pPr>
    </w:p>
    <w:p>
      <w:pPr>
        <w:ind w:left="20" w:right="1863"/>
        <w:spacing w:after="0" w:line="262" w:lineRule="auto"/>
        <w:rPr>
          <w:sz w:val="20"/>
          <w:szCs w:val="20"/>
          <w:color w:val="auto"/>
        </w:rPr>
      </w:pPr>
      <w:r>
        <w:rPr>
          <w:rFonts w:ascii="Times New Roman" w:cs="Times New Roman" w:eastAsia="Times New Roman" w:hAnsi="Times New Roman"/>
          <w:sz w:val="18"/>
          <w:szCs w:val="18"/>
          <w:color w:val="auto"/>
        </w:rPr>
        <w:t>Increase in cash paid for acquisitions primarily due to the acquisition of the LSP Portfolio in January 2026 Increase in capital expenditures</w:t>
      </w:r>
    </w:p>
    <w:p>
      <w:pPr>
        <w:ind w:left="20" w:right="2403"/>
        <w:spacing w:after="0" w:line="278" w:lineRule="auto"/>
        <w:rPr>
          <w:sz w:val="20"/>
          <w:szCs w:val="20"/>
          <w:color w:val="auto"/>
        </w:rPr>
      </w:pPr>
      <w:r>
        <w:rPr>
          <w:rFonts w:ascii="Times New Roman" w:cs="Times New Roman" w:eastAsia="Times New Roman" w:hAnsi="Times New Roman"/>
          <w:sz w:val="18"/>
          <w:szCs w:val="18"/>
          <w:color w:val="auto"/>
        </w:rPr>
        <w:t>Decrease due to proceeds from insurance recoveries for property, plant and equipment, net in 2025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7135495" cy="142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wp:posOffset>
            </wp:positionV>
            <wp:extent cx="7135495" cy="167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provided/(used) by financing activities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to cash provided/(used) by financing activities were driven by:</w:t>
      </w:r>
    </w:p>
    <w:p>
      <w:pPr>
        <w:spacing w:after="0" w:line="20" w:lineRule="exact"/>
        <w:rPr>
          <w:sz w:val="20"/>
          <w:szCs w:val="20"/>
          <w:color w:val="auto"/>
        </w:rPr>
      </w:pPr>
      <w:r>
        <w:rPr>
          <w:sz w:val="20"/>
          <w:szCs w:val="20"/>
          <w:color w:val="auto"/>
        </w:rPr>
        <w:br w:type="column"/>
      </w:r>
    </w:p>
    <w:p>
      <w:pPr>
        <w:ind w:left="637" w:hanging="637"/>
        <w:spacing w:after="0"/>
        <w:tabs>
          <w:tab w:leader="none" w:pos="637"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(6,735)</w:t>
      </w:r>
    </w:p>
    <w:p>
      <w:pPr>
        <w:spacing w:after="0" w:line="44" w:lineRule="exact"/>
        <w:rPr>
          <w:rFonts w:ascii="Times New Roman" w:cs="Times New Roman" w:eastAsia="Times New Roman" w:hAnsi="Times New Roman"/>
          <w:sz w:val="16"/>
          <w:szCs w:val="16"/>
          <w:color w:val="auto"/>
        </w:rPr>
      </w:pPr>
    </w:p>
    <w:p>
      <w:pPr>
        <w:ind w:left="77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w:t>
      </w:r>
    </w:p>
    <w:p>
      <w:pPr>
        <w:spacing w:after="0" w:line="39" w:lineRule="exact"/>
        <w:rPr>
          <w:rFonts w:ascii="Times New Roman" w:cs="Times New Roman" w:eastAsia="Times New Roman" w:hAnsi="Times New Roman"/>
          <w:sz w:val="16"/>
          <w:szCs w:val="16"/>
          <w:color w:val="auto"/>
        </w:rPr>
      </w:pPr>
    </w:p>
    <w:p>
      <w:pPr>
        <w:ind w:left="77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w:t>
      </w:r>
    </w:p>
    <w:p>
      <w:pPr>
        <w:spacing w:after="0" w:line="39" w:lineRule="exact"/>
        <w:rPr>
          <w:rFonts w:ascii="Times New Roman" w:cs="Times New Roman" w:eastAsia="Times New Roman" w:hAnsi="Times New Roman"/>
          <w:sz w:val="16"/>
          <w:szCs w:val="16"/>
          <w:color w:val="auto"/>
        </w:rPr>
      </w:pPr>
    </w:p>
    <w:p>
      <w:pPr>
        <w:ind w:left="95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w:t>
      </w:r>
    </w:p>
    <w:p>
      <w:pPr>
        <w:spacing w:after="0" w:line="48" w:lineRule="exact"/>
        <w:rPr>
          <w:sz w:val="20"/>
          <w:szCs w:val="20"/>
          <w:color w:val="auto"/>
        </w:rPr>
      </w:pPr>
    </w:p>
    <w:p>
      <w:pPr>
        <w:ind w:left="637" w:hanging="637"/>
        <w:spacing w:after="0"/>
        <w:tabs>
          <w:tab w:leader="none" w:pos="63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(6,938)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7600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0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17"/>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8" w:lineRule="exact"/>
        <w:rPr>
          <w:sz w:val="20"/>
          <w:szCs w:val="20"/>
          <w:color w:val="auto"/>
        </w:rPr>
      </w:pPr>
    </w:p>
    <w:p>
      <w:pPr>
        <w:sectPr>
          <w:pgSz w:w="11900" w:h="16838" w:orient="portrait"/>
          <w:cols w:equalWidth="0" w:num="2">
            <w:col w:w="9343" w:space="720"/>
            <w:col w:w="1177"/>
          </w:cols>
          <w:pgMar w:left="320" w:top="869"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10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higher proceeds from credit facilities for the acquisition of the LSP Portfolio</w:t>
            </w: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r>
      <w:tr>
        <w:trPr>
          <w:trHeight w:val="224"/>
        </w:trPr>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primarily due to higher payments for share repurchase activities in 2026</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4"/>
        </w:trPr>
        <w:tc>
          <w:tcPr>
            <w:tcW w:w="10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proceeds from TEF loans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4"/>
        </w:trPr>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due to higher deferred debt issuance costs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4"/>
        </w:trPr>
        <w:tc>
          <w:tcPr>
            <w:tcW w:w="10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payments of dividends primarily due to common stock</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4"/>
        </w:trPr>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due to higher repayments of long-term debt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4"/>
        </w:trPr>
        <w:tc>
          <w:tcPr>
            <w:tcW w:w="10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net receipts from settlement of acquired derivatives</w:t>
            </w: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7"/>
        </w:trPr>
        <w:tc>
          <w:tcPr>
            <w:tcW w:w="1004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w:t>
            </w:r>
          </w:p>
        </w:tc>
      </w:tr>
      <w:tr>
        <w:trPr>
          <w:trHeight w:val="20"/>
        </w:trPr>
        <w:tc>
          <w:tcPr>
            <w:tcW w:w="10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NOLs, Deferred Tax Assets and Uncertain Tax Position Implications, under ASC 740</w:t>
      </w:r>
    </w:p>
    <w:p>
      <w:pPr>
        <w:spacing w:after="0" w:line="11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For the three months ended March 31, 2026, the Company had domestic pre-tax book income of $103 million and foreign pre-tax book loss of $20 million. As of December 31, 2025, the Company had cumulative U.S. federal NOL carryforwards of $6.6 billion, of which $5.1 billion do not have an expiration date, and cumulative state NOL carryforwards of $6.1 billion for financial statement purposes. NRG also has cumulative foreign NOL carryforwards of $392 million, most of which do not have an expiration date. In addition to the above NOLs, NRG has a $58 million indefinite carryforward for interest deductions, as well as $288 million of tax credits, inclusive of $92 million CAMT credits to be utilized in future years. As a result of the Company’s tax position, including the utilization of federal and state NOLs, and based on current forecasts, the Company anticipates net income tax payments of up to $90 million in 2026. NRG as an applicable corporation is subject to the CAMT, however, there is no impact on the Company’s provision for income taxes from the CAMT for the three months ended March 31, 2026.</w:t>
      </w:r>
    </w:p>
    <w:p>
      <w:pPr>
        <w:spacing w:after="0" w:line="8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March 31, 2026, the Company has $56 million of tax-effected uncertain federal, state, and foreign tax benefits, for which the Company has recorded a non-current tax liability of $62 million (inclusive of accrued interest) until final resolution is reached with the related taxing authority.</w:t>
      </w:r>
    </w:p>
    <w:p>
      <w:pPr>
        <w:spacing w:after="0" w:line="6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December 31, 2021, the OECD released rules which set forth a common approach to a global minimum tax at 15% for multinational companies, which has been enacted into law by certain countries effective for 2024. The Company’s preliminary analysis indicates that there is no material impact to the Company’s financial statements from these rules.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is no longer subject to U.S. federal income tax examinations for years prior to 2022. With few exceptions, state and Canadian income tax examinations are no longer open for years prior to 2015.</w:t>
      </w:r>
    </w:p>
    <w:p>
      <w:pPr>
        <w:spacing w:after="0" w:line="6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July 4, 2025, OBBB was enacted into law. The OBBB includes changes to U.S. tax law applicable to NRG beginning in 2025, such as the permanent extension of certain expiring provisions of the TCJA, modifications to the international tax framework and the restoration of favorable tax treatment for certain business provisions. The impact of the OBBB on the Company’s consolidated financial statements has been reflected in its first quarter current and deferred taxes, however, there is no material impact to the income tax (benefit)/expense for the three months ended March 31, 2026.</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valuation allowance</w:t>
      </w:r>
    </w:p>
    <w:p>
      <w:pPr>
        <w:spacing w:after="0" w:line="111"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deferred tax balance </w:t>
      </w:r>
      <w:r>
        <w:rPr>
          <w:rFonts w:ascii="Times New Roman" w:cs="Times New Roman" w:eastAsia="Times New Roman" w:hAnsi="Times New Roman"/>
          <w:sz w:val="18"/>
          <w:szCs w:val="18"/>
          <w:color w:val="auto"/>
        </w:rPr>
        <w:t>— As of March 31, 2026 and December 31, 2025, NRG recorded a net deferred tax asset, excluding valuation allowance, of $1.8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and $2.0 billion, respectively. The Company believes certain state net operating losses may not be realizable under the more-likely-than-not measurement and as such, a valuation allowance was recorded as of March 31, 2026 and December 31, 2025 as discussed below.</w:t>
      </w:r>
    </w:p>
    <w:p>
      <w:pPr>
        <w:spacing w:after="0" w:line="72"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NOL Carryforwards — </w:t>
      </w:r>
      <w:r>
        <w:rPr>
          <w:rFonts w:ascii="Times New Roman" w:cs="Times New Roman" w:eastAsia="Times New Roman" w:hAnsi="Times New Roman"/>
          <w:sz w:val="18"/>
          <w:szCs w:val="18"/>
          <w:color w:val="auto"/>
        </w:rPr>
        <w:t>As of March 31, 2026, the Company had a tax-effected cumulative U.S. NOLs consisting of carryforwards for federal and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purposes of $1.4 billion and $326 million, respectively. The Company estimates it will generate future taxable income to fully realize the net federal deferred tax asset before the expiration of certain carryforwards commences in 2030. In addition, NRG has tax-effected cumulative foreign NOL carryforwards of $104 million.</w:t>
      </w:r>
    </w:p>
    <w:p>
      <w:pPr>
        <w:spacing w:after="0" w:line="75"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Valuation Allowance </w:t>
      </w:r>
      <w:r>
        <w:rPr>
          <w:rFonts w:ascii="Times New Roman" w:cs="Times New Roman" w:eastAsia="Times New Roman" w:hAnsi="Times New Roman"/>
          <w:sz w:val="18"/>
          <w:szCs w:val="18"/>
          <w:color w:val="auto"/>
        </w:rPr>
        <w:t>— As of March 31, 2026 and December 31, 2025, the Company’s tax-effected valuation allowance was $147 million and $150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consisting of state NOL carryforwards and foreign NOL carryforwards. The valuation allowance was recorded based on the assessment of cumulative and forecasted pre-tax book earnings and the future reversal of existing taxable temporary differences.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 Financial Information</w:t>
      </w:r>
    </w:p>
    <w:p>
      <w:pPr>
        <w:spacing w:after="0" w:line="109"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As of March 31, 2026, the Company’s outstanding registered senior notes consisted of $821 million of the 2028 Senior Notes as shown in Note 7, </w:t>
      </w:r>
      <w:r>
        <w:rPr>
          <w:rFonts w:ascii="Times New Roman" w:cs="Times New Roman" w:eastAsia="Times New Roman" w:hAnsi="Times New Roman"/>
          <w:sz w:val="18"/>
          <w:szCs w:val="18"/>
          <w:i w:val="1"/>
          <w:iCs w:val="1"/>
          <w:color w:val="auto"/>
        </w:rPr>
        <w:t>Long-term Debt and Finance Leases</w:t>
      </w:r>
      <w:r>
        <w:rPr>
          <w:rFonts w:ascii="Times New Roman" w:cs="Times New Roman" w:eastAsia="Times New Roman" w:hAnsi="Times New Roman"/>
          <w:sz w:val="18"/>
          <w:szCs w:val="18"/>
          <w:color w:val="auto"/>
        </w:rPr>
        <w:t>. These Senior Notes are guaranteed by certain of NRG’s current and future 100% owned domestic subsidiaries, or guarantor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(the “Guarantors”). See Exhibit 22.1 to this Form 10-Q for a listing of the Guarantors. These guarantees are both joint and several.</w:t>
      </w:r>
    </w:p>
    <w:p>
      <w:pPr>
        <w:spacing w:after="0" w:line="7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conducts much of its business through and derives much of its income from its subsidiaries. Therefore, the Company’s ability to make required payments with respect to its indebtedness and other obligations depends on the financial results and condition of its subsidiaries and NRG’s ability to receive funds from its subsidiaries. There are no restrictions on the ability of any of the Guarantors to transfer funds to NRG. Other subsidiaries of the Company do not guarantee the registered debt securities of either NRG Energy, Inc. or the Guarantors (such subsidiaries are referred to as the “Non-Guarantors”). The Non-Guarantors include all of NRG’s foreign subsidiaries and certain domestic subsidiaries.</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NRG Energy, Inc. and the Guarantors in accordance with Rule 3-10 under the SEC’s Regulation S-X. The financial information may not necessarily be indicative of the results of operations or financial position of NRG Energy, Inc. and the Guarantors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8" w:name="page69"/>
    <w:bookmarkEnd w:id="68"/>
    <w:p>
      <w:pPr>
        <w:ind w:left="400"/>
        <w:spacing w:after="0"/>
        <w:rPr>
          <w:sz w:val="20"/>
          <w:szCs w:val="20"/>
          <w:color w:val="auto"/>
        </w:rPr>
      </w:pPr>
      <w:r>
        <w:rPr>
          <w:rFonts w:ascii="Times New Roman" w:cs="Times New Roman" w:eastAsia="Times New Roman" w:hAnsi="Times New Roman"/>
          <w:sz w:val="18"/>
          <w:szCs w:val="18"/>
          <w:color w:val="auto"/>
        </w:rPr>
        <w:t>The following table presents the summarized statement of operations: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7"/>
              </w:rPr>
              <w:t>Three months ended March 31,</w:t>
            </w:r>
          </w:p>
        </w:tc>
      </w:tr>
      <w:tr>
        <w:trPr>
          <w:trHeight w:val="210"/>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18"/>
        </w:trPr>
        <w:tc>
          <w:tcPr>
            <w:tcW w:w="888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2"/>
                <w:szCs w:val="22"/>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8,995</w:t>
            </w:r>
          </w:p>
        </w:tc>
      </w:tr>
      <w:tr>
        <w:trPr>
          <w:trHeight w:val="224"/>
        </w:trPr>
        <w:tc>
          <w:tcPr>
            <w:tcW w:w="88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2"/>
                <w:szCs w:val="22"/>
                <w:color w:val="auto"/>
                <w:vertAlign w:val="superscript"/>
              </w:rPr>
              <w:t>(b)</w:t>
            </w:r>
          </w:p>
        </w:tc>
        <w:tc>
          <w:tcPr>
            <w:tcW w:w="1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4"/>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12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4"/>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4"/>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70" w:lineRule="exact"/>
        <w:rPr>
          <w:sz w:val="20"/>
          <w:szCs w:val="20"/>
          <w:color w:val="auto"/>
        </w:rPr>
      </w:pPr>
    </w:p>
    <w:p>
      <w:pPr>
        <w:ind w:left="320" w:hanging="315"/>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transactions with Non-Guarantors of $3 million during the three months ended March 31, 2026</w:t>
      </w:r>
    </w:p>
    <w:p>
      <w:pPr>
        <w:spacing w:after="0" w:line="12" w:lineRule="exact"/>
        <w:rPr>
          <w:rFonts w:ascii="Times New Roman" w:cs="Times New Roman" w:eastAsia="Times New Roman" w:hAnsi="Times New Roman"/>
          <w:sz w:val="14"/>
          <w:szCs w:val="14"/>
          <w:color w:val="auto"/>
        </w:rPr>
      </w:pPr>
    </w:p>
    <w:p>
      <w:pPr>
        <w:ind w:left="320" w:hanging="315"/>
        <w:spacing w:after="0" w:line="251" w:lineRule="auto"/>
        <w:tabs>
          <w:tab w:leader="none" w:pos="31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transactions with Non-Guarantors including cost of operations of $13 million and selling, general and administrative of $113 million during the three months ended March 31, 2026</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summarized balance sheet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As of March 31, 2026</w:t>
            </w:r>
          </w:p>
        </w:tc>
      </w:tr>
      <w:tr>
        <w:trPr>
          <w:trHeight w:val="219"/>
        </w:trPr>
        <w:tc>
          <w:tcPr>
            <w:tcW w:w="88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22"/>
                <w:szCs w:val="22"/>
                <w:color w:val="auto"/>
                <w:vertAlign w:val="superscript"/>
              </w:rPr>
              <w:t>(a)</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r>
      <w:tr>
        <w:trPr>
          <w:trHeight w:val="224"/>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w:t>
            </w:r>
          </w:p>
        </w:tc>
      </w:tr>
      <w:tr>
        <w:trPr>
          <w:trHeight w:val="224"/>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w:t>
            </w:r>
          </w:p>
        </w:tc>
      </w:tr>
      <w:tr>
        <w:trPr>
          <w:trHeight w:val="224"/>
        </w:trPr>
        <w:tc>
          <w:tcPr>
            <w:tcW w:w="88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22"/>
                <w:szCs w:val="22"/>
                <w:color w:val="auto"/>
                <w:vertAlign w:val="superscript"/>
              </w:rPr>
              <w:t>(b)</w:t>
            </w:r>
          </w:p>
        </w:tc>
        <w:tc>
          <w:tcPr>
            <w:tcW w:w="3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10,691</w:t>
            </w:r>
          </w:p>
        </w:tc>
      </w:tr>
      <w:tr>
        <w:trPr>
          <w:trHeight w:val="224"/>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w:t>
            </w:r>
          </w:p>
        </w:tc>
      </w:tr>
    </w:tbl>
    <w:p>
      <w:pPr>
        <w:spacing w:after="0" w:line="70" w:lineRule="exact"/>
        <w:rPr>
          <w:sz w:val="20"/>
          <w:szCs w:val="20"/>
          <w:color w:val="auto"/>
        </w:rPr>
      </w:pPr>
    </w:p>
    <w:p>
      <w:pPr>
        <w:ind w:left="320" w:hanging="315"/>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intercompany receivables due from Non-Guarantors of $159 million as of March 31, 2026</w:t>
      </w:r>
    </w:p>
    <w:p>
      <w:pPr>
        <w:spacing w:after="0" w:line="2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intercompany payables due to Non-Guarantors of $404 million as of March 31, 2026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may enter into power purchase and sales contracts, fuel purchase contracts and other energy-related financial instruments to mitigate variability in earnings due to fluctuations in spot market prices and to hedge fuel requirements at power plants or retail load obligations. In order to mitigate interest rate risk associated with the issuance of the Company’s debt, NRG enters into interest rate derivatives. In addition, in order to mitigate foreign exchange rate risk primarily associated with the purchase of U.S. dollar denominated natural gas for the Company’s Canadian business, NRG enters into foreign exchange contract agreements.</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Under Flex Pay, offered by Vivint Smart Home, customers pay for smart home products by obtaining financing from a third-party financing provider under the Consumer Financing Program. Vivint Smart Home pays certain fees to the financing providers and shares in credit losses depending on the credit quality of the customer.</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NRG’s trading activities are subject to limits in accordance with the Company’s Risk Management Policy. These contracts are recognized on the balance sheet at fair value and changes in the fair value of these derivative financial instruments are recognized in earnings.</w:t>
      </w:r>
    </w:p>
    <w:p>
      <w:pPr>
        <w:spacing w:after="0" w:line="6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The following tables disclose the activities that include both exchange and non-exchange traded contracts accounted for at fair value in accordance with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Specifically, these tables disaggregate realized and unrealized changes in fair value; disaggregate estimated fair values as of March 31, 2026, based on their level within the fair value hierarchy defined in ASC 820; and indicate the maturities of contracts at March 31, 2026. For a full discussion of the Company’s valuation methodology of its contracts, see </w:t>
      </w:r>
      <w:r>
        <w:rPr>
          <w:rFonts w:ascii="Times New Roman" w:cs="Times New Roman" w:eastAsia="Times New Roman" w:hAnsi="Times New Roman"/>
          <w:sz w:val="18"/>
          <w:szCs w:val="18"/>
          <w:i w:val="1"/>
          <w:iCs w:val="1"/>
          <w:color w:val="auto"/>
        </w:rPr>
        <w:t>Derivative Fair Value Measurements</w:t>
      </w:r>
      <w:r>
        <w:rPr>
          <w:rFonts w:ascii="Times New Roman" w:cs="Times New Roman" w:eastAsia="Times New Roman" w:hAnsi="Times New Roman"/>
          <w:sz w:val="18"/>
          <w:szCs w:val="18"/>
          <w:color w:val="auto"/>
        </w:rPr>
        <w:t xml:space="preserve"> in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71" w:right="339" w:bottom="1440" w:gutter="0" w:footer="0" w:header="0"/>
        </w:sectPr>
      </w:pP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Activity Gains/(Losses)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35495" cy="1504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of Contracts as of December 31, 2025</w:t>
      </w:r>
      <w:r>
        <w:rPr>
          <w:rFonts w:ascii="Times New Roman" w:cs="Times New Roman" w:eastAsia="Times New Roman" w:hAnsi="Times New Roman"/>
          <w:sz w:val="22"/>
          <w:szCs w:val="22"/>
          <w:color w:val="auto"/>
          <w:vertAlign w:val="superscript"/>
        </w:rPr>
        <w:t>(a)</w:t>
      </w:r>
    </w:p>
    <w:p>
      <w:pPr>
        <w:ind w:left="220"/>
        <w:spacing w:after="0"/>
        <w:rPr>
          <w:sz w:val="20"/>
          <w:szCs w:val="20"/>
          <w:color w:val="auto"/>
        </w:rPr>
      </w:pPr>
      <w:r>
        <w:rPr>
          <w:rFonts w:ascii="Times New Roman" w:cs="Times New Roman" w:eastAsia="Times New Roman" w:hAnsi="Times New Roman"/>
          <w:sz w:val="16"/>
          <w:szCs w:val="16"/>
          <w:color w:val="auto"/>
        </w:rPr>
        <w:t>Contracts realized or otherwise settled during the period</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LSP Portfolio contracts acquired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Other changes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35495" cy="167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of Contracts as of March 31, 2026</w:t>
      </w:r>
      <w:r>
        <w:rPr>
          <w:rFonts w:ascii="Times New Roman" w:cs="Times New Roman" w:eastAsia="Times New Roman" w:hAnsi="Times New Roman"/>
          <w:sz w:val="22"/>
          <w:szCs w:val="22"/>
          <w:color w:val="auto"/>
          <w:vertAlign w:val="superscript"/>
        </w:rPr>
        <w:t>(a)</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6" w:lineRule="exact"/>
        <w:rPr>
          <w:sz w:val="20"/>
          <w:szCs w:val="20"/>
          <w:color w:val="auto"/>
        </w:rPr>
      </w:pPr>
    </w:p>
    <w:p>
      <w:pPr>
        <w:ind w:left="780" w:hanging="771"/>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397</w:t>
      </w:r>
    </w:p>
    <w:p>
      <w:pPr>
        <w:spacing w:after="0" w:line="2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(96)</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(210)</w:t>
      </w:r>
    </w:p>
    <w:p>
      <w:pPr>
        <w:spacing w:after="0" w:line="25" w:lineRule="exact"/>
        <w:rPr>
          <w:sz w:val="20"/>
          <w:szCs w:val="20"/>
          <w:color w:val="auto"/>
        </w:rPr>
      </w:pPr>
    </w:p>
    <w:p>
      <w:pPr>
        <w:ind w:left="880" w:hanging="871"/>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88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820" cy="825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9400" w:space="720"/>
            <w:col w:w="1120"/>
          </w:cols>
          <w:pgMar w:left="320" w:top="871" w:right="339" w:bottom="1440" w:gutter="0" w:footer="0" w:header="0"/>
          <w:type w:val="continuous"/>
        </w:sectPr>
      </w:pPr>
    </w:p>
    <w:p>
      <w:pPr>
        <w:ind w:left="320" w:hanging="315"/>
        <w:spacing w:after="0" w:line="287" w:lineRule="auto"/>
        <w:tabs>
          <w:tab w:leader="none" w:pos="31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and March 31, 2026, respectively, includes $484 million and $433 million of derivative contracts that were elected as NPNS on October 1, 2024 and are no longer valued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 of Contracts as of March 31, 2026</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00" w:type="dxa"/>
            <w:vAlign w:val="bottom"/>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Fair Value Hierarchy (Losses)/Gains</w:t>
            </w:r>
            <w:r>
              <w:rPr>
                <w:rFonts w:ascii="Times New Roman" w:cs="Times New Roman" w:eastAsia="Times New Roman" w:hAnsi="Times New Roman"/>
                <w:sz w:val="22"/>
                <w:szCs w:val="22"/>
                <w:b w:val="1"/>
                <w:bCs w:val="1"/>
                <w:color w:val="auto"/>
                <w:vertAlign w:val="superscript"/>
              </w:rPr>
              <w:t>(a)</w:t>
            </w:r>
          </w:p>
        </w:tc>
        <w:tc>
          <w:tcPr>
            <w:tcW w:w="1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1 Year or Less</w:t>
            </w:r>
          </w:p>
        </w:tc>
        <w:tc>
          <w:tcPr>
            <w:tcW w:w="10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Greater than 1</w:t>
            </w:r>
          </w:p>
        </w:tc>
        <w:tc>
          <w:tcPr>
            <w:tcW w:w="100" w:type="dxa"/>
            <w:vAlign w:val="bottom"/>
          </w:tcPr>
          <w:p>
            <w:pPr>
              <w:spacing w:after="0"/>
              <w:rPr>
                <w:sz w:val="11"/>
                <w:szCs w:val="11"/>
                <w:color w:val="auto"/>
              </w:rPr>
            </w:pPr>
          </w:p>
        </w:tc>
        <w:tc>
          <w:tcPr>
            <w:tcW w:w="112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w w:val="99"/>
              </w:rPr>
              <w:t>Greater than 3</w:t>
            </w:r>
          </w:p>
        </w:tc>
        <w:tc>
          <w:tcPr>
            <w:tcW w:w="10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Greater than 5</w:t>
            </w:r>
          </w:p>
        </w:tc>
        <w:tc>
          <w:tcPr>
            <w:tcW w:w="180" w:type="dxa"/>
            <w:vAlign w:val="bottom"/>
          </w:tcPr>
          <w:p>
            <w:pPr>
              <w:spacing w:after="0"/>
              <w:rPr>
                <w:sz w:val="11"/>
                <w:szCs w:val="11"/>
                <w:color w:val="auto"/>
              </w:rPr>
            </w:pPr>
          </w:p>
        </w:tc>
        <w:tc>
          <w:tcPr>
            <w:tcW w:w="920" w:type="dxa"/>
            <w:vAlign w:val="bottom"/>
          </w:tcPr>
          <w:p>
            <w:pPr>
              <w:jc w:val="right"/>
              <w:ind w:right="158"/>
              <w:spacing w:after="0" w:line="133" w:lineRule="exact"/>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20" w:type="dxa"/>
            <w:vAlign w:val="bottom"/>
            <w:gridSpan w:val="3"/>
          </w:tcPr>
          <w:p>
            <w:pPr>
              <w:ind w:left="80"/>
              <w:spacing w:after="0" w:line="156" w:lineRule="exact"/>
              <w:rPr>
                <w:sz w:val="20"/>
                <w:szCs w:val="20"/>
                <w:color w:val="auto"/>
              </w:rPr>
            </w:pPr>
            <w:r>
              <w:rPr>
                <w:rFonts w:ascii="Times New Roman" w:cs="Times New Roman" w:eastAsia="Times New Roman" w:hAnsi="Times New Roman"/>
                <w:sz w:val="14"/>
                <w:szCs w:val="14"/>
                <w:b w:val="1"/>
                <w:bCs w:val="1"/>
                <w:color w:val="auto"/>
              </w:rPr>
              <w:t>Year to 3 Years</w:t>
            </w:r>
          </w:p>
        </w:tc>
        <w:tc>
          <w:tcPr>
            <w:tcW w:w="1220" w:type="dxa"/>
            <w:vAlign w:val="bottom"/>
            <w:gridSpan w:val="3"/>
          </w:tcPr>
          <w:p>
            <w:pPr>
              <w:jc w:val="center"/>
              <w:ind w:right="140"/>
              <w:spacing w:after="0" w:line="156" w:lineRule="exact"/>
              <w:rPr>
                <w:sz w:val="20"/>
                <w:szCs w:val="20"/>
                <w:color w:val="auto"/>
              </w:rPr>
            </w:pPr>
            <w:r>
              <w:rPr>
                <w:rFonts w:ascii="Times New Roman" w:cs="Times New Roman" w:eastAsia="Times New Roman" w:hAnsi="Times New Roman"/>
                <w:sz w:val="14"/>
                <w:szCs w:val="14"/>
                <w:b w:val="1"/>
                <w:bCs w:val="1"/>
                <w:color w:val="auto"/>
                <w:w w:val="96"/>
              </w:rPr>
              <w:t>Years to 5 Years</w:t>
            </w:r>
          </w:p>
        </w:tc>
        <w:tc>
          <w:tcPr>
            <w:tcW w:w="100" w:type="dxa"/>
            <w:vAlign w:val="bottom"/>
          </w:tcPr>
          <w:p>
            <w:pPr>
              <w:spacing w:after="0"/>
              <w:rPr>
                <w:sz w:val="13"/>
                <w:szCs w:val="13"/>
                <w:color w:val="auto"/>
              </w:rPr>
            </w:pPr>
          </w:p>
        </w:tc>
        <w:tc>
          <w:tcPr>
            <w:tcW w:w="1120" w:type="dxa"/>
            <w:vAlign w:val="bottom"/>
            <w:gridSpan w:val="2"/>
          </w:tcPr>
          <w:p>
            <w:pPr>
              <w:ind w:left="280"/>
              <w:spacing w:after="0" w:line="156" w:lineRule="exact"/>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3"/>
                <w:szCs w:val="13"/>
                <w:color w:val="auto"/>
              </w:rPr>
            </w:pPr>
          </w:p>
        </w:tc>
        <w:tc>
          <w:tcPr>
            <w:tcW w:w="920" w:type="dxa"/>
            <w:vAlign w:val="bottom"/>
          </w:tcPr>
          <w:p>
            <w:pPr>
              <w:jc w:val="right"/>
              <w:ind w:right="298"/>
              <w:spacing w:after="0" w:line="156"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4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558"/>
              <w:spacing w:after="0"/>
              <w:rPr>
                <w:sz w:val="20"/>
                <w:szCs w:val="20"/>
                <w:color w:val="auto"/>
              </w:rPr>
            </w:pPr>
            <w:r>
              <w:rPr>
                <w:rFonts w:ascii="Times New Roman" w:cs="Times New Roman" w:eastAsia="Times New Roman" w:hAnsi="Times New Roman"/>
                <w:sz w:val="18"/>
                <w:szCs w:val="18"/>
                <w:color w:val="auto"/>
                <w:w w:val="99"/>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658"/>
              <w:spacing w:after="0"/>
              <w:rPr>
                <w:sz w:val="20"/>
                <w:szCs w:val="20"/>
                <w:color w:val="auto"/>
              </w:rPr>
            </w:pPr>
            <w:r>
              <w:rPr>
                <w:rFonts w:ascii="Times New Roman" w:cs="Times New Roman" w:eastAsia="Times New Roman" w:hAnsi="Times New Roman"/>
                <w:sz w:val="18"/>
                <w:szCs w:val="18"/>
                <w:color w:val="auto"/>
                <w:w w:val="95"/>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left="598"/>
              <w:spacing w:after="0"/>
              <w:rPr>
                <w:sz w:val="20"/>
                <w:szCs w:val="20"/>
                <w:color w:val="auto"/>
              </w:rPr>
            </w:pPr>
            <w:r>
              <w:rPr>
                <w:rFonts w:ascii="Times New Roman" w:cs="Times New Roman" w:eastAsia="Times New Roman" w:hAnsi="Times New Roman"/>
                <w:sz w:val="18"/>
                <w:szCs w:val="18"/>
                <w:color w:val="auto"/>
                <w:w w:val="99"/>
              </w:rPr>
              <w:t>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left="678"/>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558"/>
              <w:spacing w:after="0"/>
              <w:rPr>
                <w:sz w:val="20"/>
                <w:szCs w:val="20"/>
                <w:color w:val="auto"/>
              </w:rPr>
            </w:pPr>
            <w:r>
              <w:rPr>
                <w:rFonts w:ascii="Times New Roman" w:cs="Times New Roman" w:eastAsia="Times New Roman" w:hAnsi="Times New Roman"/>
                <w:sz w:val="18"/>
                <w:szCs w:val="18"/>
                <w:color w:val="auto"/>
                <w:w w:val="99"/>
              </w:rPr>
              <w:t>(82)</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8"/>
                <w:szCs w:val="18"/>
                <w:color w:val="auto"/>
                <w:w w:val="95"/>
              </w:rPr>
              <w:t>(4)</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center"/>
              <w:ind w:left="558"/>
              <w:spacing w:after="0"/>
              <w:rPr>
                <w:sz w:val="20"/>
                <w:szCs w:val="20"/>
                <w:color w:val="auto"/>
              </w:rPr>
            </w:pPr>
            <w:r>
              <w:rPr>
                <w:rFonts w:ascii="Times New Roman" w:cs="Times New Roman" w:eastAsia="Times New Roman" w:hAnsi="Times New Roman"/>
                <w:sz w:val="18"/>
                <w:szCs w:val="18"/>
                <w:color w:val="auto"/>
                <w:w w:val="99"/>
              </w:rPr>
              <w:t>(80)</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center"/>
              <w:ind w:left="678"/>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$433 million of derivative contracts that were elected as NPNS on October 1, 2024 and are no longer valued at fair value on a recurring basis</w:t>
      </w:r>
    </w:p>
    <w:p>
      <w:pPr>
        <w:spacing w:after="0" w:line="106"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 xml:space="preserve">The Company has elected to disclose derivative assets and liabilities on a trade-by-trade basis and does not offset amounts at the counterparty master agreement level. Also, collateral received or posted on the Company’s derivative assets or liabilities are recorded on a separate line item on the balance sheet. Consequently, the magnitude of the changes in individual current and non-current derivative assets or liabilities is higher than the underlying credit and market risk of the Company’s portfolio. As discussed in Item 3, </w:t>
      </w:r>
      <w:r>
        <w:rPr>
          <w:rFonts w:ascii="Times New Roman" w:cs="Times New Roman" w:eastAsia="Times New Roman" w:hAnsi="Times New Roman"/>
          <w:sz w:val="18"/>
          <w:szCs w:val="18"/>
          <w:i w:val="1"/>
          <w:iCs w:val="1"/>
          <w:color w:val="auto"/>
        </w:rPr>
        <w:t>Quantitative and Qualitative Disclosures About Market Risk — Commodity Price Risk</w:t>
      </w:r>
      <w:r>
        <w:rPr>
          <w:rFonts w:ascii="Times New Roman" w:cs="Times New Roman" w:eastAsia="Times New Roman" w:hAnsi="Times New Roman"/>
          <w:sz w:val="18"/>
          <w:szCs w:val="18"/>
          <w:color w:val="auto"/>
        </w:rPr>
        <w:t>, to this Form 10-Q, NRG measures the sensitivity of the Company’s portfolio to potential changes in market prices using VaR, a statistical model which attempts to predict risk of loss based on market price and volatility. NRG’s Risk Management Policy places a limit on one-day holding period VaR, which limits the Company’s net open position. As the Company’s trade-by-trade derivative accounting results in a gross-up of the Company’s derivative assets and liabilities, the net derivative asset and liability position is a better indicator of NRG’s hedging activity. As of March 31, 2026, NRG’s net derivative asset was $94 million, a decrease to total fair value of $303 million as compared to December 31, 2025. This decrease was primarily driven by losses in fair value and the LSP Portfolio contracts acquired.</w:t>
      </w:r>
    </w:p>
    <w:p>
      <w:pPr>
        <w:spacing w:after="0" w:line="8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Based on a sensitivity analysis using simplified assumptions, the impact of a $0.50 per MMBtu increase in natural gas prices across the term of the derivative contracts would result in an increase of approximately $951 million in the net value of derivatives as of March 31, 2026. The impact of a $0.50 per MMBtu decrease in natural gas prices across the term of the derivative contracts would result in a decrease of approximately $956 million in the net value of derivatives as of March 31,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NRG’s discussion and analysis of the financial condition and results of operations are based upon the condensed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appropriate technical accounting rules and guidance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8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NRG evaluates these estimates, on an ongoing basis,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identifies its most critical accounting estimates as those that are the most pervasive and important to the portrayal of the Company’s financial position and results of operations, and require the most difficult, subjective and/or complex judgments by management regarding estimates about matters that are inherently uncertain.</w:t>
      </w:r>
    </w:p>
    <w:p>
      <w:pPr>
        <w:spacing w:after="0" w:line="73"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The Company’s critical accounting estimates are described in Part II, Item 7, </w:t>
      </w:r>
      <w:r>
        <w:rPr>
          <w:rFonts w:ascii="Times New Roman" w:cs="Times New Roman" w:eastAsia="Times New Roman" w:hAnsi="Times New Roman"/>
          <w:sz w:val="18"/>
          <w:szCs w:val="18"/>
          <w:i w:val="1"/>
          <w:iCs w:val="1"/>
          <w:color w:val="auto"/>
        </w:rPr>
        <w:t>Management’s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w:t>
      </w:r>
      <w:r>
        <w:rPr>
          <w:rFonts w:ascii="Times New Roman" w:cs="Times New Roman" w:eastAsia="Times New Roman" w:hAnsi="Times New Roman"/>
          <w:sz w:val="18"/>
          <w:szCs w:val="18"/>
          <w:color w:val="auto"/>
        </w:rPr>
        <w:t>, in the Company’s 2025 Form 10-K. There have been no material changes to the Company’s critical accounting estimates since the 2025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NRG is exposed to several market risks in the Company’s normal business activities. Market risk is the potential loss that may result from market changes associated with the Company’s retail operations, merchant power generation or with existing or forecasted financial or commodity transactions. The types of market risks the Company is exposed to are commodity price risk, credit risk, liquidity risk, interest rate risk and currency exchange risk. The following disclosures about market risk provide an update to, and should be read in conjunction with, Item 7A, </w:t>
      </w:r>
      <w:r>
        <w:rPr>
          <w:rFonts w:ascii="Times New Roman" w:cs="Times New Roman" w:eastAsia="Times New Roman" w:hAnsi="Times New Roman"/>
          <w:sz w:val="18"/>
          <w:szCs w:val="18"/>
          <w:i w:val="1"/>
          <w:iCs w:val="1"/>
          <w:color w:val="auto"/>
        </w:rPr>
        <w:t>Quantitative and Qualitative Disclosures About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Risk, </w:t>
      </w:r>
      <w:r>
        <w:rPr>
          <w:rFonts w:ascii="Times New Roman" w:cs="Times New Roman" w:eastAsia="Times New Roman" w:hAnsi="Times New Roman"/>
          <w:sz w:val="18"/>
          <w:szCs w:val="18"/>
          <w:color w:val="auto"/>
        </w:rPr>
        <w:t>of the Company’s 2025 Form 10-K.</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1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Commodity price risks result from exposures to changes in spot prices, forward prices, volatilities and correlations between various commodities, such as natural gas, electricity, coal, oil and emissions credits. NRG manages the commodity price risk of the Company’s load serving obligations and merchant generation operations by entering into various derivative or non-derivative instruments to hedge the variability in future cash flows from forecasted sales and purchases of energy and fuel. NRG measures the risk of the Company’s portfolio using several analytical methods, including sensitivity tests, scenario tests, stress tests, position reports and VaR. NRG uses a Monte Carlo simulation based VaR model to estimate the potential loss in the fair value of its energy assets and liabilities, which includes generation assets, gas transportation and storage assets, load obligations and bilateral physical and financial transactions, based on historical and forward values for factors such as customer demand, weather, commodity availability and commodity prices. The Company’s VaR model is based on a one-day holding period at a 95% confidence interval for the forward 36 months, not including the spot month. The VaR model is not a complete picture of all risks that may affect the Company’s results. Certain events such as counterparty defaults, regulatory changes, and extreme weather and prices that deviate significantly from historically observed values are not reflected in the model.</w:t>
      </w:r>
    </w:p>
    <w:p>
      <w:pPr>
        <w:spacing w:after="0" w:line="8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average, maximum and minimum VaR for NRG’s commodity portfolio, calculated using the VaR model for the three months ended March 31, 2026 and 2025. The VaR increase is primarily due to the addition of new generation assets during the first quarter of 2026.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7"/>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 as of March 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4"/>
        </w:trPr>
        <w:tc>
          <w:tcPr>
            <w:tcW w:w="9320" w:type="dxa"/>
            <w:vAlign w:val="bottom"/>
          </w:tcPr>
          <w:p>
            <w:pPr>
              <w:ind w:left="140"/>
              <w:spacing w:after="0" w:line="204" w:lineRule="exact"/>
              <w:rPr>
                <w:sz w:val="20"/>
                <w:szCs w:val="20"/>
                <w:color w:val="auto"/>
              </w:rPr>
            </w:pPr>
            <w:r>
              <w:rPr>
                <w:rFonts w:ascii="Times New Roman" w:cs="Times New Roman" w:eastAsia="Times New Roman" w:hAnsi="Times New Roman"/>
                <w:sz w:val="18"/>
                <w:szCs w:val="18"/>
                <w:color w:val="auto"/>
              </w:rPr>
              <w:t>Three months ended March 31,</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4"/>
        </w:trPr>
        <w:tc>
          <w:tcPr>
            <w:tcW w:w="9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4"/>
        </w:trPr>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Maximum</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4"/>
        </w:trPr>
        <w:tc>
          <w:tcPr>
            <w:tcW w:w="9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Minimum</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17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also uses VaR to estimate the potential loss of derivative financial instruments that are subject to mark-to-market accounting. These derivative instruments include transactions that were entered into for both asset management and trading purposes. The VaR for the derivative financial instruments calculated using the diversified VaR model for the entire term of these instruments entered into for both asset management and trading, was $151 million, as of March 31, 2026, primarily driven by asset-backed and risk management transactions.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Credit risk relates to the risk of loss resulting from non-performance or non-payment by counterparties pursuant to the terms of their contractual obligations. NRG is exposed to counterparty credit risk through various activities including wholesale sales, fuel purchases and retail supply arrangements, and retail customer credit risk through its retail sales. Counterparty credit risk and retail customer credit risk are discussed below. See Note 6,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 to this Form 10-Q for discussion regarding credit risk contingent features.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Company’s counterparty credit risk policies are disclosed in its 2025 Form 10-K. As of March 31, 2026, counterparty credit exposure, excluding credit exposure from RTOs, ISOs, registered commodity exchanges and certain long-term agreements, was $1.3 billion and NRG held collateral (cash and letters of credit) against those positions of $117 million, resulting in a Net Exposure of $1.2 billion. NRG periodically receives collateral from counterparties in excess of their exposure. Collateral amounts shown include such excess while Net Exposure shown excludes excess collateral received. Approximately 61% of the Company’s exposure before collateral is expected to roll off by the end of 2027. Counterparty credit exposure is valued through observable market quotes and discounted at a risk free interest rate. The following tables highlight net counterparty credit exposure by industry sector and by counterparty credit quality. Net counterparty credit exposure is defined as the aggregate net asset position for NRG with counterparties where netting is permitted under the enabling agreement and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1" w:name="page72"/>
    <w:bookmarkEnd w:id="71"/>
    <w:p>
      <w:pPr>
        <w:spacing w:after="0" w:line="268" w:lineRule="auto"/>
        <w:rPr>
          <w:sz w:val="20"/>
          <w:szCs w:val="20"/>
          <w:color w:val="auto"/>
        </w:rPr>
      </w:pPr>
      <w:r>
        <w:rPr>
          <w:rFonts w:ascii="Times New Roman" w:cs="Times New Roman" w:eastAsia="Times New Roman" w:hAnsi="Times New Roman"/>
          <w:sz w:val="18"/>
          <w:szCs w:val="18"/>
          <w:color w:val="auto"/>
        </w:rPr>
        <w:t>includes all cash flow, mark-to-market and NPNS, and non-derivative transactions. The exposure is shown net of collateral held and includes amounts net of receivables or payables.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Net Exposure</w:t>
            </w:r>
            <w:r>
              <w:rPr>
                <w:rFonts w:ascii="Times New Roman" w:cs="Times New Roman" w:eastAsia="Times New Roman" w:hAnsi="Times New Roman"/>
                <w:sz w:val="18"/>
                <w:szCs w:val="18"/>
                <w:b w:val="1"/>
                <w:bCs w:val="1"/>
                <w:color w:val="auto"/>
                <w:w w:val="92"/>
                <w:vertAlign w:val="superscript"/>
              </w:rPr>
              <w:t>(a)(b)</w:t>
            </w:r>
          </w:p>
        </w:tc>
      </w:tr>
      <w:tr>
        <w:trPr>
          <w:trHeight w:val="191"/>
        </w:trPr>
        <w:tc>
          <w:tcPr>
            <w:tcW w:w="20" w:type="dxa"/>
            <w:vAlign w:val="bottom"/>
          </w:tcPr>
          <w:p>
            <w:pPr>
              <w:spacing w:after="0"/>
              <w:rPr>
                <w:sz w:val="16"/>
                <w:szCs w:val="16"/>
                <w:color w:val="auto"/>
              </w:rPr>
            </w:pPr>
          </w:p>
        </w:tc>
        <w:tc>
          <w:tcPr>
            <w:tcW w:w="95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Category by Industry Sector</w:t>
            </w:r>
          </w:p>
        </w:tc>
        <w:tc>
          <w:tcPr>
            <w:tcW w:w="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 energy merchants, marketers and other</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4"/>
        </w:trPr>
        <w:tc>
          <w:tcPr>
            <w:tcW w:w="20" w:type="dxa"/>
            <w:vAlign w:val="bottom"/>
            <w:tcBorders>
              <w:bottom w:val="single" w:sz="8" w:color="CCEEFF"/>
            </w:tcBorders>
          </w:tcPr>
          <w:p>
            <w:pPr>
              <w:spacing w:after="0"/>
              <w:rPr>
                <w:sz w:val="19"/>
                <w:szCs w:val="19"/>
                <w:color w:val="auto"/>
              </w:rPr>
            </w:pPr>
          </w:p>
        </w:tc>
        <w:tc>
          <w:tcPr>
            <w:tcW w:w="9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Financial institutions</w:t>
            </w:r>
          </w:p>
        </w:tc>
        <w:tc>
          <w:tcPr>
            <w:tcW w:w="1700" w:type="dxa"/>
            <w:vAlign w:val="bottom"/>
            <w:tcBorders>
              <w:bottom w:val="single" w:sz="8" w:color="auto"/>
            </w:tcBorders>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27</w:t>
            </w: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95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 of March 31, 2026</w:t>
            </w: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 xml:space="preserve">Net Exposure </w:t>
            </w:r>
            <w:r>
              <w:rPr>
                <w:rFonts w:ascii="Times New Roman" w:cs="Times New Roman" w:eastAsia="Times New Roman" w:hAnsi="Times New Roman"/>
                <w:sz w:val="18"/>
                <w:szCs w:val="18"/>
                <w:b w:val="1"/>
                <w:bCs w:val="1"/>
                <w:color w:val="auto"/>
                <w:w w:val="93"/>
                <w:vertAlign w:val="superscript"/>
              </w:rPr>
              <w:t>(a)(b)</w:t>
            </w:r>
          </w:p>
        </w:tc>
      </w:tr>
      <w:tr>
        <w:trPr>
          <w:trHeight w:val="191"/>
        </w:trPr>
        <w:tc>
          <w:tcPr>
            <w:tcW w:w="20" w:type="dxa"/>
            <w:vAlign w:val="bottom"/>
          </w:tcPr>
          <w:p>
            <w:pPr>
              <w:spacing w:after="0"/>
              <w:rPr>
                <w:sz w:val="16"/>
                <w:szCs w:val="16"/>
                <w:color w:val="auto"/>
              </w:rPr>
            </w:pPr>
          </w:p>
        </w:tc>
        <w:tc>
          <w:tcPr>
            <w:tcW w:w="95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Category by Counterparty Credit Quality</w:t>
            </w:r>
          </w:p>
        </w:tc>
        <w:tc>
          <w:tcPr>
            <w:tcW w:w="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of 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grade</w:t>
            </w:r>
          </w:p>
        </w:tc>
        <w:tc>
          <w:tcPr>
            <w:tcW w:w="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4"/>
        </w:trPr>
        <w:tc>
          <w:tcPr>
            <w:tcW w:w="20" w:type="dxa"/>
            <w:vAlign w:val="bottom"/>
          </w:tcPr>
          <w:p>
            <w:pPr>
              <w:spacing w:after="0"/>
              <w:rPr>
                <w:sz w:val="19"/>
                <w:szCs w:val="19"/>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Non-investment grade/Non-Rated</w:t>
            </w:r>
          </w:p>
        </w:tc>
        <w:tc>
          <w:tcPr>
            <w:tcW w:w="170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30</w:t>
            </w:r>
          </w:p>
        </w:tc>
      </w:tr>
      <w:tr>
        <w:trPr>
          <w:trHeight w:val="242"/>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52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 of March 31, 2026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320" w:hanging="315"/>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credit exposure excludes coal transportation contracts because of the unavailability of market prices</w:t>
      </w:r>
    </w:p>
    <w:p>
      <w:pPr>
        <w:spacing w:after="0" w:line="2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figures in the tables above exclude potential counterparty credit exposure related to RTOs, ISOs, registered commodity exchanges and certain long-term contracts</w:t>
      </w:r>
    </w:p>
    <w:p>
      <w:pPr>
        <w:spacing w:after="0" w:line="16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had no exposure to wholesale counterparties in excess of 10% of total Net Exposure as of March 31, 2026. Changes in hedge positions and market prices will affect credit exposure and counterparty concentration.</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RTOs and ISOs</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 participates in the organized markets of CAISO, ERCOT, AESO, IESO, ISO-NE, MISO, NYISO and PJM, known as RTOs or ISOs. Trading in the majority of these markets is approved by FERC, whereas in the case of ERCOT, it is approved by the PUCT, and whereas in the case of AESO and IESO, both exist provincially with AESO primarily subject to Alberta Utilities Commission and the IESO to the Ontario Energy Board. These ISOs may include credit policies that, under certain circumstances, require that losses arising from the default of one member on spot market transactions be shared by the remaining participants. As a result, the counterparty credit risk to these markets is limited to NRG’s share of the overall market and are excluded from the above exposures.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Exchange Traded Transactions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enters into commodity transactions on registered exchanges, notably ICE, NYMEX and Nodal. These clearinghouses act as the counterparty and transactions are subject to extensive collateral and margining requirements. As a result, these commodity transactions have limited counterparty credit risk.</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Long-Term Contracts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Counterparty credit exposure described above excludes credit risk exposure under certain long-term contracts, primarily solar under Renewable PPAs. As external sources or observable market quotes are not always available to estimate such exposure, the Company values these contracts based on various techniques including, but not limited to, internal models based on a fundamental analysis of the market and extrapolation of observable market data with similar characteristics. Based on these valuation techniques, as of March 31, 2026, aggregate credit risk exposure managed by NRG to these counterparties was approximately $679 million for the next five years.</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Retail Customer Credit Risk</w:t>
      </w:r>
    </w:p>
    <w:p>
      <w:pPr>
        <w:spacing w:after="0" w:line="11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The Company is exposed to retail credit risk through the Company’s retail electricity and gas providers as well as through Vivint Smart Home, which serve both Home and Business customers. Retail credit risk results in losses when a customer fails to pay for services rendered. The losses may result from both non-payment of customer accounts receivable and the loss of in-the-money forward value. The Company manages retail credit risk through the use of established credit policies, which include monitoring of the portfolio and the use of credit mitigation measures such as deposits or prepayment arrangements.</w:t>
      </w:r>
    </w:p>
    <w:p>
      <w:pPr>
        <w:spacing w:after="0" w:line="4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March 31, 2026, the Company’s retail customer credit exposure to Home and Business customers was diversified across many customers and various industries, as well as government entities. Current economic conditions may affect the Company’s customers’ ability to pay their bills in a timely manner or at all, which could increase customer delinquencies and may lead to an increase in credit losses.</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Liquidity risk arises from the general funding needs of the Company’s activities and in the management of the Company’s assets and liabilities. The Company is currently exposed to additional collateral posting if natural gas prices decline, primarily due to the long natural gas equivalent position at various exchanges used to hedge NRG’s retail supply load obligations.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2" w:name="page73"/>
    <w:bookmarkEnd w:id="72"/>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Based on a sensitivity analysis for power and gas positions under marginable contracts as of March 31, 2026, a $0.50 per MMBtu decrease in natural gas prices across the term of the marginable contracts would cause an increase in margin collateral posted of approximately $1.3 billion and a 1.00 MMBtu/MWh decrease in Heat Rates for Heat Rate positions would result in an increase in margin collateral posted of approximately $355 million. This analysis uses simplified assumptions and is calculated based on portfolio composition and margin-related contract provisions as of March 31, 2026.</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NRG is exposed to fluctuations in interest rates through its issuance of debt. Exposures to interest rate fluctuations may be mitigated by entering into derivative instruments known as interest rate swaps, treasury locks, caps, collars and put or call options. These contracts reduce exposure to interest rate volatility when taking into account the combinations of the debt and the interest rate derivative instrument. NRG’s management policies allow the Company to reduce interest rate exposure. The Company has $700 million of interest rate swaps extending through 2029 to mitigate the risk of the floating rate of the Term Loan B.</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NRG has both short and long-term debt instruments that subject the Company to the risk of loss associated with movements in market interest rates. As of March 31, 2026, a 1% change in variable interest rates would result in a $66 million change in interest expense on a rolling twelve-month basis.</w:t>
      </w:r>
    </w:p>
    <w:p>
      <w:pPr>
        <w:spacing w:after="0" w:line="64"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As of March 31, 2026, the fair value and related carrying value of the Company’s debt was $22.9 billion and $23.3 billion, respectively. NRG estimates that a 1% decrease in market interest rates would have increased the fair value of the Company’s long-term debt as of March 31, 2026 by $905 million.</w:t>
      </w:r>
    </w:p>
    <w:p>
      <w:pPr>
        <w:spacing w:after="0" w:line="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Risk</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NRG is subject to transactional exchange rate risk from transactions with customers in countries outside of the United States, primarily within Canada, as well as from intercompany transactions between affiliates. Transactional exchange rate risk arises from the purchase and sale of goods and services in currencies other than the Company’s functional currency or the functional currency of an applicable subsidiary. NRG hedges a portion of its forecasted currency transactions with foreign exchange forward contracts. As of March 31, 2026, NRG is exposed to changes in foreign currency primarily associated with the purchase of U.S. dollar denominated natural gas for its Canadian business and entered into foreign exchange contracts with a notional amount of $397 million.</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is subject to translation exchange rate risk related to the translation of the financial statements of its foreign operations into U.S. dollars. Costs incurred and sales recorded by subsidiaries operating outside of the United States are translated into U.S. dollars using exchange rates effective during the respective period. As a result, the Company is exposed to movements in the exchange rates of various currencies against the U.S. dollar, primarily the Canadian and Australian dollars. A hypothetical 10% appreciation in major currencies relative to the U.S. dollar as of March 31, 2026 would have resulted in a decrease of $1 million to net income within the consolidated statement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Under the supervision and with the participation of NRG’s management, including its principal executive officer, principal financial officer and principal accounting officer, NRG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There were no changes in NRG’s internal control over financial reporting (as such term is defined in Rule 13a-15(f) under the Exchange Act) that occurred in the quarter ended March 31, 2026 that materially affected, or are reasonably likely to materially affect, NRG’s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109" w:lineRule="exact"/>
        <w:rPr>
          <w:sz w:val="20"/>
          <w:szCs w:val="20"/>
          <w:color w:val="auto"/>
        </w:rPr>
      </w:pPr>
    </w:p>
    <w:p>
      <w:pPr>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For a discussion of material legal proceedings to which NRG is a party through March 31, 2026, see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to this Form 10-Q.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09" w:lineRule="exact"/>
        <w:rPr>
          <w:sz w:val="20"/>
          <w:szCs w:val="20"/>
          <w:color w:val="auto"/>
        </w:rPr>
      </w:pPr>
    </w:p>
    <w:p>
      <w:pPr>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there were no material changes to the Risk Factors disclosed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the Company’s 2025 Form 10-K.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table below sets forth the information with respect to purchases made by or on behalf of NRG or any “affiliated purchaser” (as defined in Rule 10b-18(a)(3) under the Exchange Act), of NRG’s common stock during the quarter ended March 31, 2026.</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 Purchased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Approximate Dollar Value of Shares that</w:t>
            </w:r>
          </w:p>
        </w:tc>
        <w:tc>
          <w:tcPr>
            <w:tcW w:w="0" w:type="dxa"/>
            <w:vAlign w:val="bottom"/>
          </w:tcPr>
          <w:p>
            <w:pPr>
              <w:spacing w:after="0"/>
              <w:rPr>
                <w:sz w:val="1"/>
                <w:szCs w:val="1"/>
                <w:color w:val="auto"/>
              </w:rPr>
            </w:pPr>
          </w:p>
        </w:tc>
      </w:tr>
      <w:tr>
        <w:trPr>
          <w:trHeight w:val="143"/>
        </w:trPr>
        <w:tc>
          <w:tcPr>
            <w:tcW w:w="2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1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22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as Part of Publicly Announced Plans</w:t>
            </w:r>
          </w:p>
        </w:tc>
        <w:tc>
          <w:tcPr>
            <w:tcW w:w="120" w:type="dxa"/>
            <w:vAlign w:val="bottom"/>
          </w:tcPr>
          <w:p>
            <w:pPr>
              <w:spacing w:after="0"/>
              <w:rPr>
                <w:sz w:val="12"/>
                <w:szCs w:val="12"/>
                <w:color w:val="auto"/>
              </w:rPr>
            </w:pPr>
          </w:p>
        </w:tc>
        <w:tc>
          <w:tcPr>
            <w:tcW w:w="266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May Yet Be Purchased Under the Plans or</w:t>
            </w:r>
          </w:p>
        </w:tc>
        <w:tc>
          <w:tcPr>
            <w:tcW w:w="0" w:type="dxa"/>
            <w:vAlign w:val="bottom"/>
          </w:tcPr>
          <w:p>
            <w:pPr>
              <w:spacing w:after="0"/>
              <w:rPr>
                <w:sz w:val="1"/>
                <w:szCs w:val="1"/>
                <w:color w:val="auto"/>
              </w:rPr>
            </w:pPr>
          </w:p>
        </w:tc>
      </w:tr>
      <w:tr>
        <w:trPr>
          <w:trHeight w:val="197"/>
        </w:trPr>
        <w:tc>
          <w:tcPr>
            <w:tcW w:w="2800" w:type="dxa"/>
            <w:vAlign w:val="bottom"/>
            <w:gridSpan w:val="2"/>
            <w:vMerge w:val="continue"/>
          </w:tcPr>
          <w:p>
            <w:pPr>
              <w:spacing w:after="0"/>
              <w:rPr>
                <w:sz w:val="17"/>
                <w:szCs w:val="17"/>
                <w:color w:val="auto"/>
              </w:rPr>
            </w:pPr>
          </w:p>
        </w:tc>
        <w:tc>
          <w:tcPr>
            <w:tcW w:w="1780" w:type="dxa"/>
            <w:vAlign w:val="bottom"/>
          </w:tcPr>
          <w:p>
            <w:pPr>
              <w:jc w:val="right"/>
              <w:ind w:right="444"/>
              <w:spacing w:after="0" w:line="197" w:lineRule="exact"/>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8"/>
                <w:szCs w:val="18"/>
                <w:b w:val="1"/>
                <w:bCs w:val="1"/>
                <w:color w:val="auto"/>
                <w:vertAlign w:val="superscript"/>
              </w:rPr>
              <w:t>(a)</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200"/>
              <w:spacing w:after="0" w:line="197" w:lineRule="exact"/>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8"/>
                <w:szCs w:val="18"/>
                <w:b w:val="1"/>
                <w:bCs w:val="1"/>
                <w:color w:val="auto"/>
                <w:vertAlign w:val="superscript"/>
              </w:rPr>
              <w:t>(b)</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Programs (in millions)</w:t>
            </w:r>
            <w:r>
              <w:rPr>
                <w:rFonts w:ascii="Times New Roman" w:cs="Times New Roman" w:eastAsia="Times New Roman" w:hAnsi="Times New Roman"/>
                <w:sz w:val="9"/>
                <w:szCs w:val="9"/>
                <w:b w:val="1"/>
                <w:bCs w:val="1"/>
                <w:color w:val="auto"/>
              </w:rPr>
              <w:t>(c)</w:t>
            </w:r>
          </w:p>
        </w:tc>
        <w:tc>
          <w:tcPr>
            <w:tcW w:w="0" w:type="dxa"/>
            <w:vAlign w:val="bottom"/>
          </w:tcPr>
          <w:p>
            <w:pPr>
              <w:spacing w:after="0"/>
              <w:rPr>
                <w:sz w:val="1"/>
                <w:szCs w:val="1"/>
                <w:color w:val="auto"/>
              </w:rPr>
            </w:pPr>
          </w:p>
        </w:tc>
      </w:tr>
      <w:tr>
        <w:trPr>
          <w:trHeight w:val="204"/>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Month #1</w:t>
            </w:r>
          </w:p>
        </w:tc>
        <w:tc>
          <w:tcPr>
            <w:tcW w:w="1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(January 1, 2026 to January 31, 2026)</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656,900</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151.93</w:t>
            </w:r>
          </w:p>
        </w:tc>
        <w:tc>
          <w:tcPr>
            <w:tcW w:w="1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656,900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w:t>
            </w:r>
          </w:p>
        </w:tc>
        <w:tc>
          <w:tcPr>
            <w:tcW w:w="0" w:type="dxa"/>
            <w:vAlign w:val="bottom"/>
          </w:tcPr>
          <w:p>
            <w:pPr>
              <w:spacing w:after="0"/>
              <w:rPr>
                <w:sz w:val="1"/>
                <w:szCs w:val="1"/>
                <w:color w:val="auto"/>
              </w:rPr>
            </w:pPr>
          </w:p>
        </w:tc>
      </w:tr>
      <w:tr>
        <w:trPr>
          <w:trHeight w:val="212"/>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Month #2</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1, 2026 to February 28, 2026)</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490,000</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162.90</w:t>
            </w:r>
          </w:p>
        </w:tc>
        <w:tc>
          <w:tcPr>
            <w:tcW w:w="1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3,127</w:t>
            </w:r>
          </w:p>
        </w:tc>
        <w:tc>
          <w:tcPr>
            <w:tcW w:w="0" w:type="dxa"/>
            <w:vAlign w:val="bottom"/>
          </w:tcPr>
          <w:p>
            <w:pPr>
              <w:spacing w:after="0"/>
              <w:rPr>
                <w:sz w:val="1"/>
                <w:szCs w:val="1"/>
                <w:color w:val="auto"/>
              </w:rPr>
            </w:pPr>
          </w:p>
        </w:tc>
      </w:tr>
      <w:tr>
        <w:trPr>
          <w:trHeight w:val="212"/>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Month #3</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0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6"/>
                <w:szCs w:val="16"/>
                <w:color w:val="auto"/>
              </w:rPr>
              <w:t>(March 1, 2026 to March 31, 2026)</w:t>
            </w:r>
            <w:r>
              <w:rPr>
                <w:rFonts w:ascii="Times New Roman" w:cs="Times New Roman" w:eastAsia="Times New Roman" w:hAnsi="Times New Roman"/>
                <w:sz w:val="20"/>
                <w:szCs w:val="20"/>
                <w:color w:val="auto"/>
                <w:vertAlign w:val="superscript"/>
              </w:rPr>
              <w:t>(d)</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1,829,269</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1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1,829,269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2,826</w:t>
            </w:r>
          </w:p>
        </w:tc>
        <w:tc>
          <w:tcPr>
            <w:tcW w:w="0" w:type="dxa"/>
            <w:vAlign w:val="bottom"/>
          </w:tcPr>
          <w:p>
            <w:pPr>
              <w:spacing w:after="0"/>
              <w:rPr>
                <w:sz w:val="1"/>
                <w:szCs w:val="1"/>
                <w:color w:val="auto"/>
              </w:rPr>
            </w:pPr>
          </w:p>
        </w:tc>
      </w:tr>
      <w:tr>
        <w:trPr>
          <w:trHeight w:val="229"/>
        </w:trPr>
        <w:tc>
          <w:tcPr>
            <w:tcW w:w="2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at March 31, 2026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2,976,169</w:t>
            </w:r>
          </w:p>
        </w:tc>
        <w:tc>
          <w:tcPr>
            <w:tcW w:w="4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2,976,169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5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240" w:hanging="235"/>
        <w:spacing w:after="0"/>
        <w:tabs>
          <w:tab w:leader="none" w:pos="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share repurchases under the $3.7 billion share repurchase authorization and the $3.0 billion repurchase authorization. For further discussion, see Note 9, </w:t>
      </w:r>
      <w:r>
        <w:rPr>
          <w:rFonts w:ascii="Times New Roman" w:cs="Times New Roman" w:eastAsia="Times New Roman" w:hAnsi="Times New Roman"/>
          <w:sz w:val="14"/>
          <w:szCs w:val="14"/>
          <w:i w:val="1"/>
          <w:iCs w:val="1"/>
          <w:color w:val="auto"/>
        </w:rPr>
        <w:t>Changes in Capital Structure</w:t>
      </w:r>
    </w:p>
    <w:p>
      <w:pPr>
        <w:spacing w:after="0" w:line="14"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price paid per share excludes excise tax owed and commissions per share and fees paid in connection with the share repurchases</w:t>
      </w:r>
    </w:p>
    <w:p>
      <w:pPr>
        <w:spacing w:after="0" w:line="5"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commissions and fees paid in connection with the share repurchases</w:t>
      </w:r>
    </w:p>
    <w:p>
      <w:pPr>
        <w:spacing w:after="0" w:line="10"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 stock purchase agreement to repurchase 1,829,269 shares of NRG common stock from LS Power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have been no events that are required to be reported under this Item.</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11" w:lineRule="exact"/>
        <w:rPr>
          <w:sz w:val="20"/>
          <w:szCs w:val="20"/>
          <w:color w:val="auto"/>
        </w:rPr>
      </w:pPr>
    </w:p>
    <w:p>
      <w:pPr>
        <w:jc w:val="both"/>
        <w:ind w:firstLine="632"/>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2026, the following directors or officers of the Company adopted or terminated a ‘Rule 10b5-1 trading arrangement’ or ‘non-Rule 10b5-1 trading arrangement,’ as each term is defined in Item 408(a) of Regulation S-K, as described in the table below:</w:t>
      </w:r>
    </w:p>
    <w:tbl>
      <w:tblPr>
        <w:tblLayout w:type="fixed"/>
        <w:tblInd w:w="0" w:type="dxa"/>
        <w:tblCellMar>
          <w:top w:w="0" w:type="dxa"/>
          <w:left w:w="0" w:type="dxa"/>
          <w:bottom w:w="0" w:type="dxa"/>
          <w:right w:w="0" w:type="dxa"/>
        </w:tblCellMar>
      </w:tblPr>
      <w:tr>
        <w:trPr>
          <w:trHeight w:val="172"/>
        </w:trPr>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80" w:type="dxa"/>
            <w:vAlign w:val="bottom"/>
          </w:tcPr>
          <w:p>
            <w:pPr>
              <w:jc w:val="center"/>
              <w:ind w:right="21"/>
              <w:spacing w:after="0" w:line="172" w:lineRule="exact"/>
              <w:rPr>
                <w:sz w:val="20"/>
                <w:szCs w:val="20"/>
                <w:color w:val="auto"/>
              </w:rPr>
            </w:pPr>
            <w:r>
              <w:rPr>
                <w:rFonts w:ascii="Times New Roman" w:cs="Times New Roman" w:eastAsia="Times New Roman" w:hAnsi="Times New Roman"/>
                <w:sz w:val="16"/>
                <w:szCs w:val="16"/>
                <w:b w:val="1"/>
                <w:bCs w:val="1"/>
                <w:color w:val="292938"/>
                <w:w w:val="98"/>
              </w:rPr>
              <w:t>Aggregate Number of Shares of Common</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4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292938"/>
                <w:w w:val="97"/>
              </w:rPr>
              <w:t>Character of Trading</w:t>
            </w:r>
          </w:p>
        </w:tc>
        <w:tc>
          <w:tcPr>
            <w:tcW w:w="3080" w:type="dxa"/>
            <w:vAlign w:val="bottom"/>
          </w:tcPr>
          <w:p>
            <w:pPr>
              <w:jc w:val="center"/>
              <w:ind w:right="21"/>
              <w:spacing w:after="0" w:line="171" w:lineRule="exact"/>
              <w:rPr>
                <w:sz w:val="20"/>
                <w:szCs w:val="20"/>
                <w:color w:val="auto"/>
              </w:rPr>
            </w:pPr>
            <w:r>
              <w:rPr>
                <w:rFonts w:ascii="Times New Roman" w:cs="Times New Roman" w:eastAsia="Times New Roman" w:hAnsi="Times New Roman"/>
                <w:sz w:val="16"/>
                <w:szCs w:val="16"/>
                <w:b w:val="1"/>
                <w:bCs w:val="1"/>
                <w:color w:val="292938"/>
                <w:w w:val="98"/>
              </w:rPr>
              <w:t>Stock to be Purchased or Sold Pursuant to</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92938"/>
                <w:w w:val="99"/>
              </w:rPr>
              <w:t>Name</w:t>
            </w:r>
          </w:p>
        </w:tc>
        <w:tc>
          <w:tcPr>
            <w:tcW w:w="1800" w:type="dxa"/>
            <w:vAlign w:val="bottom"/>
            <w:tcBorders>
              <w:bottom w:val="single" w:sz="8" w:color="auto"/>
            </w:tcBorders>
          </w:tcPr>
          <w:p>
            <w:pPr>
              <w:jc w:val="center"/>
              <w:ind w:left="1"/>
              <w:spacing w:after="0"/>
              <w:rPr>
                <w:sz w:val="20"/>
                <w:szCs w:val="20"/>
                <w:color w:val="auto"/>
              </w:rPr>
            </w:pPr>
            <w:r>
              <w:rPr>
                <w:rFonts w:ascii="Times New Roman" w:cs="Times New Roman" w:eastAsia="Times New Roman" w:hAnsi="Times New Roman"/>
                <w:sz w:val="16"/>
                <w:szCs w:val="16"/>
                <w:b w:val="1"/>
                <w:bCs w:val="1"/>
                <w:color w:val="292938"/>
                <w:w w:val="99"/>
              </w:rPr>
              <w:t>Title</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92938"/>
                <w:w w:val="99"/>
              </w:rPr>
              <w:t>Date Adopted</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92938"/>
                <w:w w:val="97"/>
              </w:rPr>
              <w:t>Arrangement</w:t>
            </w:r>
          </w:p>
        </w:tc>
        <w:tc>
          <w:tcPr>
            <w:tcW w:w="30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292938"/>
                <w:w w:val="96"/>
              </w:rPr>
              <w:t>Trading Arrangement</w:t>
            </w:r>
            <w:r>
              <w:rPr>
                <w:rFonts w:ascii="Times New Roman" w:cs="Times New Roman" w:eastAsia="Times New Roman" w:hAnsi="Times New Roman"/>
                <w:sz w:val="20"/>
                <w:szCs w:val="20"/>
                <w:b w:val="1"/>
                <w:bCs w:val="1"/>
                <w:color w:val="292938"/>
                <w:w w:val="96"/>
                <w:vertAlign w:val="superscript"/>
              </w:rPr>
              <w:t>(a)</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92938"/>
                <w:w w:val="96"/>
              </w:rPr>
              <w:t>Duration</w:t>
            </w:r>
          </w:p>
        </w:tc>
        <w:tc>
          <w:tcPr>
            <w:tcW w:w="1340" w:type="dxa"/>
            <w:vAlign w:val="bottom"/>
            <w:tcBorders>
              <w:bottom w:val="single" w:sz="8" w:color="auto"/>
            </w:tcBorders>
          </w:tcPr>
          <w:p>
            <w:pPr>
              <w:jc w:val="center"/>
              <w:ind w:left="41"/>
              <w:spacing w:after="0"/>
              <w:rPr>
                <w:sz w:val="20"/>
                <w:szCs w:val="20"/>
                <w:color w:val="auto"/>
              </w:rPr>
            </w:pPr>
            <w:r>
              <w:rPr>
                <w:rFonts w:ascii="Times New Roman" w:cs="Times New Roman" w:eastAsia="Times New Roman" w:hAnsi="Times New Roman"/>
                <w:sz w:val="16"/>
                <w:szCs w:val="16"/>
                <w:b w:val="1"/>
                <w:bCs w:val="1"/>
                <w:color w:val="292938"/>
                <w:w w:val="97"/>
              </w:rPr>
              <w:t>Date Terminated</w:t>
            </w:r>
          </w:p>
        </w:tc>
        <w:tc>
          <w:tcPr>
            <w:tcW w:w="0" w:type="dxa"/>
            <w:vAlign w:val="bottom"/>
          </w:tcPr>
          <w:p>
            <w:pPr>
              <w:spacing w:after="0"/>
              <w:rPr>
                <w:sz w:val="1"/>
                <w:szCs w:val="1"/>
                <w:color w:val="auto"/>
              </w:rPr>
            </w:pPr>
          </w:p>
        </w:tc>
      </w:tr>
      <w:tr>
        <w:trPr>
          <w:trHeight w:val="151"/>
        </w:trPr>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Virginia</w:t>
            </w:r>
          </w:p>
        </w:tc>
        <w:tc>
          <w:tcPr>
            <w:tcW w:w="180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w w:val="97"/>
              </w:rPr>
              <w:t>Executive Vice President,</w:t>
            </w:r>
          </w:p>
        </w:tc>
        <w:tc>
          <w:tcPr>
            <w:tcW w:w="1020" w:type="dxa"/>
            <w:vAlign w:val="bottom"/>
            <w:shd w:val="clear" w:color="auto" w:fill="CCEEFF"/>
          </w:tcPr>
          <w:p>
            <w:pPr>
              <w:spacing w:after="0"/>
              <w:rPr>
                <w:sz w:val="13"/>
                <w:szCs w:val="13"/>
                <w:color w:val="auto"/>
              </w:rPr>
            </w:pPr>
          </w:p>
        </w:tc>
        <w:tc>
          <w:tcPr>
            <w:tcW w:w="154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w w:val="98"/>
              </w:rPr>
              <w:t>Rule 10b5-1 Trading</w:t>
            </w:r>
          </w:p>
        </w:tc>
        <w:tc>
          <w:tcPr>
            <w:tcW w:w="3080" w:type="dxa"/>
            <w:vAlign w:val="bottom"/>
            <w:shd w:val="clear" w:color="auto" w:fill="CCEEFF"/>
          </w:tcPr>
          <w:p>
            <w:pPr>
              <w:jc w:val="center"/>
              <w:ind w:right="21"/>
              <w:spacing w:after="0" w:line="152" w:lineRule="exact"/>
              <w:rPr>
                <w:sz w:val="20"/>
                <w:szCs w:val="20"/>
                <w:color w:val="auto"/>
              </w:rPr>
            </w:pPr>
            <w:r>
              <w:rPr>
                <w:rFonts w:ascii="Times New Roman" w:cs="Times New Roman" w:eastAsia="Times New Roman" w:hAnsi="Times New Roman"/>
                <w:sz w:val="16"/>
                <w:szCs w:val="16"/>
                <w:color w:val="auto"/>
                <w:w w:val="98"/>
              </w:rPr>
              <w:t>Up to 31,145 shares to be Sold</w:t>
            </w:r>
          </w:p>
        </w:tc>
        <w:tc>
          <w:tcPr>
            <w:tcW w:w="1680" w:type="dxa"/>
            <w:vAlign w:val="bottom"/>
            <w:shd w:val="clear" w:color="auto" w:fill="CCEEFF"/>
          </w:tcPr>
          <w:p>
            <w:pPr>
              <w:jc w:val="right"/>
              <w:ind w:right="101"/>
              <w:spacing w:after="0" w:line="152" w:lineRule="exact"/>
              <w:rPr>
                <w:sz w:val="20"/>
                <w:szCs w:val="20"/>
                <w:color w:val="auto"/>
              </w:rPr>
            </w:pPr>
            <w:r>
              <w:rPr>
                <w:rFonts w:ascii="Times New Roman" w:cs="Times New Roman" w:eastAsia="Times New Roman" w:hAnsi="Times New Roman"/>
                <w:sz w:val="16"/>
                <w:szCs w:val="16"/>
                <w:color w:val="auto"/>
              </w:rPr>
              <w:t>6/15/2026-9/16/2026</w:t>
            </w:r>
          </w:p>
        </w:tc>
        <w:tc>
          <w:tcPr>
            <w:tcW w:w="1340" w:type="dxa"/>
            <w:vAlign w:val="bottom"/>
            <w:shd w:val="clear" w:color="auto" w:fill="CCEEFF"/>
          </w:tcPr>
          <w:p>
            <w:pPr>
              <w:jc w:val="center"/>
              <w:ind w:left="21"/>
              <w:spacing w:after="0" w:line="152"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79"/>
        </w:trPr>
        <w:tc>
          <w:tcPr>
            <w:tcW w:w="780" w:type="dxa"/>
            <w:vAlign w:val="bottom"/>
            <w:vMerge w:val="continue"/>
            <w:shd w:val="clear" w:color="auto" w:fill="CCEEFF"/>
          </w:tcPr>
          <w:p>
            <w:pPr>
              <w:spacing w:after="0"/>
              <w:rPr>
                <w:sz w:val="6"/>
                <w:szCs w:val="6"/>
                <w:color w:val="auto"/>
              </w:rPr>
            </w:pPr>
          </w:p>
        </w:tc>
        <w:tc>
          <w:tcPr>
            <w:tcW w:w="1800" w:type="dxa"/>
            <w:vAlign w:val="bottom"/>
            <w:vMerge w:val="restart"/>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8"/>
              </w:rPr>
              <w:t>Chief Administration</w:t>
            </w:r>
          </w:p>
        </w:tc>
        <w:tc>
          <w:tcPr>
            <w:tcW w:w="1020" w:type="dxa"/>
            <w:vAlign w:val="bottom"/>
            <w:vMerge w:val="restart"/>
            <w:shd w:val="clear" w:color="auto" w:fill="CCEEFF"/>
          </w:tcPr>
          <w:p>
            <w:pPr>
              <w:jc w:val="right"/>
              <w:ind w:right="101"/>
              <w:spacing w:after="0" w:line="171" w:lineRule="exact"/>
              <w:rPr>
                <w:sz w:val="20"/>
                <w:szCs w:val="20"/>
                <w:color w:val="auto"/>
              </w:rPr>
            </w:pPr>
            <w:r>
              <w:rPr>
                <w:rFonts w:ascii="Times New Roman" w:cs="Times New Roman" w:eastAsia="Times New Roman" w:hAnsi="Times New Roman"/>
                <w:sz w:val="16"/>
                <w:szCs w:val="16"/>
                <w:color w:val="auto"/>
              </w:rPr>
              <w:t>3/16/2026</w:t>
            </w:r>
          </w:p>
        </w:tc>
        <w:tc>
          <w:tcPr>
            <w:tcW w:w="1540" w:type="dxa"/>
            <w:vAlign w:val="bottom"/>
            <w:vMerge w:val="restart"/>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7"/>
              </w:rPr>
              <w:t>Arrangement</w:t>
            </w:r>
          </w:p>
        </w:tc>
        <w:tc>
          <w:tcPr>
            <w:tcW w:w="308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Kinney</w:t>
            </w:r>
          </w:p>
        </w:tc>
        <w:tc>
          <w:tcPr>
            <w:tcW w:w="180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80" w:type="dxa"/>
            <w:vAlign w:val="bottom"/>
            <w:vMerge w:val="continue"/>
            <w:shd w:val="clear" w:color="auto" w:fill="CCEEFF"/>
          </w:tcPr>
          <w:p>
            <w:pPr>
              <w:spacing w:after="0"/>
              <w:rPr>
                <w:sz w:val="9"/>
                <w:szCs w:val="9"/>
                <w:color w:val="auto"/>
              </w:rPr>
            </w:pPr>
          </w:p>
        </w:tc>
        <w:tc>
          <w:tcPr>
            <w:tcW w:w="1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Officer</w:t>
            </w:r>
          </w:p>
        </w:tc>
        <w:tc>
          <w:tcPr>
            <w:tcW w:w="102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780" w:type="dxa"/>
            <w:vAlign w:val="bottom"/>
            <w:shd w:val="clear" w:color="auto" w:fill="CCEEFF"/>
          </w:tcPr>
          <w:p>
            <w:pPr>
              <w:spacing w:after="0"/>
              <w:rPr>
                <w:sz w:val="7"/>
                <w:szCs w:val="7"/>
                <w:color w:val="auto"/>
              </w:rPr>
            </w:pPr>
          </w:p>
        </w:tc>
        <w:tc>
          <w:tcPr>
            <w:tcW w:w="1800" w:type="dxa"/>
            <w:vAlign w:val="bottom"/>
            <w:vMerge w:val="continue"/>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30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Potential sales may be subject to certain price limitations set forth in the 10b5-1 plans and therefore actual number of shares sold could vary if certain minimum stock prices are not met</w:t>
      </w:r>
    </w:p>
    <w:p>
      <w:pPr>
        <w:spacing w:after="0" w:line="200" w:lineRule="exact"/>
        <w:rPr>
          <w:sz w:val="20"/>
          <w:szCs w:val="20"/>
          <w:color w:val="auto"/>
        </w:rPr>
      </w:pPr>
    </w:p>
    <w:p>
      <w:pPr>
        <w:spacing w:after="0" w:line="3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p>
    <w:p>
      <w:pPr>
        <w:spacing w:after="0" w:line="109"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On February 19, 2026, the Board of Directors of the Company adopted the NRG Energy, Inc. 2026 Long-Term Incentive Plan (the “2026 LTIP”), subject to approval by the Company’s stockholders. As reported in the Current Report on Form 8-K filed by the Company on May 1, 2026, at the Company’s 2026 annual meeting of stockholders held on April 30, 2026, the Company’s stockholders approved the 2026 LTIP. The aggregate number of shares of common stock of the Company available for issuance under the 2026 LTIP is 5,000,000 (less any shares underlying equity awards granted between March 3, 2026 and April 30, 2026 under the Company’s existing LTIPs).</w:t>
      </w:r>
    </w:p>
    <w:p>
      <w:pPr>
        <w:spacing w:after="0" w:line="80"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The material features of the 2026 LTIP are described in the Company’s definitive proxy statement on Schedule 14A filed with the SEC on March 18, 2026, as supplemented on April 16, 2026. A copy of the 2026 LTIP was filed as Exhibit 10.1 to the Registration Statement on Form S-8 filed on April 30, 2026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78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5"/>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6780" w:type="dxa"/>
            <w:vAlign w:val="bottom"/>
            <w:gridSpan w:val="13"/>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Third Supplemental Indenture, dated April 28, 2026, among NRG Energy, Inc., the guarantors named</w:t>
              </w:r>
            </w:hyperlink>
          </w:p>
        </w:tc>
      </w:tr>
      <w:tr>
        <w:trPr>
          <w:trHeight w:val="138"/>
        </w:trPr>
        <w:tc>
          <w:tcPr>
            <w:tcW w:w="1020" w:type="dxa"/>
            <w:vAlign w:val="bottom"/>
          </w:tcPr>
          <w:p>
            <w:pPr>
              <w:spacing w:after="0"/>
              <w:rPr>
                <w:sz w:val="11"/>
                <w:szCs w:val="11"/>
                <w:color w:val="auto"/>
              </w:rPr>
            </w:pPr>
          </w:p>
        </w:tc>
        <w:tc>
          <w:tcPr>
            <w:tcW w:w="6420" w:type="dxa"/>
            <w:vAlign w:val="bottom"/>
            <w:tcBorders>
              <w:top w:val="single" w:sz="8" w:color="0000FF"/>
            </w:tcBorders>
            <w:gridSpan w:val="9"/>
          </w:tcPr>
          <w:p>
            <w:pPr>
              <w:spacing w:after="0" w:line="138" w:lineRule="exact"/>
              <w:rPr>
                <w:rFonts w:ascii="Times New Roman" w:cs="Times New Roman" w:eastAsia="Times New Roman" w:hAnsi="Times New Roman"/>
                <w:sz w:val="15"/>
                <w:szCs w:val="15"/>
                <w:color w:val="0000FF"/>
              </w:rPr>
            </w:pPr>
            <w:hyperlink r:id="rId124">
              <w:r>
                <w:rPr>
                  <w:rFonts w:ascii="Times New Roman" w:cs="Times New Roman" w:eastAsia="Times New Roman" w:hAnsi="Times New Roman"/>
                  <w:sz w:val="15"/>
                  <w:szCs w:val="15"/>
                  <w:color w:val="0000FF"/>
                </w:rPr>
                <w:t>therein and Deutsche Bank Trust Company Americas, as trustee, containing Form of 4.955% Senior</w:t>
              </w:r>
            </w:hyperlink>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1020" w:type="dxa"/>
            <w:vAlign w:val="bottom"/>
          </w:tcPr>
          <w:p>
            <w:pPr>
              <w:spacing w:after="0"/>
              <w:rPr>
                <w:sz w:val="11"/>
                <w:szCs w:val="11"/>
                <w:color w:val="auto"/>
              </w:rPr>
            </w:pPr>
          </w:p>
        </w:tc>
        <w:tc>
          <w:tcPr>
            <w:tcW w:w="6320" w:type="dxa"/>
            <w:vAlign w:val="bottom"/>
            <w:tcBorders>
              <w:top w:val="single" w:sz="8" w:color="0000FF"/>
            </w:tcBorders>
            <w:gridSpan w:val="7"/>
          </w:tcPr>
          <w:p>
            <w:pPr>
              <w:spacing w:after="0" w:line="138" w:lineRule="exact"/>
              <w:rPr>
                <w:rFonts w:ascii="Times New Roman" w:cs="Times New Roman" w:eastAsia="Times New Roman" w:hAnsi="Times New Roman"/>
                <w:sz w:val="15"/>
                <w:szCs w:val="15"/>
                <w:color w:val="0000FF"/>
              </w:rPr>
            </w:pPr>
            <w:hyperlink r:id="rId124">
              <w:r>
                <w:rPr>
                  <w:rFonts w:ascii="Times New Roman" w:cs="Times New Roman" w:eastAsia="Times New Roman" w:hAnsi="Times New Roman"/>
                  <w:sz w:val="15"/>
                  <w:szCs w:val="15"/>
                  <w:color w:val="0000FF"/>
                </w:rPr>
                <w:t>Secured First Lien Notes due 2031.</w:t>
              </w:r>
            </w:hyperlink>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6780" w:type="dxa"/>
            <w:vAlign w:val="bottom"/>
            <w:gridSpan w:val="13"/>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Third Supplemental Indenture, dated April 28, 2026, among NRG Energy, Inc., the guarantors named</w:t>
              </w:r>
            </w:hyperlink>
          </w:p>
        </w:tc>
      </w:tr>
      <w:tr>
        <w:trPr>
          <w:trHeight w:val="138"/>
        </w:trPr>
        <w:tc>
          <w:tcPr>
            <w:tcW w:w="1020" w:type="dxa"/>
            <w:vAlign w:val="bottom"/>
          </w:tcPr>
          <w:p>
            <w:pPr>
              <w:spacing w:after="0"/>
              <w:rPr>
                <w:sz w:val="11"/>
                <w:szCs w:val="11"/>
                <w:color w:val="auto"/>
              </w:rPr>
            </w:pPr>
          </w:p>
        </w:tc>
        <w:tc>
          <w:tcPr>
            <w:tcW w:w="6440" w:type="dxa"/>
            <w:vAlign w:val="bottom"/>
            <w:tcBorders>
              <w:top w:val="single" w:sz="8" w:color="0000FF"/>
            </w:tcBorders>
            <w:gridSpan w:val="10"/>
          </w:tcPr>
          <w:p>
            <w:pPr>
              <w:spacing w:after="0" w:line="138" w:lineRule="exact"/>
              <w:rPr>
                <w:rFonts w:ascii="Times New Roman" w:cs="Times New Roman" w:eastAsia="Times New Roman" w:hAnsi="Times New Roman"/>
                <w:sz w:val="15"/>
                <w:szCs w:val="15"/>
                <w:color w:val="0000FF"/>
              </w:rPr>
            </w:pPr>
            <w:hyperlink r:id="rId125">
              <w:r>
                <w:rPr>
                  <w:rFonts w:ascii="Times New Roman" w:cs="Times New Roman" w:eastAsia="Times New Roman" w:hAnsi="Times New Roman"/>
                  <w:sz w:val="15"/>
                  <w:szCs w:val="15"/>
                  <w:color w:val="0000FF"/>
                </w:rPr>
                <w:t>therein and Deutsche Bank Trust Company Americas, as trustee, containing Form of 5.875% Senior</w:t>
              </w:r>
            </w:hyperlink>
          </w:p>
        </w:tc>
        <w:tc>
          <w:tcPr>
            <w:tcW w:w="340" w:type="dxa"/>
            <w:vAlign w:val="bottom"/>
            <w:gridSpan w:val="3"/>
          </w:tcPr>
          <w:p>
            <w:pPr>
              <w:spacing w:after="0" w:line="138" w:lineRule="exact"/>
              <w:rPr>
                <w:rFonts w:ascii="Times New Roman" w:cs="Times New Roman" w:eastAsia="Times New Roman" w:hAnsi="Times New Roman"/>
                <w:sz w:val="15"/>
                <w:szCs w:val="15"/>
                <w:color w:val="0000FF"/>
                <w:w w:val="91"/>
              </w:rPr>
            </w:pPr>
            <w:hyperlink r:id="rId125">
              <w:r>
                <w:rPr>
                  <w:rFonts w:ascii="Times New Roman" w:cs="Times New Roman" w:eastAsia="Times New Roman" w:hAnsi="Times New Roman"/>
                  <w:sz w:val="15"/>
                  <w:szCs w:val="15"/>
                  <w:color w:val="0000FF"/>
                  <w:w w:val="91"/>
                </w:rPr>
                <w:t>Notes</w:t>
              </w:r>
            </w:hyperlink>
          </w:p>
        </w:tc>
      </w:tr>
      <w:tr>
        <w:trPr>
          <w:trHeight w:val="138"/>
        </w:trPr>
        <w:tc>
          <w:tcPr>
            <w:tcW w:w="1020" w:type="dxa"/>
            <w:vAlign w:val="bottom"/>
          </w:tcPr>
          <w:p>
            <w:pPr>
              <w:spacing w:after="0"/>
              <w:rPr>
                <w:sz w:val="11"/>
                <w:szCs w:val="11"/>
                <w:color w:val="auto"/>
              </w:rPr>
            </w:pPr>
          </w:p>
        </w:tc>
        <w:tc>
          <w:tcPr>
            <w:tcW w:w="6740" w:type="dxa"/>
            <w:vAlign w:val="bottom"/>
            <w:tcBorders>
              <w:top w:val="single" w:sz="8" w:color="0000FF"/>
            </w:tcBorders>
            <w:gridSpan w:val="11"/>
          </w:tcPr>
          <w:p>
            <w:pPr>
              <w:spacing w:after="0" w:line="138" w:lineRule="exact"/>
              <w:rPr>
                <w:rFonts w:ascii="Times New Roman" w:cs="Times New Roman" w:eastAsia="Times New Roman" w:hAnsi="Times New Roman"/>
                <w:sz w:val="15"/>
                <w:szCs w:val="15"/>
                <w:color w:val="0000FF"/>
              </w:rPr>
            </w:pPr>
            <w:hyperlink r:id="rId125">
              <w:r>
                <w:rPr>
                  <w:rFonts w:ascii="Times New Roman" w:cs="Times New Roman" w:eastAsia="Times New Roman" w:hAnsi="Times New Roman"/>
                  <w:sz w:val="15"/>
                  <w:szCs w:val="15"/>
                  <w:color w:val="0000FF"/>
                </w:rPr>
                <w:t>due 2034 and Form of 6.125% Senior Notes due 2036</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5"/>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6780" w:type="dxa"/>
            <w:vAlign w:val="bottom"/>
            <w:gridSpan w:val="13"/>
          </w:tcPr>
          <w:p>
            <w:pPr>
              <w:spacing w:after="0"/>
              <w:rPr>
                <w:rFonts w:ascii="Times New Roman" w:cs="Times New Roman" w:eastAsia="Times New Roman" w:hAnsi="Times New Roman"/>
                <w:sz w:val="16"/>
                <w:szCs w:val="16"/>
                <w:color w:val="0000FF"/>
                <w:w w:val="99"/>
              </w:rPr>
            </w:pPr>
            <w:hyperlink r:id="rId126">
              <w:r>
                <w:rPr>
                  <w:rFonts w:ascii="Times New Roman" w:cs="Times New Roman" w:eastAsia="Times New Roman" w:hAnsi="Times New Roman"/>
                  <w:sz w:val="16"/>
                  <w:szCs w:val="16"/>
                  <w:color w:val="0000FF"/>
                  <w:w w:val="99"/>
                </w:rPr>
                <w:t>Sixteenth Amendment to Second Amended and Restated Credit Agreement, dated as of April 28, 2026, by</w:t>
              </w:r>
            </w:hyperlink>
          </w:p>
        </w:tc>
      </w:tr>
      <w:tr>
        <w:trPr>
          <w:trHeight w:val="138"/>
        </w:trPr>
        <w:tc>
          <w:tcPr>
            <w:tcW w:w="1020" w:type="dxa"/>
            <w:vAlign w:val="bottom"/>
          </w:tcPr>
          <w:p>
            <w:pPr>
              <w:spacing w:after="0"/>
              <w:rPr>
                <w:sz w:val="11"/>
                <w:szCs w:val="11"/>
                <w:color w:val="auto"/>
              </w:rPr>
            </w:pPr>
          </w:p>
        </w:tc>
        <w:tc>
          <w:tcPr>
            <w:tcW w:w="6760" w:type="dxa"/>
            <w:vAlign w:val="bottom"/>
            <w:tcBorders>
              <w:top w:val="single" w:sz="8" w:color="0000FF"/>
            </w:tcBorders>
            <w:gridSpan w:val="12"/>
          </w:tcPr>
          <w:p>
            <w:pPr>
              <w:spacing w:after="0" w:line="138" w:lineRule="exact"/>
              <w:rPr>
                <w:rFonts w:ascii="Times New Roman" w:cs="Times New Roman" w:eastAsia="Times New Roman" w:hAnsi="Times New Roman"/>
                <w:sz w:val="15"/>
                <w:szCs w:val="15"/>
                <w:color w:val="0000FF"/>
              </w:rPr>
            </w:pPr>
            <w:hyperlink r:id="rId126">
              <w:r>
                <w:rPr>
                  <w:rFonts w:ascii="Times New Roman" w:cs="Times New Roman" w:eastAsia="Times New Roman" w:hAnsi="Times New Roman"/>
                  <w:sz w:val="15"/>
                  <w:szCs w:val="15"/>
                  <w:color w:val="0000FF"/>
                </w:rPr>
                <w:t>and among NRG Energy, Inc., Citicorp North America, Inc., as administrative agent and as collateral</w:t>
              </w:r>
            </w:hyperlink>
          </w:p>
        </w:tc>
        <w:tc>
          <w:tcPr>
            <w:tcW w:w="20" w:type="dxa"/>
            <w:vAlign w:val="bottom"/>
          </w:tcPr>
          <w:p>
            <w:pPr>
              <w:spacing w:after="0"/>
              <w:rPr>
                <w:sz w:val="11"/>
                <w:szCs w:val="11"/>
                <w:color w:val="auto"/>
              </w:rPr>
            </w:pPr>
          </w:p>
        </w:tc>
      </w:tr>
      <w:tr>
        <w:trPr>
          <w:trHeight w:val="138"/>
        </w:trPr>
        <w:tc>
          <w:tcPr>
            <w:tcW w:w="1020" w:type="dxa"/>
            <w:vAlign w:val="bottom"/>
          </w:tcPr>
          <w:p>
            <w:pPr>
              <w:spacing w:after="0"/>
              <w:rPr>
                <w:sz w:val="11"/>
                <w:szCs w:val="11"/>
                <w:color w:val="auto"/>
              </w:rPr>
            </w:pPr>
          </w:p>
        </w:tc>
        <w:tc>
          <w:tcPr>
            <w:tcW w:w="6380" w:type="dxa"/>
            <w:vAlign w:val="bottom"/>
            <w:tcBorders>
              <w:top w:val="single" w:sz="8" w:color="0000FF"/>
            </w:tcBorders>
            <w:gridSpan w:val="8"/>
          </w:tcPr>
          <w:p>
            <w:pPr>
              <w:spacing w:after="0" w:line="138" w:lineRule="exact"/>
              <w:rPr>
                <w:rFonts w:ascii="Times New Roman" w:cs="Times New Roman" w:eastAsia="Times New Roman" w:hAnsi="Times New Roman"/>
                <w:sz w:val="15"/>
                <w:szCs w:val="15"/>
                <w:color w:val="0000FF"/>
              </w:rPr>
            </w:pPr>
            <w:hyperlink r:id="rId126">
              <w:r>
                <w:rPr>
                  <w:rFonts w:ascii="Times New Roman" w:cs="Times New Roman" w:eastAsia="Times New Roman" w:hAnsi="Times New Roman"/>
                  <w:sz w:val="15"/>
                  <w:szCs w:val="15"/>
                  <w:color w:val="0000FF"/>
                </w:rPr>
                <w:t>agent, and certain financial institutions, as lenders.</w:t>
              </w:r>
            </w:hyperlink>
          </w:p>
        </w:tc>
        <w:tc>
          <w:tcPr>
            <w:tcW w:w="400" w:type="dxa"/>
            <w:vAlign w:val="bottom"/>
            <w:gridSpan w:val="5"/>
          </w:tcPr>
          <w:p>
            <w:pPr>
              <w:spacing w:after="0"/>
              <w:rPr>
                <w:sz w:val="11"/>
                <w:szCs w:val="11"/>
                <w:color w:val="auto"/>
              </w:rPr>
            </w:pPr>
          </w:p>
        </w:tc>
      </w:tr>
      <w:tr>
        <w:trPr>
          <w:trHeight w:val="427"/>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22.1</w:t>
            </w:r>
          </w:p>
        </w:tc>
        <w:tc>
          <w:tcPr>
            <w:tcW w:w="19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8"/>
              </w:rPr>
              <w:t>List of Guarantor Subsidiaries</w:t>
            </w:r>
          </w:p>
        </w:tc>
        <w:tc>
          <w:tcPr>
            <w:tcW w:w="1280" w:type="dxa"/>
            <w:vAlign w:val="bottom"/>
            <w:tcBorders>
              <w:top w:val="single" w:sz="8" w:color="0000FF"/>
            </w:tcBorders>
            <w:gridSpan w:val="2"/>
          </w:tcPr>
          <w:p>
            <w:pPr>
              <w:spacing w:after="0"/>
              <w:rPr>
                <w:sz w:val="24"/>
                <w:szCs w:val="24"/>
                <w:color w:val="auto"/>
              </w:rPr>
            </w:pPr>
          </w:p>
        </w:tc>
        <w:tc>
          <w:tcPr>
            <w:tcW w:w="3580" w:type="dxa"/>
            <w:vAlign w:val="bottom"/>
            <w:gridSpan w:val="10"/>
          </w:tcPr>
          <w:p>
            <w:pPr>
              <w:spacing w:after="0"/>
              <w:rPr>
                <w:sz w:val="24"/>
                <w:szCs w:val="24"/>
                <w:color w:val="auto"/>
              </w:rPr>
            </w:pPr>
          </w:p>
        </w:tc>
      </w:tr>
      <w:tr>
        <w:trPr>
          <w:trHeight w:val="191"/>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3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8"/>
              </w:rPr>
              <w:t>Rule 13a-14(a)/15d-14(a) certification of Robert J. Gaudette.</w:t>
            </w:r>
          </w:p>
        </w:tc>
        <w:tc>
          <w:tcPr>
            <w:tcW w:w="2920" w:type="dxa"/>
            <w:vAlign w:val="bottom"/>
            <w:gridSpan w:val="7"/>
          </w:tcPr>
          <w:p>
            <w:pPr>
              <w:spacing w:after="0"/>
              <w:rPr>
                <w:sz w:val="16"/>
                <w:szCs w:val="16"/>
                <w:color w:val="auto"/>
              </w:rPr>
            </w:pPr>
          </w:p>
        </w:tc>
      </w:tr>
      <w:tr>
        <w:trPr>
          <w:trHeight w:val="191"/>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38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8"/>
              </w:rPr>
              <w:t>Rule 13a-14(a)/15d-14(a) certification of Woo-Sung Chung.</w:t>
            </w:r>
          </w:p>
        </w:tc>
        <w:tc>
          <w:tcPr>
            <w:tcW w:w="2960" w:type="dxa"/>
            <w:vAlign w:val="bottom"/>
            <w:gridSpan w:val="8"/>
          </w:tcPr>
          <w:p>
            <w:pPr>
              <w:spacing w:after="0"/>
              <w:rPr>
                <w:sz w:val="16"/>
                <w:szCs w:val="16"/>
                <w:color w:val="auto"/>
              </w:rPr>
            </w:pPr>
          </w:p>
        </w:tc>
      </w:tr>
      <w:tr>
        <w:trPr>
          <w:trHeight w:val="191"/>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31.3</w:t>
            </w:r>
          </w:p>
        </w:tc>
        <w:tc>
          <w:tcPr>
            <w:tcW w:w="67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Rule 13a-14(a)/15d-14(a) certification of G. Alfred Spencer.</w:t>
            </w:r>
          </w:p>
        </w:tc>
      </w:tr>
      <w:tr>
        <w:trPr>
          <w:trHeight w:val="20"/>
        </w:trPr>
        <w:tc>
          <w:tcPr>
            <w:tcW w:w="10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 w:lineRule="exact"/>
        <w:rPr>
          <w:sz w:val="20"/>
          <w:szCs w:val="20"/>
          <w:color w:val="auto"/>
        </w:rPr>
      </w:pPr>
    </w:p>
    <w:p>
      <w:pPr>
        <w:ind w:left="1040" w:hanging="1017"/>
        <w:spacing w:after="0"/>
        <w:tabs>
          <w:tab w:leader="none" w:pos="10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Section 1350 Certification.</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w:t>
            </w:r>
          </w:p>
        </w:tc>
        <w:tc>
          <w:tcPr>
            <w:tcW w:w="3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526"/>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 SCH</w:t>
            </w:r>
          </w:p>
        </w:tc>
        <w:tc>
          <w:tcPr>
            <w:tcW w:w="3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11"/>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w:t>
            </w:r>
          </w:p>
        </w:tc>
        <w:tc>
          <w:tcPr>
            <w:tcW w:w="390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Inline XBRL Taxonomy Extension Calculation Linkbase.</w:t>
            </w:r>
          </w:p>
        </w:tc>
      </w:tr>
      <w:tr>
        <w:trPr>
          <w:trHeight w:val="211"/>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w:t>
            </w:r>
          </w:p>
        </w:tc>
        <w:tc>
          <w:tcPr>
            <w:tcW w:w="3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11"/>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w:t>
            </w:r>
          </w:p>
        </w:tc>
        <w:tc>
          <w:tcPr>
            <w:tcW w:w="3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1"/>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w:t>
            </w:r>
          </w:p>
        </w:tc>
        <w:tc>
          <w:tcPr>
            <w:tcW w:w="390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8"/>
              </w:rPr>
              <w:t>Inline XBRL Taxonomy Extension Presentation Linkbase.</w:t>
            </w:r>
          </w:p>
        </w:tc>
      </w:tr>
    </w:tbl>
    <w:p>
      <w:pPr>
        <w:spacing w:after="0" w:line="4" w:lineRule="exact"/>
        <w:rPr>
          <w:sz w:val="20"/>
          <w:szCs w:val="20"/>
          <w:color w:val="auto"/>
        </w:rPr>
      </w:pPr>
    </w:p>
    <w:p>
      <w:pPr>
        <w:ind w:left="1040" w:right="420" w:hanging="1017"/>
        <w:spacing w:after="0" w:line="237" w:lineRule="auto"/>
        <w:tabs>
          <w:tab w:leader="none" w:pos="10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(the cover page interactive data file does not 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47"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6"/>
          <w:szCs w:val="16"/>
          <w:color w:val="auto"/>
        </w:rPr>
        <w:t>Incorporated herein by reference to Exhibit 4.2 to the Registrant's current report on Form 8-K filed on April 28, 2026.</w:t>
      </w:r>
    </w:p>
    <w:p>
      <w:pPr>
        <w:spacing w:after="0" w:line="4"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6"/>
          <w:szCs w:val="16"/>
          <w:color w:val="auto"/>
        </w:rPr>
        <w:t>Incorporated herein by reference to Exhibit 4.5 to the Registrant's current report on Form 8-K filed on April 28, 2026.</w:t>
      </w:r>
    </w:p>
    <w:p>
      <w:pPr>
        <w:spacing w:after="0" w:line="39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Incorporated herein by reference to Exhibit 10.1 to the Registrant's current report on Form 8-K filed on April 28, 2026.</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Furnished herewith.</w:t>
      </w:r>
    </w:p>
    <w:p>
      <w:pPr>
        <w:spacing w:after="0" w:line="27" w:lineRule="exact"/>
        <w:rPr>
          <w:sz w:val="20"/>
          <w:szCs w:val="20"/>
          <w:color w:val="auto"/>
        </w:rPr>
      </w:pPr>
    </w:p>
    <w:p>
      <w:pPr>
        <w:jc w:val="both"/>
        <w:ind w:right="320"/>
        <w:spacing w:after="0" w:line="243" w:lineRule="auto"/>
        <w:rPr>
          <w:sz w:val="20"/>
          <w:szCs w:val="20"/>
          <w:color w:val="auto"/>
        </w:rPr>
      </w:pPr>
      <w:r>
        <w:rPr>
          <w:rFonts w:ascii="Times New Roman" w:cs="Times New Roman" w:eastAsia="Times New Roman" w:hAnsi="Times New Roman"/>
          <w:sz w:val="15"/>
          <w:szCs w:val="15"/>
          <w:color w:val="auto"/>
        </w:rPr>
        <w:t>The instance document does not appear in the interactive data file because its XBRL tags are embedded within the inline XBRL document.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79" w:lineRule="exact"/>
        <w:rPr>
          <w:sz w:val="20"/>
          <w:szCs w:val="20"/>
          <w:color w:val="auto"/>
        </w:rPr>
      </w:pPr>
    </w:p>
    <w:p>
      <w:pPr>
        <w:sectPr>
          <w:pgSz w:w="11900" w:h="16838" w:orient="portrait"/>
          <w:cols w:equalWidth="0" w:num="2">
            <w:col w:w="7780" w:space="160"/>
            <w:col w:w="3260"/>
          </w:cols>
          <w:pgMar w:left="320" w:top="86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NRG ENERGY, INC.</w:t>
      </w: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260" w:lineRule="exact"/>
        <w:rPr>
          <w:sz w:val="20"/>
          <w:szCs w:val="20"/>
          <w:color w:val="auto"/>
        </w:rPr>
      </w:pPr>
    </w:p>
    <w:tbl>
      <w:tblPr>
        <w:tblLayout w:type="fixed"/>
        <w:tblInd w:w="5560" w:type="dxa"/>
        <w:tblCellMar>
          <w:top w:w="0" w:type="dxa"/>
          <w:left w:w="0" w:type="dxa"/>
          <w:bottom w:w="0" w:type="dxa"/>
          <w:right w:w="0" w:type="dxa"/>
        </w:tblCellMar>
      </w:tblPr>
      <w:tr>
        <w:trPr>
          <w:trHeight w:val="229"/>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J. GAUDETTE</w:t>
            </w:r>
          </w:p>
        </w:tc>
        <w:tc>
          <w:tcPr>
            <w:tcW w:w="2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Date: May 6, 2026</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J. Gaudette</w:t>
            </w:r>
          </w:p>
        </w:tc>
        <w:tc>
          <w:tcPr>
            <w:tcW w:w="2200" w:type="dxa"/>
            <w:vAlign w:val="bottom"/>
          </w:tcPr>
          <w:p>
            <w:pPr>
              <w:spacing w:after="0"/>
              <w:rPr>
                <w:sz w:val="18"/>
                <w:szCs w:val="18"/>
                <w:color w:val="auto"/>
              </w:rPr>
            </w:pPr>
          </w:p>
        </w:tc>
      </w:tr>
      <w:tr>
        <w:trPr>
          <w:trHeight w:val="178"/>
        </w:trPr>
        <w:tc>
          <w:tcPr>
            <w:tcW w:w="300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2200" w:type="dxa"/>
            <w:vAlign w:val="bottom"/>
          </w:tcPr>
          <w:p>
            <w:pPr>
              <w:spacing w:after="0"/>
              <w:rPr>
                <w:sz w:val="15"/>
                <w:szCs w:val="15"/>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00" w:type="dxa"/>
            <w:vAlign w:val="bottom"/>
          </w:tcPr>
          <w:p>
            <w:pPr>
              <w:spacing w:after="0"/>
              <w:rPr>
                <w:sz w:val="20"/>
                <w:szCs w:val="20"/>
                <w:color w:val="auto"/>
              </w:rPr>
            </w:pPr>
          </w:p>
        </w:tc>
      </w:tr>
      <w:tr>
        <w:trPr>
          <w:trHeight w:val="677"/>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WOO-SUNG CHUNG</w:t>
            </w:r>
          </w:p>
        </w:tc>
        <w:tc>
          <w:tcPr>
            <w:tcW w:w="2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Date: May 6, 2026</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Woo-Sung Chung</w:t>
            </w:r>
          </w:p>
        </w:tc>
        <w:tc>
          <w:tcPr>
            <w:tcW w:w="2200" w:type="dxa"/>
            <w:vAlign w:val="bottom"/>
          </w:tcPr>
          <w:p>
            <w:pPr>
              <w:spacing w:after="0"/>
              <w:rPr>
                <w:sz w:val="18"/>
                <w:szCs w:val="18"/>
                <w:color w:val="auto"/>
              </w:rPr>
            </w:pPr>
          </w:p>
        </w:tc>
      </w:tr>
      <w:tr>
        <w:trPr>
          <w:trHeight w:val="178"/>
        </w:trPr>
        <w:tc>
          <w:tcPr>
            <w:tcW w:w="300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200" w:type="dxa"/>
            <w:vAlign w:val="bottom"/>
          </w:tcPr>
          <w:p>
            <w:pPr>
              <w:spacing w:after="0"/>
              <w:rPr>
                <w:sz w:val="15"/>
                <w:szCs w:val="15"/>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2200" w:type="dxa"/>
            <w:vAlign w:val="bottom"/>
          </w:tcPr>
          <w:p>
            <w:pPr>
              <w:spacing w:after="0"/>
              <w:rPr>
                <w:sz w:val="20"/>
                <w:szCs w:val="20"/>
                <w:color w:val="auto"/>
              </w:rPr>
            </w:pPr>
          </w:p>
        </w:tc>
      </w:tr>
      <w:tr>
        <w:trPr>
          <w:trHeight w:val="677"/>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 ALFRED SPENCER</w:t>
            </w:r>
          </w:p>
        </w:tc>
        <w:tc>
          <w:tcPr>
            <w:tcW w:w="2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Date: May 6, 2026</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 Alfred Spencer</w:t>
            </w:r>
          </w:p>
        </w:tc>
        <w:tc>
          <w:tcPr>
            <w:tcW w:w="2200" w:type="dxa"/>
            <w:vAlign w:val="bottom"/>
          </w:tcPr>
          <w:p>
            <w:pPr>
              <w:spacing w:after="0"/>
              <w:rPr>
                <w:sz w:val="18"/>
                <w:szCs w:val="18"/>
                <w:color w:val="auto"/>
              </w:rPr>
            </w:pPr>
          </w:p>
        </w:tc>
      </w:tr>
      <w:tr>
        <w:trPr>
          <w:trHeight w:val="178"/>
        </w:trPr>
        <w:tc>
          <w:tcPr>
            <w:tcW w:w="300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i w:val="1"/>
                <w:iCs w:val="1"/>
                <w:color w:val="auto"/>
              </w:rPr>
              <w:t>Chief Accounting Officer</w:t>
            </w:r>
          </w:p>
        </w:tc>
        <w:tc>
          <w:tcPr>
            <w:tcW w:w="2200" w:type="dxa"/>
            <w:vAlign w:val="bottom"/>
          </w:tcPr>
          <w:p>
            <w:pPr>
              <w:spacing w:after="0"/>
              <w:rPr>
                <w:sz w:val="15"/>
                <w:szCs w:val="15"/>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22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869"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GUARANTOR SUBSIDIARIES</w:t>
      </w:r>
    </w:p>
    <w:p>
      <w:pPr>
        <w:spacing w:after="0" w:line="26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As of March 31, 2026, the following subsidiaries of NRG Energy, Inc. were guarantors of the Company's outstanding registered senior notes of $821 million of the 2028 Senior Notes: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60" w:type="dxa"/>
            <w:vAlign w:val="bottom"/>
            <w:gridSpan w:val="2"/>
          </w:tcPr>
          <w:p>
            <w:pPr>
              <w:ind w:left="20"/>
              <w:spacing w:after="0"/>
              <w:rPr>
                <w:sz w:val="20"/>
                <w:szCs w:val="20"/>
                <w:color w:val="auto"/>
              </w:rPr>
            </w:pPr>
            <w:r>
              <w:rPr>
                <w:rFonts w:ascii="Arial" w:cs="Arial" w:eastAsia="Arial" w:hAnsi="Arial"/>
                <w:sz w:val="18"/>
                <w:szCs w:val="18"/>
                <w:b w:val="1"/>
                <w:bCs w:val="1"/>
                <w:color w:val="auto"/>
              </w:rPr>
              <w:t>ENTITY NAME</w:t>
            </w:r>
          </w:p>
        </w:tc>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17"/>
        </w:trPr>
        <w:tc>
          <w:tcPr>
            <w:tcW w:w="8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Ace Energy, Inc.</w:t>
            </w:r>
          </w:p>
        </w:tc>
        <w:tc>
          <w:tcPr>
            <w:tcW w:w="1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New York</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Aev Projects LLC</w:t>
            </w:r>
          </w:p>
        </w:tc>
        <w:tc>
          <w:tcPr>
            <w:tcW w:w="25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Allied Home Warranty GP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Allied Warranty LLC</w:t>
            </w:r>
          </w:p>
        </w:tc>
        <w:tc>
          <w:tcPr>
            <w:tcW w:w="25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APX Group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Astoria Gas Turbine Power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AWHR America's Water Heater Rentals,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Bounce Energy, Inc.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Cabrillo Power I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Cabrillo Power II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CCS ACQUISITION HOLDCO,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Chamon Power LLC</w:t>
            </w:r>
          </w:p>
        </w:tc>
        <w:tc>
          <w:tcPr>
            <w:tcW w:w="25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Cirro Energy Services, Inc.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Cirro Group, Inc.</w:t>
            </w:r>
          </w:p>
        </w:tc>
        <w:tc>
          <w:tcPr>
            <w:tcW w:w="25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CPL Retail Energy L.P.</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Direct Energy Business,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Energy Connected Home US Inc.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Direct Energy GP,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Energy HoldCo GP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Direct Energy Leasing,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Energy Marketing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Direct Energy Operations,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Energy Services,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Direct Energy US Holdings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Energy, LP</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Dunkirk Power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Eastern Sierra Energy Company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California</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El Segundo Power II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 Segundo Power,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Energy Alternatives Wholesale,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 Choice Solutions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Energy Plus Holdings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 Plus Natural Gas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ENERWISE GLOBAL TECHNOLOGIES,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Everything Energy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First Choice Power, LLC</w:t>
            </w:r>
          </w:p>
        </w:tc>
        <w:tc>
          <w:tcPr>
            <w:tcW w:w="25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Forward Home Security, LLC</w:t>
            </w: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r>
    </w:tbl>
    <w:p>
      <w:pPr>
        <w:sectPr>
          <w:pgSz w:w="11900" w:h="16838" w:orient="portrait"/>
          <w:cols w:equalWidth="0" w:num="1">
            <w:col w:w="11240"/>
          </w:cols>
          <w:pgMar w:left="320" w:top="1382" w:right="3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80" w:type="dxa"/>
            <w:vAlign w:val="bottom"/>
          </w:tcPr>
          <w:p>
            <w:pPr>
              <w:ind w:left="20"/>
              <w:spacing w:after="0"/>
              <w:rPr>
                <w:sz w:val="20"/>
                <w:szCs w:val="20"/>
                <w:color w:val="auto"/>
              </w:rPr>
            </w:pPr>
            <w:r>
              <w:rPr>
                <w:rFonts w:ascii="Arial" w:cs="Arial" w:eastAsia="Arial" w:hAnsi="Arial"/>
                <w:sz w:val="18"/>
                <w:szCs w:val="18"/>
                <w:color w:val="auto"/>
              </w:rPr>
              <w:t>Gateway Energy Services Corporation</w:t>
            </w:r>
          </w:p>
        </w:tc>
        <w:tc>
          <w:tcPr>
            <w:tcW w:w="4960" w:type="dxa"/>
            <w:vAlign w:val="bottom"/>
          </w:tcPr>
          <w:p>
            <w:pPr>
              <w:ind w:left="2400"/>
              <w:spacing w:after="0"/>
              <w:rPr>
                <w:sz w:val="20"/>
                <w:szCs w:val="20"/>
                <w:color w:val="auto"/>
              </w:rPr>
            </w:pPr>
            <w:r>
              <w:rPr>
                <w:rFonts w:ascii="Arial" w:cs="Arial" w:eastAsia="Arial" w:hAnsi="Arial"/>
                <w:sz w:val="18"/>
                <w:szCs w:val="18"/>
                <w:color w:val="auto"/>
              </w:rPr>
              <w:t>New York</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GCP Funding Company,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Green Mountain Energy Company</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Warranty Holdings Corp.</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Huntley Power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Independence Energy Alliance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Independence Energy Group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Independence Energy Natural Gas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Indian River Operations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Indian River Power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JACK COUNTY POWER,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JOHNSON COUNTY POWER,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LINEBACKER POWER FUNDING,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Meriden Gas Turbines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NEO Corporation</w:t>
            </w:r>
          </w:p>
        </w:tc>
        <w:tc>
          <w:tcPr>
            <w:tcW w:w="4960" w:type="dxa"/>
            <w:vAlign w:val="bottom"/>
          </w:tcPr>
          <w:p>
            <w:pPr>
              <w:ind w:left="2400"/>
              <w:spacing w:after="0"/>
              <w:rPr>
                <w:sz w:val="20"/>
                <w:szCs w:val="20"/>
                <w:color w:val="auto"/>
              </w:rPr>
            </w:pPr>
            <w:r>
              <w:rPr>
                <w:rFonts w:ascii="Arial" w:cs="Arial" w:eastAsia="Arial" w:hAnsi="Arial"/>
                <w:sz w:val="18"/>
                <w:szCs w:val="18"/>
                <w:color w:val="auto"/>
              </w:rPr>
              <w:t>Minnesota</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Genco GP,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Norwalk Power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Affiliate Services Inc.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Arthur Kill Operations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Business Marketing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Cabrillo Power Operations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California Peaker Operations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Cedar Bayou Development Company,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Construction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Controllable Load Services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Curtailment Solutions, Inc.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New York</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Dispatch Services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Distributed Energy Resources Holdings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Distributed Generation PR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Dunkirk Operations Inc.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ECOKAP Holdings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El Segundo Operations Inc.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Energy Services Group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Energy Services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Generation Holdings Inc.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Home &amp; Business Solutions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Home Services LLC</w:t>
            </w:r>
          </w:p>
        </w:tc>
        <w:tc>
          <w:tcPr>
            <w:tcW w:w="4960" w:type="dxa"/>
            <w:vAlign w:val="bottom"/>
          </w:tcPr>
          <w:p>
            <w:pPr>
              <w:ind w:left="2400"/>
              <w:spacing w:after="0"/>
              <w:rPr>
                <w:sz w:val="20"/>
                <w:szCs w:val="20"/>
                <w:color w:val="auto"/>
              </w:rPr>
            </w:pPr>
            <w:r>
              <w:rPr>
                <w:rFonts w:ascii="Arial" w:cs="Arial" w:eastAsia="Arial" w:hAnsi="Arial"/>
                <w:sz w:val="18"/>
                <w:szCs w:val="18"/>
                <w:color w:val="auto"/>
              </w:rPr>
              <w:t>Texas</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Home Solutions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Home Solutions Product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Homer City Services LLC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tcPr>
          <w:p>
            <w:pPr>
              <w:ind w:left="20"/>
              <w:spacing w:after="0"/>
              <w:rPr>
                <w:sz w:val="20"/>
                <w:szCs w:val="20"/>
                <w:color w:val="auto"/>
              </w:rPr>
            </w:pPr>
            <w:r>
              <w:rPr>
                <w:rFonts w:ascii="Arial" w:cs="Arial" w:eastAsia="Arial" w:hAnsi="Arial"/>
                <w:sz w:val="18"/>
                <w:szCs w:val="18"/>
                <w:color w:val="auto"/>
              </w:rPr>
              <w:t>NRG HQ DG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Huntley Operations Inc.</w:t>
            </w:r>
          </w:p>
        </w:tc>
        <w:tc>
          <w:tcPr>
            <w:tcW w:w="49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Delaware</w:t>
            </w:r>
          </w:p>
        </w:tc>
      </w:tr>
      <w:tr>
        <w:trPr>
          <w:trHeight w:val="231"/>
        </w:trPr>
        <w:tc>
          <w:tcPr>
            <w:tcW w:w="6280" w:type="dxa"/>
            <w:vAlign w:val="bottom"/>
          </w:tcPr>
          <w:p>
            <w:pPr>
              <w:ind w:left="20"/>
              <w:spacing w:after="0"/>
              <w:rPr>
                <w:sz w:val="20"/>
                <w:szCs w:val="20"/>
                <w:color w:val="auto"/>
              </w:rPr>
            </w:pPr>
            <w:r>
              <w:rPr>
                <w:rFonts w:ascii="Arial" w:cs="Arial" w:eastAsia="Arial" w:hAnsi="Arial"/>
                <w:sz w:val="18"/>
                <w:szCs w:val="18"/>
                <w:color w:val="auto"/>
              </w:rPr>
              <w:t>NRG Identity Protect LLC</w:t>
            </w:r>
          </w:p>
        </w:tc>
        <w:tc>
          <w:tcPr>
            <w:tcW w:w="4960" w:type="dxa"/>
            <w:vAlign w:val="bottom"/>
          </w:tcPr>
          <w:p>
            <w:pPr>
              <w:ind w:left="240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425" w:right="3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International LLC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NRG Maintenance Services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Mextrans Inc.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NRG Norwalk Harbor Operations Inc.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Operating Services, Inc.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NRG Portable Power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Protects Inc. (IL)</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Illinois</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NRG Reliability Solutions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Retail LLC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NRG Rockford Acquisition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Saguaro Operations Inc.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NRG Security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SimplySmart Solutions LLC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NRG Texas Gregory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Texas Holding Inc.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NRG Texas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Texas Power LLC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NRG VPP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VPP Solutions LLC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NRG Warranty Services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NRG West Coast LLC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NRG Western Affiliate Services Inc.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Peaker Power Holdings, LLC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Texas</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Phoenix Power Holdings,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 Comfort Power LLC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Texas</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Redback Power LP,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Redback Power, LLC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Reliant Energy Northeast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Reliant Energy Power Supply, LLC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Reliant Energy Retail Holdings,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Reliant Energy Retail Services, LLC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RERH Holdings,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RSG Holding Corp.</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RW MILLER POWER,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Saguaro Power LLC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SGE Energy Sourcing,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SGE Texas Holdco, LLC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Texas</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SJRR Power Holdco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SJRR Power LLC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Texas</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Smart Home Pros, Inc.</w:t>
            </w:r>
          </w:p>
        </w:tc>
        <w:tc>
          <w:tcPr>
            <w:tcW w:w="5440" w:type="dxa"/>
            <w:vAlign w:val="bottom"/>
          </w:tcPr>
          <w:p>
            <w:pPr>
              <w:ind w:left="2880"/>
              <w:spacing w:after="0"/>
              <w:rPr>
                <w:sz w:val="20"/>
                <w:szCs w:val="20"/>
                <w:color w:val="auto"/>
              </w:rPr>
            </w:pPr>
            <w:r>
              <w:rPr>
                <w:rFonts w:ascii="Arial" w:cs="Arial" w:eastAsia="Arial" w:hAnsi="Arial"/>
                <w:sz w:val="18"/>
                <w:szCs w:val="18"/>
                <w:color w:val="auto"/>
              </w:rPr>
              <w:t>Utah</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Somerset Operations Inc.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tcPr>
          <w:p>
            <w:pPr>
              <w:ind w:left="20"/>
              <w:spacing w:after="0"/>
              <w:rPr>
                <w:sz w:val="20"/>
                <w:szCs w:val="20"/>
                <w:color w:val="auto"/>
              </w:rPr>
            </w:pPr>
            <w:r>
              <w:rPr>
                <w:rFonts w:ascii="Arial" w:cs="Arial" w:eastAsia="Arial" w:hAnsi="Arial"/>
                <w:sz w:val="18"/>
                <w:szCs w:val="18"/>
                <w:color w:val="auto"/>
              </w:rPr>
              <w:t>Somerset Power LLC</w:t>
            </w:r>
          </w:p>
        </w:tc>
        <w:tc>
          <w:tcPr>
            <w:tcW w:w="5440" w:type="dxa"/>
            <w:vAlign w:val="bottom"/>
          </w:tcPr>
          <w:p>
            <w:pPr>
              <w:ind w:left="2880"/>
              <w:spacing w:after="0"/>
              <w:rPr>
                <w:sz w:val="20"/>
                <w:szCs w:val="20"/>
                <w:color w:val="auto"/>
              </w:rPr>
            </w:pPr>
            <w:r>
              <w:rPr>
                <w:rFonts w:ascii="Arial" w:cs="Arial" w:eastAsia="Arial" w:hAnsi="Arial"/>
                <w:sz w:val="18"/>
                <w:szCs w:val="18"/>
                <w:color w:val="auto"/>
              </w:rPr>
              <w:t>Delaware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 Energy Columbia, LLC</w:t>
            </w:r>
          </w:p>
        </w:tc>
        <w:tc>
          <w:tcPr>
            <w:tcW w:w="54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429" w:right="3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80" w:type="dxa"/>
            <w:vAlign w:val="bottom"/>
          </w:tcPr>
          <w:p>
            <w:pPr>
              <w:ind w:left="20"/>
              <w:spacing w:after="0"/>
              <w:rPr>
                <w:sz w:val="20"/>
                <w:szCs w:val="20"/>
                <w:color w:val="auto"/>
              </w:rPr>
            </w:pPr>
            <w:r>
              <w:rPr>
                <w:rFonts w:ascii="Arial" w:cs="Arial" w:eastAsia="Arial" w:hAnsi="Arial"/>
                <w:sz w:val="18"/>
                <w:szCs w:val="18"/>
                <w:color w:val="auto"/>
              </w:rPr>
              <w:t>Stream Energy Delaware,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 Energy Illinois,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Stream Energy Maryland,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 Energy New Jersey,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Stream Energy New York,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 Energy Pennsylvania,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Stream Georgia Gas SPE, LLC</w:t>
            </w:r>
          </w:p>
        </w:tc>
        <w:tc>
          <w:tcPr>
            <w:tcW w:w="5260" w:type="dxa"/>
            <w:vAlign w:val="bottom"/>
          </w:tcPr>
          <w:p>
            <w:pPr>
              <w:ind w:left="2700"/>
              <w:spacing w:after="0"/>
              <w:rPr>
                <w:sz w:val="20"/>
                <w:szCs w:val="20"/>
                <w:color w:val="auto"/>
              </w:rPr>
            </w:pPr>
            <w:r>
              <w:rPr>
                <w:rFonts w:ascii="Arial" w:cs="Arial" w:eastAsia="Arial" w:hAnsi="Arial"/>
                <w:sz w:val="18"/>
                <w:szCs w:val="18"/>
                <w:color w:val="auto"/>
              </w:rPr>
              <w:t>Georgia</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 Ohio Gas &amp; Electric,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Ohio</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Stream SPE GP, LLC</w:t>
            </w:r>
          </w:p>
        </w:tc>
        <w:tc>
          <w:tcPr>
            <w:tcW w:w="5260" w:type="dxa"/>
            <w:vAlign w:val="bottom"/>
          </w:tcPr>
          <w:p>
            <w:pPr>
              <w:ind w:left="2700"/>
              <w:spacing w:after="0"/>
              <w:rPr>
                <w:sz w:val="20"/>
                <w:szCs w:val="20"/>
                <w:color w:val="auto"/>
              </w:rPr>
            </w:pPr>
            <w:r>
              <w:rPr>
                <w:rFonts w:ascii="Arial" w:cs="Arial" w:eastAsia="Arial" w:hAnsi="Arial"/>
                <w:sz w:val="18"/>
                <w:szCs w:val="18"/>
                <w:color w:val="auto"/>
              </w:rPr>
              <w:t>Texas</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 SPE, Ltd.</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Texas</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Texas Genco GP, LLC</w:t>
            </w:r>
          </w:p>
        </w:tc>
        <w:tc>
          <w:tcPr>
            <w:tcW w:w="5260" w:type="dxa"/>
            <w:vAlign w:val="bottom"/>
          </w:tcPr>
          <w:p>
            <w:pPr>
              <w:ind w:left="2700"/>
              <w:spacing w:after="0"/>
              <w:rPr>
                <w:sz w:val="20"/>
                <w:szCs w:val="20"/>
                <w:color w:val="auto"/>
              </w:rPr>
            </w:pPr>
            <w:r>
              <w:rPr>
                <w:rFonts w:ascii="Arial" w:cs="Arial" w:eastAsia="Arial" w:hAnsi="Arial"/>
                <w:sz w:val="18"/>
                <w:szCs w:val="18"/>
                <w:color w:val="auto"/>
              </w:rPr>
              <w:t>Texas</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 Genco Holdings, Inc.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Texas</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Texas Genco LP,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 Genco Services, LP</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Texas</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Texas Peaker Power,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Retailers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Victoria Port Power II Holdco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Victoria Port Power II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Texas</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Victoria WLE, LP</w:t>
            </w:r>
          </w:p>
        </w:tc>
        <w:tc>
          <w:tcPr>
            <w:tcW w:w="5260" w:type="dxa"/>
            <w:vAlign w:val="bottom"/>
          </w:tcPr>
          <w:p>
            <w:pPr>
              <w:ind w:left="2700"/>
              <w:spacing w:after="0"/>
              <w:rPr>
                <w:sz w:val="20"/>
                <w:szCs w:val="20"/>
                <w:color w:val="auto"/>
              </w:rPr>
            </w:pPr>
            <w:r>
              <w:rPr>
                <w:rFonts w:ascii="Arial" w:cs="Arial" w:eastAsia="Arial" w:hAnsi="Arial"/>
                <w:sz w:val="18"/>
                <w:szCs w:val="18"/>
                <w:color w:val="auto"/>
              </w:rPr>
              <w:t>Texas</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Vienna Operations Inc.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Vienna Power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Vivint Amigo, Inc.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Vivint Group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Vivint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Utah</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Vivint Louisiana LLC</w:t>
            </w:r>
          </w:p>
        </w:tc>
        <w:tc>
          <w:tcPr>
            <w:tcW w:w="5260" w:type="dxa"/>
            <w:vAlign w:val="bottom"/>
          </w:tcPr>
          <w:p>
            <w:pPr>
              <w:ind w:left="2700"/>
              <w:spacing w:after="0"/>
              <w:rPr>
                <w:sz w:val="20"/>
                <w:szCs w:val="20"/>
                <w:color w:val="auto"/>
              </w:rPr>
            </w:pPr>
            <w:r>
              <w:rPr>
                <w:rFonts w:ascii="Arial" w:cs="Arial" w:eastAsia="Arial" w:hAnsi="Arial"/>
                <w:sz w:val="18"/>
                <w:szCs w:val="18"/>
                <w:color w:val="auto"/>
              </w:rPr>
              <w:t>Louisiana</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Vivint Purchasing,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Utah</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Vivint Smart Home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Vivint VI Holdings,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Vivint Warranty and Home Insurance,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WCP (Generation) Holdings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West Coast Power LLC</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Wharton County Generation,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Texas</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WTU Retail Energy L.P.</w:t>
            </w:r>
          </w:p>
        </w:tc>
        <w:tc>
          <w:tcPr>
            <w:tcW w:w="5260" w:type="dxa"/>
            <w:vAlign w:val="bottom"/>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California,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California</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XOOM Energy Connecticut, LLC</w:t>
            </w:r>
          </w:p>
        </w:tc>
        <w:tc>
          <w:tcPr>
            <w:tcW w:w="5260" w:type="dxa"/>
            <w:vAlign w:val="bottom"/>
          </w:tcPr>
          <w:p>
            <w:pPr>
              <w:ind w:left="2700"/>
              <w:spacing w:after="0"/>
              <w:rPr>
                <w:sz w:val="20"/>
                <w:szCs w:val="20"/>
                <w:color w:val="auto"/>
              </w:rPr>
            </w:pPr>
            <w:r>
              <w:rPr>
                <w:rFonts w:ascii="Arial" w:cs="Arial" w:eastAsia="Arial" w:hAnsi="Arial"/>
                <w:sz w:val="18"/>
                <w:szCs w:val="18"/>
                <w:color w:val="auto"/>
              </w:rPr>
              <w:t>Connecticut</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Delaware,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XOOM Energy Georgia, LLC</w:t>
            </w:r>
          </w:p>
        </w:tc>
        <w:tc>
          <w:tcPr>
            <w:tcW w:w="5260" w:type="dxa"/>
            <w:vAlign w:val="bottom"/>
          </w:tcPr>
          <w:p>
            <w:pPr>
              <w:ind w:left="2700"/>
              <w:spacing w:after="0"/>
              <w:rPr>
                <w:sz w:val="20"/>
                <w:szCs w:val="20"/>
                <w:color w:val="auto"/>
              </w:rPr>
            </w:pPr>
            <w:r>
              <w:rPr>
                <w:rFonts w:ascii="Arial" w:cs="Arial" w:eastAsia="Arial" w:hAnsi="Arial"/>
                <w:sz w:val="18"/>
                <w:szCs w:val="18"/>
                <w:color w:val="auto"/>
              </w:rPr>
              <w:t>Georgia</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Global Holdings,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Delaware</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XOOM Energy Illinois LLC</w:t>
            </w:r>
          </w:p>
        </w:tc>
        <w:tc>
          <w:tcPr>
            <w:tcW w:w="5260" w:type="dxa"/>
            <w:vAlign w:val="bottom"/>
          </w:tcPr>
          <w:p>
            <w:pPr>
              <w:ind w:left="2700"/>
              <w:spacing w:after="0"/>
              <w:rPr>
                <w:sz w:val="20"/>
                <w:szCs w:val="20"/>
                <w:color w:val="auto"/>
              </w:rPr>
            </w:pPr>
            <w:r>
              <w:rPr>
                <w:rFonts w:ascii="Arial" w:cs="Arial" w:eastAsia="Arial" w:hAnsi="Arial"/>
                <w:sz w:val="18"/>
                <w:szCs w:val="18"/>
                <w:color w:val="auto"/>
              </w:rPr>
              <w:t>Illinois</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Indiana,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Indiana</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XOOM Energy Kentucky, LLC</w:t>
            </w:r>
          </w:p>
        </w:tc>
        <w:tc>
          <w:tcPr>
            <w:tcW w:w="5260" w:type="dxa"/>
            <w:vAlign w:val="bottom"/>
          </w:tcPr>
          <w:p>
            <w:pPr>
              <w:ind w:left="2700"/>
              <w:spacing w:after="0"/>
              <w:rPr>
                <w:sz w:val="20"/>
                <w:szCs w:val="20"/>
                <w:color w:val="auto"/>
              </w:rPr>
            </w:pPr>
            <w:r>
              <w:rPr>
                <w:rFonts w:ascii="Arial" w:cs="Arial" w:eastAsia="Arial" w:hAnsi="Arial"/>
                <w:sz w:val="18"/>
                <w:szCs w:val="18"/>
                <w:color w:val="auto"/>
              </w:rPr>
              <w:t>Kentucky</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Maine, LLC</w:t>
            </w:r>
          </w:p>
        </w:tc>
        <w:tc>
          <w:tcPr>
            <w:tcW w:w="526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Maine</w:t>
            </w:r>
          </w:p>
        </w:tc>
      </w:tr>
      <w:tr>
        <w:trPr>
          <w:trHeight w:val="231"/>
        </w:trPr>
        <w:tc>
          <w:tcPr>
            <w:tcW w:w="5980" w:type="dxa"/>
            <w:vAlign w:val="bottom"/>
          </w:tcPr>
          <w:p>
            <w:pPr>
              <w:ind w:left="20"/>
              <w:spacing w:after="0"/>
              <w:rPr>
                <w:sz w:val="20"/>
                <w:szCs w:val="20"/>
                <w:color w:val="auto"/>
              </w:rPr>
            </w:pPr>
            <w:r>
              <w:rPr>
                <w:rFonts w:ascii="Arial" w:cs="Arial" w:eastAsia="Arial" w:hAnsi="Arial"/>
                <w:sz w:val="18"/>
                <w:szCs w:val="18"/>
                <w:color w:val="auto"/>
              </w:rPr>
              <w:t>XOOM Energy Maryland, LLC</w:t>
            </w:r>
          </w:p>
        </w:tc>
        <w:tc>
          <w:tcPr>
            <w:tcW w:w="5260" w:type="dxa"/>
            <w:vAlign w:val="bottom"/>
          </w:tcPr>
          <w:p>
            <w:pPr>
              <w:ind w:left="2700"/>
              <w:spacing w:after="0"/>
              <w:rPr>
                <w:sz w:val="20"/>
                <w:szCs w:val="20"/>
                <w:color w:val="auto"/>
              </w:rPr>
            </w:pPr>
            <w:r>
              <w:rPr>
                <w:rFonts w:ascii="Arial" w:cs="Arial" w:eastAsia="Arial" w:hAnsi="Arial"/>
                <w:sz w:val="18"/>
                <w:szCs w:val="18"/>
                <w:color w:val="auto"/>
              </w:rPr>
              <w:t>Maryland</w:t>
            </w:r>
          </w:p>
        </w:tc>
      </w:tr>
    </w:tbl>
    <w:p>
      <w:pPr>
        <w:sectPr>
          <w:pgSz w:w="11900" w:h="16838" w:orient="portrait"/>
          <w:cols w:equalWidth="0" w:num="1">
            <w:col w:w="11240"/>
          </w:cols>
          <w:pgMar w:left="320" w:top="1425"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Massachusetts,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Massachusetts</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XOOM Energy Michigan, LLC</w:t>
            </w:r>
          </w:p>
        </w:tc>
        <w:tc>
          <w:tcPr>
            <w:tcW w:w="5420" w:type="dxa"/>
            <w:vAlign w:val="bottom"/>
          </w:tcPr>
          <w:p>
            <w:pPr>
              <w:ind w:left="2860"/>
              <w:spacing w:after="0"/>
              <w:rPr>
                <w:sz w:val="20"/>
                <w:szCs w:val="20"/>
                <w:color w:val="auto"/>
              </w:rPr>
            </w:pPr>
            <w:r>
              <w:rPr>
                <w:rFonts w:ascii="Arial" w:cs="Arial" w:eastAsia="Arial" w:hAnsi="Arial"/>
                <w:sz w:val="18"/>
                <w:szCs w:val="18"/>
                <w:color w:val="auto"/>
              </w:rPr>
              <w:t>Michigan</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New Hampshire,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New Hampshire</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XOOM Energy New Jersey, LLC</w:t>
            </w:r>
          </w:p>
        </w:tc>
        <w:tc>
          <w:tcPr>
            <w:tcW w:w="5420" w:type="dxa"/>
            <w:vAlign w:val="bottom"/>
          </w:tcPr>
          <w:p>
            <w:pPr>
              <w:ind w:left="2860"/>
              <w:spacing w:after="0"/>
              <w:rPr>
                <w:sz w:val="20"/>
                <w:szCs w:val="20"/>
                <w:color w:val="auto"/>
              </w:rPr>
            </w:pPr>
            <w:r>
              <w:rPr>
                <w:rFonts w:ascii="Arial" w:cs="Arial" w:eastAsia="Arial" w:hAnsi="Arial"/>
                <w:sz w:val="18"/>
                <w:szCs w:val="18"/>
                <w:color w:val="auto"/>
              </w:rPr>
              <w:t>New Jersey</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New York,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New York</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XOOM Energy Ohio, LLC</w:t>
            </w:r>
          </w:p>
        </w:tc>
        <w:tc>
          <w:tcPr>
            <w:tcW w:w="5420" w:type="dxa"/>
            <w:vAlign w:val="bottom"/>
          </w:tcPr>
          <w:p>
            <w:pPr>
              <w:ind w:left="2860"/>
              <w:spacing w:after="0"/>
              <w:rPr>
                <w:sz w:val="20"/>
                <w:szCs w:val="20"/>
                <w:color w:val="auto"/>
              </w:rPr>
            </w:pPr>
            <w:r>
              <w:rPr>
                <w:rFonts w:ascii="Arial" w:cs="Arial" w:eastAsia="Arial" w:hAnsi="Arial"/>
                <w:sz w:val="18"/>
                <w:szCs w:val="18"/>
                <w:color w:val="auto"/>
              </w:rPr>
              <w:t>Ohio</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Pennsylvania,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Pennsylvania</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XOOM Energy Rhode Island, LLC</w:t>
            </w:r>
          </w:p>
        </w:tc>
        <w:tc>
          <w:tcPr>
            <w:tcW w:w="5420" w:type="dxa"/>
            <w:vAlign w:val="bottom"/>
          </w:tcPr>
          <w:p>
            <w:pPr>
              <w:ind w:left="2860"/>
              <w:spacing w:after="0"/>
              <w:rPr>
                <w:sz w:val="20"/>
                <w:szCs w:val="20"/>
                <w:color w:val="auto"/>
              </w:rPr>
            </w:pPr>
            <w:r>
              <w:rPr>
                <w:rFonts w:ascii="Arial" w:cs="Arial" w:eastAsia="Arial" w:hAnsi="Arial"/>
                <w:sz w:val="18"/>
                <w:szCs w:val="18"/>
                <w:color w:val="auto"/>
              </w:rPr>
              <w:t>Rhode Island</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Texas,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Texas</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XOOM Energy Virginia, LLC</w:t>
            </w:r>
          </w:p>
        </w:tc>
        <w:tc>
          <w:tcPr>
            <w:tcW w:w="5420" w:type="dxa"/>
            <w:vAlign w:val="bottom"/>
          </w:tcPr>
          <w:p>
            <w:pPr>
              <w:ind w:left="2860"/>
              <w:spacing w:after="0"/>
              <w:rPr>
                <w:sz w:val="20"/>
                <w:szCs w:val="20"/>
                <w:color w:val="auto"/>
              </w:rPr>
            </w:pPr>
            <w:r>
              <w:rPr>
                <w:rFonts w:ascii="Arial" w:cs="Arial" w:eastAsia="Arial" w:hAnsi="Arial"/>
                <w:sz w:val="18"/>
                <w:szCs w:val="18"/>
                <w:color w:val="auto"/>
              </w:rPr>
              <w:t>Virginia</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Energy Washington D.C.,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District of Columbia</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XOOM Energy, LLC</w:t>
            </w:r>
          </w:p>
        </w:tc>
        <w:tc>
          <w:tcPr>
            <w:tcW w:w="542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XOOM Solar, LLC</w:t>
            </w:r>
          </w:p>
        </w:tc>
        <w:tc>
          <w:tcPr>
            <w:tcW w:w="54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429"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Gaudette, certify that:</w:t>
      </w:r>
    </w:p>
    <w:p>
      <w:pPr>
        <w:spacing w:after="0" w:line="333" w:lineRule="exact"/>
        <w:rPr>
          <w:sz w:val="20"/>
          <w:szCs w:val="20"/>
          <w:color w:val="auto"/>
        </w:rPr>
      </w:pPr>
    </w:p>
    <w:p>
      <w:pPr>
        <w:ind w:left="640" w:hanging="635"/>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NRG Energy, Inc.;</w:t>
      </w:r>
    </w:p>
    <w:p>
      <w:pPr>
        <w:spacing w:after="0" w:line="214" w:lineRule="exact"/>
        <w:rPr>
          <w:rFonts w:ascii="Times New Roman" w:cs="Times New Roman" w:eastAsia="Times New Roman" w:hAnsi="Times New Roman"/>
          <w:sz w:val="18"/>
          <w:szCs w:val="18"/>
          <w:color w:val="auto"/>
        </w:rPr>
      </w:pPr>
    </w:p>
    <w:p>
      <w:pPr>
        <w:jc w:val="both"/>
        <w:ind w:left="640" w:right="400" w:hanging="635"/>
        <w:spacing w:after="0" w:line="256"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left="640" w:right="360" w:hanging="635"/>
        <w:spacing w:after="0" w:line="268"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ind w:left="640" w:right="400" w:hanging="635"/>
        <w:spacing w:after="0" w:line="256"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ind w:left="1260" w:right="20" w:hanging="623"/>
        <w:spacing w:after="0" w:line="256" w:lineRule="auto"/>
        <w:tabs>
          <w:tab w:leader="none" w:pos="125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60" w:right="320" w:hanging="623"/>
        <w:spacing w:after="0" w:line="256" w:lineRule="auto"/>
        <w:tabs>
          <w:tab w:leader="none" w:pos="125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260" w:right="500" w:hanging="623"/>
        <w:spacing w:after="0" w:line="332" w:lineRule="auto"/>
        <w:tabs>
          <w:tab w:leader="none" w:pos="1257"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6"/>
          <w:szCs w:val="16"/>
          <w:color w:val="auto"/>
        </w:rPr>
      </w:pPr>
    </w:p>
    <w:p>
      <w:pPr>
        <w:ind w:left="1260" w:right="60" w:hanging="623"/>
        <w:spacing w:after="0" w:line="256" w:lineRule="auto"/>
        <w:tabs>
          <w:tab w:leader="none" w:pos="125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40" w:right="240" w:hanging="635"/>
        <w:spacing w:after="0" w:line="268"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260" w:right="740" w:hanging="623"/>
        <w:spacing w:after="0" w:line="332" w:lineRule="auto"/>
        <w:tabs>
          <w:tab w:leader="none" w:pos="1257"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6"/>
          <w:szCs w:val="16"/>
          <w:color w:val="auto"/>
        </w:rPr>
      </w:pPr>
    </w:p>
    <w:p>
      <w:pPr>
        <w:ind w:left="1260" w:right="440" w:hanging="623"/>
        <w:spacing w:after="0" w:line="268" w:lineRule="auto"/>
        <w:tabs>
          <w:tab w:leader="none" w:pos="125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 ROBERT J. GAUDETTE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13970</wp:posOffset>
            </wp:positionV>
            <wp:extent cx="17799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1779905" cy="8255"/>
                    </a:xfrm>
                    <a:prstGeom prst="rect">
                      <a:avLst/>
                    </a:prstGeom>
                    <a:noFill/>
                  </pic:spPr>
                </pic:pic>
              </a:graphicData>
            </a:graphic>
          </wp:anchor>
        </w:drawing>
      </w:r>
    </w:p>
    <w:p>
      <w:pPr>
        <w:ind w:left="2020"/>
        <w:spacing w:after="0"/>
        <w:rPr>
          <w:sz w:val="20"/>
          <w:szCs w:val="20"/>
          <w:color w:val="auto"/>
        </w:rPr>
      </w:pPr>
      <w:r>
        <w:rPr>
          <w:rFonts w:ascii="Times New Roman" w:cs="Times New Roman" w:eastAsia="Times New Roman" w:hAnsi="Times New Roman"/>
          <w:sz w:val="18"/>
          <w:szCs w:val="18"/>
          <w:color w:val="auto"/>
        </w:rPr>
        <w:t>Robert J. Gaudette</w:t>
      </w:r>
    </w:p>
    <w:p>
      <w:pPr>
        <w:ind w:left="1340"/>
        <w:spacing w:after="0" w:line="198"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1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ectPr>
          <w:pgSz w:w="11900" w:h="16838" w:orient="portrait"/>
          <w:cols w:equalWidth="0" w:num="1">
            <w:col w:w="11240"/>
          </w:cols>
          <w:pgMar w:left="320" w:top="96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Woo-Sung Chung, certify that:</w:t>
      </w:r>
    </w:p>
    <w:p>
      <w:pPr>
        <w:spacing w:after="0" w:line="333" w:lineRule="exact"/>
        <w:rPr>
          <w:sz w:val="20"/>
          <w:szCs w:val="20"/>
          <w:color w:val="auto"/>
        </w:rPr>
      </w:pPr>
    </w:p>
    <w:p>
      <w:pPr>
        <w:ind w:left="640" w:hanging="635"/>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NRG Energy, Inc.;</w:t>
      </w:r>
    </w:p>
    <w:p>
      <w:pPr>
        <w:spacing w:after="0" w:line="214" w:lineRule="exact"/>
        <w:rPr>
          <w:rFonts w:ascii="Times New Roman" w:cs="Times New Roman" w:eastAsia="Times New Roman" w:hAnsi="Times New Roman"/>
          <w:sz w:val="18"/>
          <w:szCs w:val="18"/>
          <w:color w:val="auto"/>
        </w:rPr>
      </w:pPr>
    </w:p>
    <w:p>
      <w:pPr>
        <w:jc w:val="both"/>
        <w:ind w:left="640" w:right="400" w:hanging="635"/>
        <w:spacing w:after="0" w:line="256"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left="640" w:right="360" w:hanging="635"/>
        <w:spacing w:after="0" w:line="268"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ind w:left="640" w:right="400" w:hanging="635"/>
        <w:spacing w:after="0" w:line="256"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ind w:left="1260" w:right="20" w:hanging="623"/>
        <w:spacing w:after="0" w:line="256" w:lineRule="auto"/>
        <w:tabs>
          <w:tab w:leader="none" w:pos="125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60" w:right="320" w:hanging="623"/>
        <w:spacing w:after="0" w:line="256" w:lineRule="auto"/>
        <w:tabs>
          <w:tab w:leader="none" w:pos="12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260" w:right="500" w:hanging="623"/>
        <w:spacing w:after="0" w:line="332" w:lineRule="auto"/>
        <w:tabs>
          <w:tab w:leader="none" w:pos="1257"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6"/>
          <w:szCs w:val="16"/>
          <w:color w:val="auto"/>
        </w:rPr>
      </w:pPr>
    </w:p>
    <w:p>
      <w:pPr>
        <w:ind w:left="1260" w:right="60" w:hanging="623"/>
        <w:spacing w:after="0" w:line="256" w:lineRule="auto"/>
        <w:tabs>
          <w:tab w:leader="none" w:pos="12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40" w:right="240" w:hanging="635"/>
        <w:spacing w:after="0" w:line="268"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260" w:right="740" w:hanging="623"/>
        <w:spacing w:after="0" w:line="332" w:lineRule="auto"/>
        <w:tabs>
          <w:tab w:leader="none" w:pos="1257"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6"/>
          <w:szCs w:val="16"/>
          <w:color w:val="auto"/>
        </w:rPr>
      </w:pPr>
    </w:p>
    <w:p>
      <w:pPr>
        <w:ind w:left="1260" w:hanging="623"/>
        <w:spacing w:after="0"/>
        <w:tabs>
          <w:tab w:leader="none" w:pos="12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w:t>
      </w:r>
    </w:p>
    <w:p>
      <w:pPr>
        <w:spacing w:after="0" w:line="4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/s/ WOO-SUNG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13970</wp:posOffset>
            </wp:positionV>
            <wp:extent cx="34010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3401060" cy="8255"/>
                    </a:xfrm>
                    <a:prstGeom prst="rect">
                      <a:avLst/>
                    </a:prstGeom>
                    <a:noFill/>
                  </pic:spPr>
                </pic:pic>
              </a:graphicData>
            </a:graphic>
          </wp:anchor>
        </w:drawing>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Woo-Sung Chung</w:t>
      </w:r>
    </w:p>
    <w:p>
      <w:pPr>
        <w:spacing w:after="0" w:line="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ind w:left="1260"/>
        <w:spacing w:after="0"/>
        <w:rPr>
          <w:sz w:val="20"/>
          <w:szCs w:val="20"/>
          <w:color w:val="auto"/>
        </w:rPr>
      </w:pPr>
      <w:r>
        <w:rPr>
          <w:rFonts w:ascii="Times New Roman" w:cs="Times New Roman" w:eastAsia="Times New Roman" w:hAnsi="Times New Roman"/>
          <w:sz w:val="18"/>
          <w:szCs w:val="18"/>
          <w:color w:val="auto"/>
        </w:rPr>
        <w:t xml:space="preserve">control over financial reporting. </w:t>
      </w:r>
      <w:r>
        <w:rPr>
          <w:rFonts w:ascii="Times New Roman" w:cs="Times New Roman" w:eastAsia="Times New Roman" w:hAnsi="Times New Roman"/>
          <w:sz w:val="35"/>
          <w:szCs w:val="35"/>
          <w:i w:val="1"/>
          <w:iCs w:val="1"/>
          <w:color w:val="auto"/>
          <w:vertAlign w:val="superscript"/>
        </w:rPr>
        <w:t>(Principal Financial Officer)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ectPr>
          <w:pgSz w:w="11900" w:h="16838" w:orient="portrait"/>
          <w:cols w:equalWidth="0" w:num="1">
            <w:col w:w="11240"/>
          </w:cols>
          <w:pgMar w:left="320" w:top="96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Alfred Spencer, certify that:</w:t>
      </w:r>
    </w:p>
    <w:p>
      <w:pPr>
        <w:spacing w:after="0" w:line="319" w:lineRule="exact"/>
        <w:rPr>
          <w:sz w:val="20"/>
          <w:szCs w:val="20"/>
          <w:color w:val="auto"/>
        </w:rPr>
      </w:pPr>
    </w:p>
    <w:p>
      <w:pPr>
        <w:ind w:left="640" w:hanging="635"/>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NRG Energy, Inc.;</w:t>
      </w:r>
    </w:p>
    <w:p>
      <w:pPr>
        <w:spacing w:after="0" w:line="214" w:lineRule="exact"/>
        <w:rPr>
          <w:rFonts w:ascii="Times New Roman" w:cs="Times New Roman" w:eastAsia="Times New Roman" w:hAnsi="Times New Roman"/>
          <w:sz w:val="18"/>
          <w:szCs w:val="18"/>
          <w:color w:val="auto"/>
        </w:rPr>
      </w:pPr>
    </w:p>
    <w:p>
      <w:pPr>
        <w:jc w:val="both"/>
        <w:ind w:left="640" w:right="400" w:hanging="635"/>
        <w:spacing w:after="0" w:line="256"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left="640" w:right="360" w:hanging="635"/>
        <w:spacing w:after="0" w:line="268"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ind w:left="640" w:right="400" w:hanging="635"/>
        <w:spacing w:after="0" w:line="256"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ind w:left="1260" w:right="20" w:hanging="623"/>
        <w:spacing w:after="0" w:line="256" w:lineRule="auto"/>
        <w:tabs>
          <w:tab w:leader="none" w:pos="12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60" w:right="320" w:hanging="623"/>
        <w:spacing w:after="0" w:line="256" w:lineRule="auto"/>
        <w:tabs>
          <w:tab w:leader="none" w:pos="12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260" w:right="500" w:hanging="623"/>
        <w:spacing w:after="0" w:line="332" w:lineRule="auto"/>
        <w:tabs>
          <w:tab w:leader="none" w:pos="1257"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6"/>
          <w:szCs w:val="16"/>
          <w:color w:val="auto"/>
        </w:rPr>
      </w:pPr>
    </w:p>
    <w:p>
      <w:pPr>
        <w:ind w:left="1260" w:right="60" w:hanging="623"/>
        <w:spacing w:after="0" w:line="256" w:lineRule="auto"/>
        <w:tabs>
          <w:tab w:leader="none" w:pos="12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40" w:right="240" w:hanging="635"/>
        <w:spacing w:after="0" w:line="268"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260" w:right="740" w:hanging="623"/>
        <w:spacing w:after="0" w:line="332" w:lineRule="auto"/>
        <w:tabs>
          <w:tab w:leader="none" w:pos="1257"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6"/>
          <w:szCs w:val="16"/>
          <w:color w:val="auto"/>
        </w:rPr>
      </w:pPr>
    </w:p>
    <w:p>
      <w:pPr>
        <w:ind w:left="1260" w:right="440" w:hanging="623"/>
        <w:spacing w:after="0" w:line="268" w:lineRule="auto"/>
        <w:tabs>
          <w:tab w:leader="none" w:pos="12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/s/ G. ALFRED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13970</wp:posOffset>
            </wp:positionV>
            <wp:extent cx="15957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1595755" cy="8255"/>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G. Alfred Spencer</w:t>
      </w:r>
    </w:p>
    <w:p>
      <w:pPr>
        <w:jc w:val="center"/>
        <w:ind w:right="6200"/>
        <w:spacing w:after="0" w:line="198" w:lineRule="auto"/>
        <w:rPr>
          <w:sz w:val="20"/>
          <w:szCs w:val="20"/>
          <w:color w:val="auto"/>
        </w:rPr>
      </w:pPr>
      <w:r>
        <w:rPr>
          <w:rFonts w:ascii="Times New Roman" w:cs="Times New Roman" w:eastAsia="Times New Roman" w:hAnsi="Times New Roman"/>
          <w:sz w:val="18"/>
          <w:szCs w:val="18"/>
          <w:i w:val="1"/>
          <w:iCs w:val="1"/>
          <w:color w:val="auto"/>
        </w:rPr>
        <w:t>Chief Accounting Officer</w:t>
      </w:r>
    </w:p>
    <w:p>
      <w:pPr>
        <w:jc w:val="center"/>
        <w:ind w:right="62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ectPr>
          <w:pgSz w:w="11900" w:h="16838" w:orient="portrait"/>
          <w:cols w:equalWidth="0" w:num="1">
            <w:col w:w="11240"/>
          </w:cols>
          <w:pgMar w:left="320" w:top="869"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3"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NRG Energy, Inc. on Form 10-Q for the quarter ended March 31, 2026,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22" w:lineRule="exact"/>
        <w:rPr>
          <w:sz w:val="20"/>
          <w:szCs w:val="20"/>
          <w:color w:val="auto"/>
        </w:rPr>
      </w:pPr>
    </w:p>
    <w:p>
      <w:pPr>
        <w:ind w:left="640" w:hanging="319"/>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56" w:lineRule="exact"/>
        <w:rPr>
          <w:rFonts w:ascii="Times New Roman" w:cs="Times New Roman" w:eastAsia="Times New Roman" w:hAnsi="Times New Roman"/>
          <w:sz w:val="18"/>
          <w:szCs w:val="18"/>
          <w:color w:val="auto"/>
        </w:rPr>
      </w:pPr>
    </w:p>
    <w:p>
      <w:pPr>
        <w:ind w:left="640" w:right="160" w:hanging="319"/>
        <w:spacing w:after="0" w:line="268" w:lineRule="auto"/>
        <w:tabs>
          <w:tab w:leader="none" w:pos="63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96" w:lineRule="exact"/>
        <w:rPr>
          <w:sz w:val="20"/>
          <w:szCs w:val="20"/>
          <w:color w:val="auto"/>
        </w:rPr>
      </w:pPr>
    </w:p>
    <w:tbl>
      <w:tblPr>
        <w:tblLayout w:type="fixed"/>
        <w:tblInd w:w="5420" w:type="dxa"/>
        <w:tblCellMar>
          <w:top w:w="0" w:type="dxa"/>
          <w:left w:w="0" w:type="dxa"/>
          <w:bottom w:w="0" w:type="dxa"/>
          <w:right w:w="0" w:type="dxa"/>
        </w:tblCellMar>
      </w:tblPr>
      <w:tr>
        <w:trPr>
          <w:trHeight w:val="229"/>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J. GAUDETTE</w:t>
            </w:r>
          </w:p>
        </w:tc>
        <w:tc>
          <w:tcPr>
            <w:tcW w:w="25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Date: May 6, 2026</w:t>
            </w: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J. Gaudette</w:t>
            </w:r>
          </w:p>
        </w:tc>
        <w:tc>
          <w:tcPr>
            <w:tcW w:w="2560" w:type="dxa"/>
            <w:vAlign w:val="bottom"/>
          </w:tcPr>
          <w:p>
            <w:pPr>
              <w:spacing w:after="0"/>
              <w:rPr>
                <w:sz w:val="18"/>
                <w:szCs w:val="18"/>
                <w:color w:val="auto"/>
              </w:rPr>
            </w:pPr>
          </w:p>
        </w:tc>
      </w:tr>
      <w:tr>
        <w:trPr>
          <w:trHeight w:val="178"/>
        </w:trPr>
        <w:tc>
          <w:tcPr>
            <w:tcW w:w="32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2560" w:type="dxa"/>
            <w:vAlign w:val="bottom"/>
          </w:tcPr>
          <w:p>
            <w:pPr>
              <w:spacing w:after="0"/>
              <w:rPr>
                <w:sz w:val="15"/>
                <w:szCs w:val="15"/>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560" w:type="dxa"/>
            <w:vAlign w:val="bottom"/>
          </w:tcPr>
          <w:p>
            <w:pPr>
              <w:spacing w:after="0"/>
              <w:rPr>
                <w:sz w:val="20"/>
                <w:szCs w:val="20"/>
                <w:color w:val="auto"/>
              </w:rPr>
            </w:pPr>
          </w:p>
        </w:tc>
      </w:tr>
      <w:tr>
        <w:trPr>
          <w:trHeight w:val="677"/>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WOO-SUNG CHUNG</w:t>
            </w:r>
          </w:p>
        </w:tc>
        <w:tc>
          <w:tcPr>
            <w:tcW w:w="25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Date: May 6, 2026</w:t>
            </w: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Woo-Sung Chung</w:t>
            </w:r>
          </w:p>
        </w:tc>
        <w:tc>
          <w:tcPr>
            <w:tcW w:w="2560" w:type="dxa"/>
            <w:vAlign w:val="bottom"/>
          </w:tcPr>
          <w:p>
            <w:pPr>
              <w:spacing w:after="0"/>
              <w:rPr>
                <w:sz w:val="18"/>
                <w:szCs w:val="18"/>
                <w:color w:val="auto"/>
              </w:rPr>
            </w:pPr>
          </w:p>
        </w:tc>
      </w:tr>
      <w:tr>
        <w:trPr>
          <w:trHeight w:val="178"/>
        </w:trPr>
        <w:tc>
          <w:tcPr>
            <w:tcW w:w="32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560" w:type="dxa"/>
            <w:vAlign w:val="bottom"/>
          </w:tcPr>
          <w:p>
            <w:pPr>
              <w:spacing w:after="0"/>
              <w:rPr>
                <w:sz w:val="15"/>
                <w:szCs w:val="15"/>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2560" w:type="dxa"/>
            <w:vAlign w:val="bottom"/>
          </w:tcPr>
          <w:p>
            <w:pPr>
              <w:spacing w:after="0"/>
              <w:rPr>
                <w:sz w:val="20"/>
                <w:szCs w:val="20"/>
                <w:color w:val="auto"/>
              </w:rPr>
            </w:pPr>
          </w:p>
        </w:tc>
      </w:tr>
      <w:tr>
        <w:trPr>
          <w:trHeight w:val="677"/>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 ALFRED SPENCER</w:t>
            </w:r>
          </w:p>
        </w:tc>
        <w:tc>
          <w:tcPr>
            <w:tcW w:w="25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Date: May 6, 2026</w:t>
            </w: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 Alfred Spencer</w:t>
            </w:r>
          </w:p>
        </w:tc>
        <w:tc>
          <w:tcPr>
            <w:tcW w:w="2560" w:type="dxa"/>
            <w:vAlign w:val="bottom"/>
          </w:tcPr>
          <w:p>
            <w:pPr>
              <w:spacing w:after="0"/>
              <w:rPr>
                <w:sz w:val="18"/>
                <w:szCs w:val="18"/>
                <w:color w:val="auto"/>
              </w:rPr>
            </w:pPr>
          </w:p>
        </w:tc>
      </w:tr>
      <w:tr>
        <w:trPr>
          <w:trHeight w:val="178"/>
        </w:trPr>
        <w:tc>
          <w:tcPr>
            <w:tcW w:w="32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i w:val="1"/>
                <w:iCs w:val="1"/>
                <w:color w:val="auto"/>
              </w:rPr>
              <w:t>Chief Accounting Officer</w:t>
            </w:r>
          </w:p>
        </w:tc>
        <w:tc>
          <w:tcPr>
            <w:tcW w:w="2560" w:type="dxa"/>
            <w:vAlign w:val="bottom"/>
          </w:tcPr>
          <w:p>
            <w:pPr>
              <w:spacing w:after="0"/>
              <w:rPr>
                <w:sz w:val="15"/>
                <w:szCs w:val="15"/>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2560" w:type="dxa"/>
            <w:vAlign w:val="bottom"/>
          </w:tcPr>
          <w:p>
            <w:pPr>
              <w:spacing w:after="0"/>
              <w:rPr>
                <w:sz w:val="20"/>
                <w:szCs w:val="20"/>
                <w:color w:val="auto"/>
              </w:rPr>
            </w:pPr>
          </w:p>
        </w:tc>
      </w:tr>
    </w:tbl>
    <w:p>
      <w:pPr>
        <w:spacing w:after="0" w:line="200" w:lineRule="exact"/>
        <w:rPr>
          <w:sz w:val="20"/>
          <w:szCs w:val="20"/>
          <w:color w:val="auto"/>
        </w:rPr>
      </w:pPr>
    </w:p>
    <w:p>
      <w:pPr>
        <w:spacing w:after="0" w:line="288"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10-Q or as a separate disclosure document.</w:t>
      </w:r>
    </w:p>
    <w:p>
      <w:pPr>
        <w:spacing w:after="0" w:line="1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Energy, Inc. and will be retained by NRG Energy, Inc. and furnished to the Securities and Exchange Commission or its staff upon request.</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lowerLetter"/>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decimal"/>
      <w:start w:val="2"/>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lowerLetter"/>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lowerLetter"/>
      <w:start w:val="1"/>
    </w:lvl>
  </w:abstractNum>
  <w:abstractNum w:abstractNumId="12">
    <w:nsid w:val="440BADFC"/>
    <w:multiLevelType w:val="hybridMultilevel"/>
    <w:lvl w:ilvl="0">
      <w:lvlJc w:val="left"/>
      <w:lvlText w:val="(%1)"/>
      <w:numFmt w:val="lowerRoman"/>
      <w:start w:val="1"/>
    </w:lvl>
  </w:abstractNum>
  <w:abstractNum w:abstractNumId="13">
    <w:nsid w:val="5072367"/>
    <w:multiLevelType w:val="hybridMultilevel"/>
    <w:lvl w:ilvl="0">
      <w:lvlJc w:val="left"/>
      <w:lvlText w:val="(%1)"/>
      <w:numFmt w:val="lowerLetter"/>
      <w:start w:val="1"/>
    </w:lvl>
  </w:abstractNum>
  <w:abstractNum w:abstractNumId="14">
    <w:nsid w:val="3804823E"/>
    <w:multiLevelType w:val="hybridMultilevel"/>
    <w:lvl w:ilvl="0">
      <w:lvlJc w:val="left"/>
      <w:lvlText w:val="(%1)"/>
      <w:numFmt w:val="lowerLetter"/>
      <w:start w:val="1"/>
    </w:lvl>
  </w:abstractNum>
  <w:abstractNum w:abstractNumId="15">
    <w:nsid w:val="77465F01"/>
    <w:multiLevelType w:val="hybridMultilevel"/>
    <w:lvl w:ilvl="0">
      <w:lvlJc w:val="left"/>
      <w:lvlText w:val="(%1)"/>
      <w:numFmt w:val="lowerLetter"/>
      <w:start w:val="1"/>
    </w:lvl>
  </w:abstractNum>
  <w:abstractNum w:abstractNumId="16">
    <w:nsid w:val="7724C67E"/>
    <w:multiLevelType w:val="hybridMultilevel"/>
    <w:lvl w:ilvl="0">
      <w:lvlJc w:val="left"/>
      <w:lvlText w:val="(%1)"/>
      <w:numFmt w:val="lowerLetter"/>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lowerLetter"/>
      <w:start w:val="1"/>
    </w:lvl>
  </w:abstractNum>
  <w:abstractNum w:abstractNumId="19">
    <w:nsid w:val="5E884ADC"/>
    <w:multiLevelType w:val="hybridMultilevel"/>
    <w:lvl w:ilvl="0">
      <w:lvlJc w:val="left"/>
      <w:lvlText w:val="(%1)"/>
      <w:numFmt w:val="lowerLetter"/>
      <w:start w:val="1"/>
    </w:lvl>
  </w:abstractNum>
  <w:abstractNum w:abstractNumId="20">
    <w:nsid w:val="51EAD36B"/>
    <w:multiLevelType w:val="hybridMultilevel"/>
    <w:lvl w:ilvl="0">
      <w:lvlJc w:val="left"/>
      <w:lvlText w:val="(%1)"/>
      <w:numFmt w:val="lowerLetter"/>
      <w:start w:val="1"/>
    </w:lvl>
  </w:abstractNum>
  <w:abstractNum w:abstractNumId="21">
    <w:nsid w:val="2D517796"/>
    <w:multiLevelType w:val="hybridMultilevel"/>
    <w:lvl w:ilvl="0">
      <w:lvlJc w:val="left"/>
      <w:lvlText w:val="(%1)"/>
      <w:numFmt w:val="lowerLetter"/>
      <w:start w:val="1"/>
    </w:lvl>
  </w:abstractNum>
  <w:abstractNum w:abstractNumId="22">
    <w:nsid w:val="580BD78F"/>
    <w:multiLevelType w:val="hybridMultilevel"/>
    <w:lvl w:ilvl="0">
      <w:lvlJc w:val="left"/>
      <w:lvlText w:val="(%1)"/>
      <w:numFmt w:val="lowerLetter"/>
      <w:start w:val="1"/>
    </w:lvl>
  </w:abstractNum>
  <w:abstractNum w:abstractNumId="23">
    <w:nsid w:val="153EA438"/>
    <w:multiLevelType w:val="hybridMultilevel"/>
    <w:lvl w:ilvl="0">
      <w:lvlJc w:val="left"/>
      <w:lvlText w:val="(%1)"/>
      <w:numFmt w:val="lowerLetter"/>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lowerRoman"/>
      <w:start w:val="3"/>
    </w:lvl>
  </w:abstractNum>
  <w:abstractNum w:abstractNumId="26">
    <w:nsid w:val="6A2342EC"/>
    <w:multiLevelType w:val="hybridMultilevel"/>
    <w:lvl w:ilvl="0">
      <w:lvlJc w:val="left"/>
      <w:lvlText w:val="(%1)"/>
      <w:numFmt w:val="lowerLetter"/>
      <w:start w:val="1"/>
    </w:lvl>
  </w:abstractNum>
  <w:abstractNum w:abstractNumId="27">
    <w:nsid w:val="2A487CB0"/>
    <w:multiLevelType w:val="hybridMultilevel"/>
    <w:lvl w:ilvl="0">
      <w:lvlJc w:val="left"/>
      <w:lvlText w:val="(%1)"/>
      <w:numFmt w:val="lowerLetter"/>
      <w:start w:val="1"/>
    </w:lvl>
  </w:abstractNum>
  <w:abstractNum w:abstractNumId="28">
    <w:nsid w:val="1D4ED43B"/>
    <w:multiLevelType w:val="hybridMultilevel"/>
    <w:lvl w:ilvl="0">
      <w:lvlJc w:val="left"/>
      <w:lvlText w:val="(%1)"/>
      <w:numFmt w:val="lowerLetter"/>
      <w:start w:val="1"/>
    </w:lvl>
  </w:abstractNum>
  <w:abstractNum w:abstractNumId="29">
    <w:nsid w:val="725A06FB"/>
    <w:multiLevelType w:val="hybridMultilevel"/>
    <w:lvl w:ilvl="0">
      <w:lvlJc w:val="left"/>
      <w:lvlText w:val="(%1)"/>
      <w:numFmt w:val="lowerLetter"/>
      <w:start w:val="1"/>
    </w:lvl>
  </w:abstractNum>
  <w:abstractNum w:abstractNumId="30">
    <w:nsid w:val="2CD89A32"/>
    <w:multiLevelType w:val="hybridMultilevel"/>
    <w:lvl w:ilvl="0">
      <w:lvlJc w:val="left"/>
      <w:lvlText w:val="(%1)"/>
      <w:numFmt w:val="lowerLetter"/>
      <w:start w:val="1"/>
    </w:lvl>
  </w:abstractNum>
  <w:abstractNum w:abstractNumId="31">
    <w:nsid w:val="57E4CCAF"/>
    <w:multiLevelType w:val="hybridMultilevel"/>
    <w:lvl w:ilvl="0">
      <w:lvlJc w:val="left"/>
      <w:lvlText w:val="(%1)"/>
      <w:numFmt w:val="lowerLetter"/>
      <w:start w:val="1"/>
    </w:lvl>
  </w:abstractNum>
  <w:abstractNum w:abstractNumId="32">
    <w:nsid w:val="7A6D8D3C"/>
    <w:multiLevelType w:val="hybridMultilevel"/>
    <w:lvl w:ilvl="0">
      <w:lvlJc w:val="left"/>
      <w:lvlText w:val="(%1)"/>
      <w:numFmt w:val="lowerLetter"/>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1)"/>
      <w:numFmt w:val="lowerLetter"/>
      <w:start w:val="1"/>
    </w:lvl>
  </w:abstractNum>
  <w:abstractNum w:abstractNumId="36">
    <w:nsid w:val="38437FDB"/>
    <w:multiLevelType w:val="hybridMultilevel"/>
    <w:lvl w:ilvl="0">
      <w:lvlJc w:val="left"/>
      <w:lvlText w:val="(%1)"/>
      <w:numFmt w:val="lowerLetter"/>
      <w:start w:val="1"/>
    </w:lvl>
  </w:abstractNum>
  <w:abstractNum w:abstractNumId="37">
    <w:nsid w:val="7644A45C"/>
    <w:multiLevelType w:val="hybridMultilevel"/>
    <w:lvl w:ilvl="0">
      <w:lvlJc w:val="left"/>
      <w:lvlText w:val="(%1)"/>
      <w:numFmt w:val="lowerLetter"/>
      <w:start w:val="1"/>
    </w:lvl>
  </w:abstractNum>
  <w:abstractNum w:abstractNumId="38">
    <w:nsid w:val="32FFF902"/>
    <w:multiLevelType w:val="hybridMultilevel"/>
    <w:lvl w:ilvl="0">
      <w:lvlJc w:val="left"/>
      <w:lvlText w:val="(%1)"/>
      <w:numFmt w:val="lowerRoman"/>
      <w:start w:val="1"/>
    </w:lvl>
  </w:abstractNum>
  <w:abstractNum w:abstractNumId="39">
    <w:nsid w:val="684A481A"/>
    <w:multiLevelType w:val="hybridMultilevel"/>
    <w:lvl w:ilvl="0">
      <w:lvlJc w:val="left"/>
      <w:lvlText w:val="(%1)"/>
      <w:numFmt w:val="lowerRoman"/>
      <w:start w:val="3"/>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decimal"/>
      <w:start w:val="32"/>
    </w:lvl>
  </w:abstractNum>
  <w:abstractNum w:abstractNumId="53">
    <w:nsid w:val="275AC794"/>
    <w:multiLevelType w:val="hybridMultilevel"/>
    <w:lvl w:ilvl="0">
      <w:lvlJc w:val="left"/>
      <w:lvlText w:val="%1"/>
      <w:numFmt w:val="decimal"/>
      <w:start w:val="104"/>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24" Type="http://schemas.openxmlformats.org/officeDocument/2006/relationships/hyperlink" Target="https://www.sec.gov/Archives/edgar/data/1013871/000110465926050486/tm2612875d4_ex4-2.htm" TargetMode="External"/><Relationship Id="rId125" Type="http://schemas.openxmlformats.org/officeDocument/2006/relationships/hyperlink" Target="https://www.sec.gov/Archives/edgar/data/1013871/000110465926050486/tm2612875d4_ex4-5.htm" TargetMode="External"/><Relationship Id="rId126" Type="http://schemas.openxmlformats.org/officeDocument/2006/relationships/hyperlink" Target="https://www.sec.gov/Archives/edgar/data/1013871/000110465926050486/tm2612875d4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2026-05-06T14:45:58Z</dcterms:created>
  <dcterms:modified xsi:type="dcterms:W3CDTF">2026-05-06T14:45:58Z</dcterms:modified>
</cp:coreProperties>
</file>