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Kinney Virginia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804 CARNEGIE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NRG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Exec VP, Chief Admin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760" w:type="dxa"/>
            <w:vAlign w:val="bottom"/>
            <w:tcBorders>
              <w:bottom w:val="single" w:sz="8" w:color="2C2C2C"/>
            </w:tcBorders>
            <w:gridSpan w:val="6"/>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41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   06/15/2026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20,000</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127.521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45,111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 The sales reported in this Form 4 were effected pursuant to a Rule 10b5-1 trading plan adopted by the Reporting Person on August 8, 2025.</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Christine Zoino, by Power of</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8902" TargetMode="External"/><Relationship Id="rId14" Type="http://schemas.openxmlformats.org/officeDocument/2006/relationships/hyperlink" Target="http://www.sec.gov/cgi-bin/browse-edgar?action=getcompany&amp;CIK=00010138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2026-06-17T17:59:22Z</dcterms:created>
  <dcterms:modified xsi:type="dcterms:W3CDTF">2026-06-17T17:59:22Z</dcterms:modified>
</cp:coreProperties>
</file>