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NRG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629377508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629377508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11,441,022.00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11,455,750.00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11,459,605.00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59"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is being made to rectify certain securities holdings as of September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30, 2024 previously inadvertently mistakenly referenced.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629377508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B. Johnson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ectPr>
          <w:pgSz w:w="11900" w:h="16859" w:orient="portrait"/>
          <w:cols w:equalWidth="0" w:num="1">
            <w:col w:w="11140"/>
          </w:cols>
          <w:pgMar w:left="320" w:top="166" w:right="439" w:bottom="0" w:gutter="0" w:footer="0" w:header="0"/>
          <w:type w:val="continuous"/>
        </w:sectPr>
      </w:pPr>
    </w:p>
    <w:p>
      <w:pPr>
        <w:ind w:left="1160"/>
        <w:spacing w:after="0"/>
        <w:rPr>
          <w:sz w:val="20"/>
          <w:szCs w:val="20"/>
          <w:color w:val="auto"/>
        </w:rPr>
      </w:pPr>
      <w:r>
        <w:rPr>
          <w:rFonts w:ascii="Times New Roman" w:cs="Times New Roman" w:eastAsia="Times New Roman" w:hAnsi="Times New Roman"/>
          <w:sz w:val="21"/>
          <w:szCs w:val="21"/>
          <w:color w:val="auto"/>
        </w:rPr>
        <w:t>0.00</w:t>
      </w:r>
    </w:p>
    <w:p>
      <w:pPr>
        <w:sectPr>
          <w:pgSz w:w="11900" w:h="16859" w:orient="portrait"/>
          <w:cols w:equalWidth="0" w:num="1">
            <w:col w:w="11140"/>
          </w:cols>
          <w:pgMar w:left="320" w:top="166" w:right="439" w:bottom="0" w:gutter="0" w:footer="0" w:header="0"/>
          <w:type w:val="continuous"/>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173355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629377508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Rupert H. Johnson,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629377508</w:t>
      </w:r>
    </w:p>
    <w:p>
      <w:pPr>
        <w:sectPr>
          <w:pgSz w:w="11900" w:h="16838"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Putnam Investment Management, LLC</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7,428,072.00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7,429,018.00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7,429,018.00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Includes 117,743 shares of common stock issuable on conversion of debt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(as computed under Rule 13d-3(d)(1)(i)). 2. One or more of the investment management contracts that relates to these securities provides that the applicable FRI affiliate share investment power over the securities held in the client's account covered by such contract with another unaffiliated entity. The issuer's securities held in all such accounts are less than 5% of the outstanding shares of the class. In addition, FRI does not believe that any such contract causes such client or any such unaffiliated entity to be part of a group with FRI or any FRI affiliate within the meaning of Rule 13d-5 under the Act.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NRG Energy,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910 Louisiana Street, Houston, TX 77002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16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Franklin Resources, Inc. (ii): Charles B. Johnson (iii): Rupert H. Johnson, Jr. (iv): Putnam Investment Management, LLC</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jc w:val="center"/>
        <w:ind w:right="-39"/>
        <w:spacing w:after="0"/>
        <w:rPr>
          <w:sz w:val="20"/>
          <w:szCs w:val="20"/>
          <w:color w:val="auto"/>
        </w:rPr>
      </w:pPr>
      <w:r>
        <w:rPr>
          <w:rFonts w:ascii="Times New Roman" w:cs="Times New Roman" w:eastAsia="Times New Roman" w:hAnsi="Times New Roman"/>
          <w:sz w:val="22"/>
          <w:szCs w:val="22"/>
          <w:color w:val="auto"/>
        </w:rPr>
        <w:t>(i), (ii), (iii): One Franklin Parkway San Mateo, CA 94403-1906 (iv): 100 Federal Street Boston, MA 02110</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220"/>
          </w:cols>
          <w:pgMar w:left="320" w:top="112" w:right="359" w:bottom="0" w:gutter="0" w:footer="0" w:header="0"/>
          <w:type w:val="continuous"/>
        </w:sectPr>
      </w:pPr>
    </w:p>
    <w:bookmarkStart w:id="4" w:name="page5"/>
    <w:bookmarkEnd w:id="4"/>
    <w:p>
      <w:pPr>
        <w:ind w:left="920" w:right="6720" w:firstLine="6"/>
        <w:spacing w:after="0" w:line="267" w:lineRule="auto"/>
        <w:tabs>
          <w:tab w:leader="none" w:pos="11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(iv): Delaware (ii) and (iii): USA Title of class of securities:</w:t>
      </w:r>
    </w:p>
    <w:p>
      <w:pPr>
        <w:spacing w:after="0" w:line="232"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629377508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11,459,605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Franklin Resources, Inc.: 0 Charles B. Johnson: 0 Rupert H. Johnson, Jr.: 0 Putnam Investment Management, LLC:</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7,428,072 The Putnam Advisory Company, LLC: 2,709,268 Franklin Advisers, Inc.: 1,268,316 Franklin Advisory</w:t>
      </w:r>
    </w:p>
    <w:p>
      <w:pPr>
        <w:ind w:left="920"/>
        <w:spacing w:after="0" w:line="230" w:lineRule="auto"/>
        <w:rPr>
          <w:sz w:val="20"/>
          <w:szCs w:val="20"/>
          <w:color w:val="auto"/>
        </w:rPr>
      </w:pPr>
      <w:r>
        <w:rPr>
          <w:rFonts w:ascii="Times New Roman" w:cs="Times New Roman" w:eastAsia="Times New Roman" w:hAnsi="Times New Roman"/>
          <w:sz w:val="22"/>
          <w:szCs w:val="22"/>
          <w:color w:val="auto"/>
        </w:rPr>
        <w:t>Services, LLC: 23,394 Fiduciary Trust International LLC: 7,153 Franklin Templeton International Services S.a r.l:</w:t>
      </w:r>
    </w:p>
    <w:p>
      <w:pPr>
        <w:ind w:left="920"/>
        <w:spacing w:after="0" w:line="231" w:lineRule="auto"/>
        <w:rPr>
          <w:sz w:val="20"/>
          <w:szCs w:val="20"/>
          <w:color w:val="auto"/>
        </w:rPr>
      </w:pPr>
      <w:r>
        <w:rPr>
          <w:rFonts w:ascii="Times New Roman" w:cs="Times New Roman" w:eastAsia="Times New Roman" w:hAnsi="Times New Roman"/>
          <w:sz w:val="22"/>
          <w:szCs w:val="22"/>
          <w:color w:val="auto"/>
        </w:rPr>
        <w:t>1,692 Franklin Templeton Asset Management Mexico, S.A. de C.V., Sociedad Operadora de Fondos de Inversion:</w:t>
      </w:r>
    </w:p>
    <w:p>
      <w:pPr>
        <w:ind w:left="920"/>
        <w:spacing w:after="0"/>
        <w:rPr>
          <w:sz w:val="20"/>
          <w:szCs w:val="20"/>
          <w:color w:val="auto"/>
        </w:rPr>
      </w:pPr>
      <w:r>
        <w:rPr>
          <w:rFonts w:ascii="Times New Roman" w:cs="Times New Roman" w:eastAsia="Times New Roman" w:hAnsi="Times New Roman"/>
          <w:sz w:val="22"/>
          <w:szCs w:val="22"/>
          <w:color w:val="auto"/>
        </w:rPr>
        <w:t>2,447 Fiduciary Trust Co International Of Pennsylvania: 500 Fiduciary Trust Company International: 180</w:t>
      </w:r>
    </w:p>
    <w:p>
      <w:pPr>
        <w:spacing w:after="0" w:line="263" w:lineRule="exact"/>
        <w:rPr>
          <w:sz w:val="20"/>
          <w:szCs w:val="20"/>
          <w:color w:val="auto"/>
        </w:rPr>
      </w:pPr>
    </w:p>
    <w:p>
      <w:pPr>
        <w:ind w:left="1240" w:hanging="314"/>
        <w:spacing w:after="0"/>
        <w:tabs>
          <w:tab w:leader="none" w:pos="12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Franklin Resources, Inc.: 0 Charles B. Johnson: 0 Rupert H. Johnson, Jr.: 0 Putnam Investment Management, LLC:</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7,429,018 The Putnam Advisory Company, LLC: 2,708,736 Franklin Advisers, Inc.: 1,279,967.00 Franklin Advisory</w:t>
      </w:r>
    </w:p>
    <w:p>
      <w:pPr>
        <w:ind w:left="920"/>
        <w:spacing w:after="0" w:line="231" w:lineRule="auto"/>
        <w:rPr>
          <w:sz w:val="20"/>
          <w:szCs w:val="20"/>
          <w:color w:val="auto"/>
        </w:rPr>
      </w:pPr>
      <w:r>
        <w:rPr>
          <w:rFonts w:ascii="Times New Roman" w:cs="Times New Roman" w:eastAsia="Times New Roman" w:hAnsi="Times New Roman"/>
          <w:sz w:val="22"/>
          <w:szCs w:val="22"/>
          <w:color w:val="auto"/>
        </w:rPr>
        <w:t>Services, LLC: 23,394 Fiduciary Trust International LLC: 7,153 Franklin Templeton International Services S.a r.l:</w:t>
      </w:r>
    </w:p>
    <w:p>
      <w:pPr>
        <w:ind w:left="920"/>
        <w:spacing w:after="0" w:line="231" w:lineRule="auto"/>
        <w:rPr>
          <w:sz w:val="20"/>
          <w:szCs w:val="20"/>
          <w:color w:val="auto"/>
        </w:rPr>
      </w:pPr>
      <w:r>
        <w:rPr>
          <w:rFonts w:ascii="Times New Roman" w:cs="Times New Roman" w:eastAsia="Times New Roman" w:hAnsi="Times New Roman"/>
          <w:sz w:val="22"/>
          <w:szCs w:val="22"/>
          <w:color w:val="auto"/>
        </w:rPr>
        <w:t>4,184 Franklin Templeton Asset Management Mexico, S.A. de C.V., Sociedad Operadora de Fondos de Inversion: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2,447 Fiduciary Trust Co International Of Pennsylvania: 500 Fiduciary Trust Company International: 351</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Putnam Advisory Company, LLC: 532 Franklin Advisers, Inc.: 3,323</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838" w:orient="portrait"/>
          <w:cols w:equalWidth="0" w:num="1">
            <w:col w:w="11140"/>
          </w:cols>
          <w:pgMar w:left="360" w:top="112" w:right="399" w:bottom="0" w:gutter="0" w:footer="0" w:header="0"/>
        </w:sectPr>
      </w:pPr>
    </w:p>
    <w:bookmarkStart w:id="5" w:name="page6"/>
    <w:bookmarkEnd w:id="5"/>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69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clients of the Investment Management Subsidiaries, including investment companies registered under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Investment Company Act of 1940 and other managed accounts, have the right to receive or power to direct the receipt</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dividends from, and the proceeds from the sale of, the securities reported herein.</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Attached Exhibit C</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Thomas C. Mandia, Assistant Secretary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11/21/2024</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Charles B. Johnson</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Attorney in Fact for Charles B. Johnson pursuant</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to Power of Attorney attached to this Schedule</w:t>
      </w:r>
    </w:p>
    <w:p>
      <w:pPr>
        <w:ind w:left="6780"/>
        <w:spacing w:after="0"/>
        <w:rPr>
          <w:sz w:val="20"/>
          <w:szCs w:val="20"/>
          <w:color w:val="auto"/>
        </w:rPr>
      </w:pPr>
      <w:r>
        <w:rPr>
          <w:rFonts w:ascii="Times New Roman" w:cs="Times New Roman" w:eastAsia="Times New Roman" w:hAnsi="Times New Roman"/>
          <w:sz w:val="22"/>
          <w:szCs w:val="22"/>
          <w:color w:val="auto"/>
        </w:rPr>
        <w:t>13G</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11/21/2024</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Rupert H. Johnson, Jr.</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Attorney in Fact for Rupert H. Johnson, Jr.</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pursuant to Power of Attorney attached to this</w:t>
      </w:r>
    </w:p>
    <w:p>
      <w:pPr>
        <w:ind w:left="6780"/>
        <w:spacing w:after="0"/>
        <w:rPr>
          <w:sz w:val="20"/>
          <w:szCs w:val="20"/>
          <w:color w:val="auto"/>
        </w:rPr>
      </w:pPr>
      <w:r>
        <w:rPr>
          <w:rFonts w:ascii="Times New Roman" w:cs="Times New Roman" w:eastAsia="Times New Roman" w:hAnsi="Times New Roman"/>
          <w:sz w:val="22"/>
          <w:szCs w:val="22"/>
          <w:color w:val="auto"/>
        </w:rPr>
        <w:t>Schedule 13G</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11/21/2024</w:t>
      </w:r>
    </w:p>
    <w:p>
      <w:pPr>
        <w:spacing w:after="0" w:line="1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Putnam Investment Management,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/s/Bjorn A. Davis</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Bjorn A. Davis, Deputy Chief Compliance Officer</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Putnam Investment Management,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11/21/2024</w:t>
      </w:r>
    </w:p>
    <w:p>
      <w:pPr>
        <w:spacing w:after="0" w:line="3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LIMITED POWER OF ATTORNEY FOR SECTION 13 AND 16 REPORTING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Know all by these presents, that the undersigned hereby makes, constitutes and appoints each of Alison E. Baur, Thomas C. Mandia, Beth McAuley O'Malley, Thomas C. Merchant, Kimberly H. Novotny, Virginia E. Rosas and Navid J. Tofigh</w:t>
      </w:r>
    </w:p>
    <w:p>
      <w:pPr>
        <w:sectPr>
          <w:pgSz w:w="11900" w:h="16838" w:orient="portrait"/>
          <w:cols w:equalWidth="0" w:num="1">
            <w:col w:w="11220"/>
          </w:cols>
          <w:pgMar w:left="320" w:top="102" w:right="359" w:bottom="0" w:gutter="0" w:footer="0" w:header="0"/>
        </w:sectPr>
      </w:pPr>
    </w:p>
    <w:bookmarkStart w:id="6" w:name="page7"/>
    <w:bookmarkEnd w:id="6"/>
    <w:p>
      <w:pPr>
        <w:spacing w:after="0" w:line="242" w:lineRule="auto"/>
        <w:rPr>
          <w:sz w:val="20"/>
          <w:szCs w:val="20"/>
          <w:color w:val="auto"/>
        </w:rPr>
      </w:pPr>
      <w:r>
        <w:rPr>
          <w:rFonts w:ascii="Times New Roman" w:cs="Times New Roman" w:eastAsia="Times New Roman" w:hAnsi="Times New Roman"/>
          <w:sz w:val="21"/>
          <w:szCs w:val="21"/>
          <w:color w:val="auto"/>
        </w:rPr>
        <w:t>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 3. 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/s/CHARLES B. JOHNSON Signature Charles B. Johnson Print Name LIMITED POWER OF ATTORNEY FOR SECTION 13 AND 16 REPORTING 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7" w:lineRule="exact"/>
        <w:rPr>
          <w:sz w:val="20"/>
          <w:szCs w:val="20"/>
          <w:color w:val="auto"/>
        </w:rPr>
      </w:pPr>
    </w:p>
    <w:p>
      <w:pPr>
        <w:ind w:right="20" w:firstLine="8"/>
        <w:spacing w:after="0" w:line="242" w:lineRule="auto"/>
        <w:tabs>
          <w:tab w:leader="none" w:pos="21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/s/RUPERT H. JOHNSON, JR. Signature Rupert H. Johnson, Jr. Print Name</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40"/>
        <w:spacing w:after="0" w:line="255" w:lineRule="auto"/>
        <w:rPr>
          <w:sz w:val="20"/>
          <w:szCs w:val="20"/>
          <w:color w:val="auto"/>
        </w:rPr>
      </w:pPr>
      <w:r>
        <w:rPr>
          <w:rFonts w:ascii="Times New Roman" w:cs="Times New Roman" w:eastAsia="Times New Roman" w:hAnsi="Times New Roman"/>
          <w:sz w:val="21"/>
          <w:szCs w:val="21"/>
          <w:color w:val="auto"/>
        </w:rPr>
        <w:t>Exhibit A: Joint Filing Agreement Exhibit B: Item 4 Ownership Exhibit C: Item 7 Identification and Classification of Subsidiaries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w:t>
      </w:r>
    </w:p>
    <w:p>
      <w:pPr>
        <w:sectPr>
          <w:pgSz w:w="11900" w:h="16838" w:orient="portrait"/>
          <w:cols w:equalWidth="0" w:num="1">
            <w:col w:w="11240"/>
          </w:cols>
          <w:pgMar w:left="320" w:top="111" w:right="339" w:bottom="0" w:gutter="0" w:footer="0" w:header="0"/>
        </w:sectPr>
      </w:pPr>
    </w:p>
    <w:bookmarkStart w:id="7" w:name="page8"/>
    <w:bookmarkEnd w:id="7"/>
    <w:p>
      <w:pPr>
        <w:spacing w:after="0" w:line="242" w:lineRule="auto"/>
        <w:rPr>
          <w:sz w:val="20"/>
          <w:szCs w:val="20"/>
          <w:color w:val="auto"/>
        </w:rPr>
      </w:pPr>
      <w:r>
        <w:rPr>
          <w:rFonts w:ascii="Times New Roman" w:cs="Times New Roman" w:eastAsia="Times New Roman" w:hAnsi="Times New Roman"/>
          <w:sz w:val="21"/>
          <w:szCs w:val="21"/>
          <w:color w:val="auto"/>
        </w:rPr>
        <w:t>each of them. IN WITNESS WHEREOF, the undersigned have executed this agreement on the date of the signing of this filing. Franklin Resources, Inc Charles B. Johnson Rupert H. Johnson, Jr. By: /s/THOMAS C. MANDIA Assistant Secretary of Franklin Resources, Inc. Attorney-in-Fact for Charles B. Johnson pursuant to Power of Attorney attached to this Schedule 13G Attorney-in-Fact for Rupert H. Johnson, Jr. pursuant to Power of attached to this Schedule 13G Putnam Investment Management, LLC By: /s/BJORN A. DAVIS Deputy Chief Compliance Officer of Putnam Investment Management, LLC Exhibit B: Item 4 Ownership 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 Beneficial ownership by Investment Management Subsidiaries and other FRI affiliates is being reported in conformity with the guidelines articulated by the SEC staff in Release No. 34-39538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 for FRI.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13d-3, of any of the securities reported in this Schedule 13G. 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the Investment Management Subsidiaries provide investment management services. EXHIBIT C: Item 7 Identification and Classification of Subsidiaries Putnam Investment Management, LLC: Item 3 Classification: 3(e) The Putnam Advisory Company, LLC: Item 3 Classification: 3(e) Franklin Advisers, Inc.: Item 3 Classification: 3(e) Franklin Advisory Services, LLC: Item 3 Classification: 3(e) Fiduciary Trust International LLC: Item 3 Classification: 3(e) Franklin Templeton International Services S.a r.l: Item 3 Classification: 3(e) Franklin Templeton Asset Management Mexico, S.A. de C.V., Sociedad Operadora de Fondos de Inversion.: Item 3 Classification: 3(j) Fiduciary Trust Co International Of Pennsylvania: Item 3 Classification: 3(e) Fiduciary Trust Company International: Item 3 Classification: 3(b)</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3"/>
    </w:lvl>
  </w:abstractNum>
  <w:abstractNum w:abstractNumId="8">
    <w:nsid w:val="1190CDE7"/>
    <w:multiLevelType w:val="hybridMultilevel"/>
    <w:lvl w:ilvl="0">
      <w:lvlJc w:val="left"/>
      <w:lvlText w:val="(%1)"/>
      <w:numFmt w:val="lowerRoman"/>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1"/>
    </w:lvl>
  </w:abstractNum>
  <w:abstractNum w:abstractNumId="11">
    <w:nsid w:val="3352255A"/>
    <w:multiLevelType w:val="hybridMultilevel"/>
    <w:lvl w:ilvl="0">
      <w:lvlJc w:val="left"/>
      <w:lvlText w:val="(%1)"/>
      <w:numFmt w:val="lowerLetter"/>
      <w:start w:val="3"/>
    </w:lvl>
  </w:abstractNum>
  <w:abstractNum w:abstractNumId="12">
    <w:nsid w:val="109CF92E"/>
    <w:multiLevelType w:val="hybridMultilevel"/>
    <w:lvl w:ilvl="0">
      <w:lvlJc w:val="left"/>
      <w:lvlText w:val="(%1)"/>
      <w:numFmt w:val="lowerRoman"/>
      <w:start w:val="2"/>
    </w:lvl>
  </w:abstractNum>
  <w:abstractNum w:abstractNumId="13">
    <w:nsid w:val="DED72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2024-11-21T16:32:02Z</dcterms:created>
  <dcterms:modified xsi:type="dcterms:W3CDTF">2024-11-21T16:32:02Z</dcterms:modified>
</cp:coreProperties>
</file>